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宋体" w:hAnsi="宋体" w:cs="宋体"/>
          <w:b/>
          <w:sz w:val="52"/>
          <w:szCs w:val="52"/>
        </w:rPr>
      </w:pPr>
    </w:p>
    <w:p>
      <w:pPr>
        <w:spacing w:line="560" w:lineRule="exact"/>
        <w:jc w:val="center"/>
        <w:rPr>
          <w:rFonts w:ascii="宋体" w:hAnsi="宋体" w:cs="宋体"/>
          <w:b/>
          <w:sz w:val="52"/>
          <w:szCs w:val="52"/>
        </w:rPr>
      </w:pPr>
    </w:p>
    <w:p>
      <w:pPr>
        <w:jc w:val="center"/>
        <w:rPr>
          <w:rFonts w:ascii="宋体" w:hAnsi="宋体" w:cs="宋体"/>
          <w:b/>
          <w:sz w:val="52"/>
          <w:szCs w:val="52"/>
        </w:rPr>
      </w:pPr>
    </w:p>
    <w:p>
      <w:pPr>
        <w:jc w:val="center"/>
        <w:rPr>
          <w:rFonts w:hint="eastAsia" w:ascii="方正小标宋简体" w:hAnsi="方正小标宋简体" w:eastAsia="方正小标宋简体" w:cs="方正小标宋简体"/>
          <w:b/>
          <w:sz w:val="52"/>
          <w:szCs w:val="52"/>
          <w:lang w:val="en-US" w:eastAsia="zh-CN"/>
        </w:rPr>
      </w:pPr>
      <w:r>
        <w:rPr>
          <w:rFonts w:hint="eastAsia" w:ascii="方正小标宋简体" w:hAnsi="方正小标宋简体" w:eastAsia="方正小标宋简体" w:cs="方正小标宋简体"/>
          <w:b/>
          <w:sz w:val="52"/>
          <w:szCs w:val="52"/>
        </w:rPr>
        <w:t>高青县</w:t>
      </w:r>
      <w:r>
        <w:rPr>
          <w:rFonts w:hint="eastAsia" w:ascii="方正小标宋简体" w:hAnsi="方正小标宋简体" w:eastAsia="方正小标宋简体" w:cs="方正小标宋简体"/>
          <w:b/>
          <w:sz w:val="52"/>
          <w:szCs w:val="52"/>
          <w:lang w:val="en-US" w:eastAsia="zh-CN"/>
        </w:rPr>
        <w:t>人民政府</w:t>
      </w:r>
    </w:p>
    <w:p>
      <w:pPr>
        <w:jc w:val="center"/>
        <w:rPr>
          <w:rFonts w:ascii="方正小标宋简体" w:hAnsi="方正小标宋简体" w:eastAsia="方正小标宋简体" w:cs="方正小标宋简体"/>
          <w:b/>
          <w:sz w:val="52"/>
          <w:szCs w:val="52"/>
        </w:rPr>
      </w:pPr>
      <w:r>
        <w:rPr>
          <w:rFonts w:hint="eastAsia" w:ascii="方正小标宋简体" w:hAnsi="方正小标宋简体" w:eastAsia="方正小标宋简体" w:cs="方正小标宋简体"/>
          <w:b/>
          <w:sz w:val="52"/>
          <w:szCs w:val="52"/>
        </w:rPr>
        <w:t>2019年政府信息公开工作年度报告</w:t>
      </w: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仿宋_GB2312" w:hAnsi="仿宋" w:eastAsia="仿宋_GB2312" w:cs="仿宋"/>
          <w:color w:val="000000" w:themeColor="text1"/>
          <w:sz w:val="32"/>
          <w:szCs w:val="32"/>
          <w14:textFill>
            <w14:solidFill>
              <w14:schemeClr w14:val="tx1"/>
            </w14:solidFill>
          </w14:textFill>
        </w:rPr>
      </w:pPr>
    </w:p>
    <w:p>
      <w:pPr>
        <w:pStyle w:val="8"/>
        <w:widowControl/>
        <w:spacing w:after="0" w:line="560" w:lineRule="exact"/>
        <w:jc w:val="center"/>
        <w:rPr>
          <w:rFonts w:asciiTheme="majorEastAsia" w:hAnsiTheme="majorEastAsia" w:eastAsiaTheme="majorEastAsia" w:cstheme="majorEastAsia"/>
          <w:color w:val="000000" w:themeColor="text1"/>
          <w:kern w:val="2"/>
          <w:sz w:val="36"/>
          <w:szCs w:val="36"/>
          <w14:textFill>
            <w14:solidFill>
              <w14:schemeClr w14:val="tx1"/>
            </w14:solidFill>
          </w14:textFill>
        </w:rPr>
      </w:pPr>
      <w:r>
        <w:rPr>
          <w:rFonts w:hint="eastAsia" w:asciiTheme="majorEastAsia" w:hAnsiTheme="majorEastAsia" w:eastAsiaTheme="majorEastAsia" w:cstheme="majorEastAsia"/>
          <w:color w:val="000000" w:themeColor="text1"/>
          <w:kern w:val="2"/>
          <w:sz w:val="36"/>
          <w:szCs w:val="36"/>
          <w14:textFill>
            <w14:solidFill>
              <w14:schemeClr w14:val="tx1"/>
            </w14:solidFill>
          </w14:textFill>
        </w:rPr>
        <w:t>高青县人民政府办公室</w:t>
      </w:r>
    </w:p>
    <w:p>
      <w:pPr>
        <w:pStyle w:val="8"/>
        <w:widowControl/>
        <w:spacing w:after="0" w:line="560" w:lineRule="exact"/>
        <w:jc w:val="center"/>
        <w:rPr>
          <w:rFonts w:asciiTheme="majorEastAsia" w:hAnsiTheme="majorEastAsia" w:eastAsiaTheme="majorEastAsia" w:cstheme="majorEastAsia"/>
          <w:color w:val="000000" w:themeColor="text1"/>
          <w:kern w:val="2"/>
          <w:sz w:val="36"/>
          <w:szCs w:val="36"/>
          <w14:textFill>
            <w14:solidFill>
              <w14:schemeClr w14:val="tx1"/>
            </w14:solidFill>
          </w14:textFill>
        </w:rPr>
      </w:pPr>
      <w:r>
        <w:rPr>
          <w:rFonts w:hint="eastAsia" w:asciiTheme="majorEastAsia" w:hAnsiTheme="majorEastAsia" w:eastAsiaTheme="majorEastAsia" w:cstheme="majorEastAsia"/>
          <w:color w:val="000000" w:themeColor="text1"/>
          <w:kern w:val="2"/>
          <w:sz w:val="36"/>
          <w:szCs w:val="36"/>
          <w14:textFill>
            <w14:solidFill>
              <w14:schemeClr w14:val="tx1"/>
            </w14:solidFill>
          </w14:textFill>
        </w:rPr>
        <w:t>2020年2月</w:t>
      </w:r>
    </w:p>
    <w:p>
      <w:pPr>
        <w:spacing w:line="560" w:lineRule="exact"/>
        <w:jc w:val="center"/>
        <w:rPr>
          <w:rFonts w:ascii="宋体" w:hAnsi="宋体" w:cs="宋体"/>
          <w:b/>
          <w:sz w:val="44"/>
          <w:szCs w:val="44"/>
        </w:rPr>
      </w:pP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本报告根据《中华人民共和国政府信息公开条例》（</w:t>
      </w:r>
      <w:r>
        <w:rPr>
          <w:rFonts w:hint="eastAsia" w:ascii="Times New Roman" w:hAnsi="Times New Roman" w:eastAsia="仿宋_GB2312"/>
          <w:sz w:val="32"/>
          <w:szCs w:val="32"/>
        </w:rPr>
        <w:t>国务院令第</w:t>
      </w:r>
      <w:r>
        <w:rPr>
          <w:rFonts w:ascii="Times New Roman" w:hAnsi="Times New Roman" w:eastAsia="仿宋_GB2312"/>
          <w:sz w:val="32"/>
          <w:szCs w:val="32"/>
        </w:rPr>
        <w:t>711</w:t>
      </w:r>
      <w:r>
        <w:rPr>
          <w:rFonts w:hint="eastAsia" w:ascii="Times New Roman" w:hAnsi="Times New Roman" w:eastAsia="仿宋_GB2312"/>
          <w:sz w:val="32"/>
          <w:szCs w:val="32"/>
        </w:rPr>
        <w:t>号，以下简称《条例》</w:t>
      </w:r>
      <w:r>
        <w:rPr>
          <w:rFonts w:hint="eastAsia" w:ascii="仿宋_GB2312" w:hAnsi="仿宋" w:eastAsia="仿宋_GB2312" w:cs="仿宋"/>
          <w:color w:val="000000" w:themeColor="text1"/>
          <w:sz w:val="32"/>
          <w:szCs w:val="32"/>
          <w14:textFill>
            <w14:solidFill>
              <w14:schemeClr w14:val="tx1"/>
            </w14:solidFill>
          </w14:textFill>
        </w:rPr>
        <w:t>）要求，由高青县人民政府办公室综合各乡镇人民政府、街道办事处、经济开发区管委会和县政府各部门、各有关单位政府信息公开工作情况编制。</w:t>
      </w:r>
    </w:p>
    <w:p>
      <w:pPr>
        <w:ind w:firstLine="640" w:firstLineChars="200"/>
        <w:jc w:val="left"/>
        <w:rPr>
          <w:rFonts w:ascii="黑体" w:hAnsi="黑体" w:eastAsia="黑体"/>
          <w:kern w:val="22"/>
          <w:sz w:val="32"/>
          <w:szCs w:val="32"/>
        </w:rPr>
      </w:pPr>
      <w:r>
        <w:rPr>
          <w:rFonts w:hint="eastAsia" w:ascii="仿宋_GB2312" w:hAnsi="仿宋" w:eastAsia="仿宋_GB2312" w:cs="仿宋"/>
          <w:color w:val="000000" w:themeColor="text1"/>
          <w:sz w:val="32"/>
          <w:szCs w:val="32"/>
          <w14:textFill>
            <w14:solidFill>
              <w14:schemeClr w14:val="tx1"/>
            </w14:solidFill>
          </w14:textFill>
        </w:rPr>
        <w:t>报告全文由总体情况、主动公开政府信息情况、收到和处理政府信息公开申请情况、政府信息公开行政复议行政诉讼情况、存在的主要问题及改进情况、其他需要报告的事项6个部分组成。</w:t>
      </w:r>
    </w:p>
    <w:p>
      <w:pPr>
        <w:spacing w:line="560" w:lineRule="exact"/>
        <w:ind w:firstLine="640" w:firstLineChars="200"/>
        <w:jc w:val="left"/>
        <w:rPr>
          <w:rFonts w:ascii="黑体" w:hAnsi="黑体" w:eastAsia="黑体"/>
          <w:kern w:val="22"/>
          <w:sz w:val="32"/>
          <w:szCs w:val="32"/>
        </w:rPr>
      </w:pPr>
      <w:r>
        <w:rPr>
          <w:rFonts w:hint="eastAsia" w:ascii="仿宋_GB2312" w:hAnsi="仿宋" w:eastAsia="仿宋_GB2312" w:cs="仿宋"/>
          <w:color w:val="000000" w:themeColor="text1"/>
          <w:sz w:val="32"/>
          <w:szCs w:val="32"/>
          <w14:textFill>
            <w14:solidFill>
              <w14:schemeClr w14:val="tx1"/>
            </w14:solidFill>
          </w14:textFill>
        </w:rPr>
        <w:t>报告中所列数据统计期限自2019年1月1日始，至2019年12月31日止。报告电子版可在高青县人民政府门户网站（www.gaoqing.gov.cn）查阅和下载。如对报告内容有疑问，</w:t>
      </w:r>
      <w:r>
        <w:rPr>
          <w:rFonts w:hint="eastAsia" w:ascii="Times New Roman" w:hAnsi="Times New Roman" w:eastAsia="仿宋_GB2312"/>
          <w:kern w:val="22"/>
          <w:sz w:val="32"/>
          <w:szCs w:val="32"/>
        </w:rPr>
        <w:t>请与高青县人民政府办公室联系（地址：高青县城黄河路81号；邮编：256300；电话：0533-6967090；传真：0533-6967065）。</w:t>
      </w:r>
    </w:p>
    <w:p>
      <w:pPr>
        <w:spacing w:line="560" w:lineRule="exact"/>
        <w:ind w:firstLine="640" w:firstLineChars="200"/>
        <w:jc w:val="left"/>
        <w:rPr>
          <w:rFonts w:ascii="黑体" w:hAnsi="黑体" w:eastAsia="黑体"/>
          <w:kern w:val="22"/>
          <w:sz w:val="32"/>
          <w:szCs w:val="32"/>
        </w:rPr>
      </w:pPr>
    </w:p>
    <w:p>
      <w:pPr>
        <w:spacing w:line="560" w:lineRule="exact"/>
        <w:ind w:firstLine="640" w:firstLineChars="200"/>
        <w:jc w:val="left"/>
        <w:rPr>
          <w:rFonts w:ascii="黑体" w:hAnsi="黑体" w:eastAsia="黑体"/>
          <w:kern w:val="22"/>
          <w:sz w:val="32"/>
          <w:szCs w:val="32"/>
        </w:rPr>
      </w:pPr>
    </w:p>
    <w:p>
      <w:pPr>
        <w:spacing w:line="560" w:lineRule="exact"/>
        <w:ind w:firstLine="640" w:firstLineChars="200"/>
        <w:jc w:val="left"/>
        <w:rPr>
          <w:rFonts w:ascii="黑体" w:hAnsi="黑体" w:eastAsia="黑体"/>
          <w:kern w:val="22"/>
          <w:sz w:val="32"/>
          <w:szCs w:val="32"/>
        </w:rPr>
      </w:pPr>
    </w:p>
    <w:p>
      <w:pPr>
        <w:spacing w:line="560" w:lineRule="exact"/>
        <w:ind w:firstLine="640" w:firstLineChars="200"/>
        <w:jc w:val="left"/>
        <w:rPr>
          <w:rFonts w:ascii="黑体" w:hAnsi="黑体" w:eastAsia="黑体"/>
          <w:kern w:val="22"/>
          <w:sz w:val="32"/>
          <w:szCs w:val="32"/>
        </w:rPr>
      </w:pPr>
    </w:p>
    <w:p>
      <w:pPr>
        <w:spacing w:line="560" w:lineRule="exact"/>
        <w:ind w:firstLine="640" w:firstLineChars="200"/>
        <w:jc w:val="left"/>
        <w:rPr>
          <w:rFonts w:ascii="黑体" w:hAnsi="黑体" w:eastAsia="黑体"/>
          <w:kern w:val="22"/>
          <w:sz w:val="32"/>
          <w:szCs w:val="32"/>
        </w:rPr>
      </w:pPr>
    </w:p>
    <w:p>
      <w:pPr>
        <w:spacing w:line="560" w:lineRule="exact"/>
        <w:ind w:firstLine="640" w:firstLineChars="200"/>
        <w:jc w:val="left"/>
        <w:rPr>
          <w:rFonts w:ascii="黑体" w:hAnsi="黑体" w:eastAsia="黑体"/>
          <w:kern w:val="22"/>
          <w:sz w:val="32"/>
          <w:szCs w:val="32"/>
        </w:rPr>
      </w:pPr>
    </w:p>
    <w:p>
      <w:pPr>
        <w:spacing w:line="560" w:lineRule="exact"/>
        <w:ind w:firstLine="640" w:firstLineChars="200"/>
        <w:jc w:val="left"/>
        <w:rPr>
          <w:rFonts w:ascii="黑体" w:hAnsi="黑体" w:eastAsia="黑体"/>
          <w:kern w:val="22"/>
          <w:sz w:val="32"/>
          <w:szCs w:val="32"/>
        </w:rPr>
      </w:pPr>
    </w:p>
    <w:p>
      <w:pPr>
        <w:spacing w:line="560" w:lineRule="exact"/>
        <w:ind w:firstLine="640" w:firstLineChars="200"/>
        <w:jc w:val="left"/>
        <w:rPr>
          <w:rFonts w:ascii="黑体" w:hAnsi="黑体" w:eastAsia="黑体"/>
          <w:kern w:val="22"/>
          <w:sz w:val="32"/>
          <w:szCs w:val="32"/>
        </w:rPr>
      </w:pPr>
    </w:p>
    <w:p>
      <w:pPr>
        <w:spacing w:line="560" w:lineRule="exact"/>
        <w:ind w:firstLine="640" w:firstLineChars="200"/>
        <w:jc w:val="left"/>
        <w:rPr>
          <w:rFonts w:ascii="黑体" w:hAnsi="黑体" w:eastAsia="黑体"/>
          <w:kern w:val="22"/>
          <w:sz w:val="32"/>
          <w:szCs w:val="32"/>
        </w:rPr>
      </w:pPr>
    </w:p>
    <w:p>
      <w:pPr>
        <w:spacing w:line="560" w:lineRule="exact"/>
        <w:ind w:firstLine="640" w:firstLineChars="200"/>
        <w:jc w:val="left"/>
        <w:rPr>
          <w:rFonts w:ascii="黑体" w:hAnsi="黑体" w:eastAsia="黑体"/>
          <w:kern w:val="22"/>
          <w:sz w:val="32"/>
          <w:szCs w:val="32"/>
        </w:rPr>
      </w:pPr>
    </w:p>
    <w:p>
      <w:pPr>
        <w:spacing w:line="560" w:lineRule="exact"/>
        <w:ind w:firstLine="640" w:firstLineChars="200"/>
        <w:jc w:val="left"/>
        <w:rPr>
          <w:rFonts w:ascii="黑体" w:hAnsi="黑体" w:eastAsia="黑体"/>
          <w:kern w:val="22"/>
          <w:sz w:val="32"/>
          <w:szCs w:val="32"/>
        </w:rPr>
      </w:pPr>
      <w:r>
        <w:rPr>
          <w:rFonts w:hint="eastAsia" w:ascii="黑体" w:hAnsi="黑体" w:eastAsia="黑体"/>
          <w:kern w:val="22"/>
          <w:sz w:val="32"/>
          <w:szCs w:val="32"/>
        </w:rPr>
        <w:t>一、总体情况</w:t>
      </w:r>
    </w:p>
    <w:p>
      <w:pPr>
        <w:pStyle w:val="8"/>
        <w:widowControl/>
        <w:spacing w:after="0" w:line="560" w:lineRule="exact"/>
        <w:ind w:firstLine="640" w:firstLineChars="200"/>
        <w:jc w:val="both"/>
        <w:rPr>
          <w:rFonts w:ascii="Times New Roman" w:hAnsi="Times New Roman" w:eastAsia="仿宋_GB2312"/>
          <w:kern w:val="22"/>
          <w:sz w:val="32"/>
          <w:szCs w:val="32"/>
        </w:rPr>
      </w:pPr>
      <w:r>
        <w:rPr>
          <w:rFonts w:hint="eastAsia" w:ascii="Times New Roman" w:hAnsi="Times New Roman" w:eastAsia="仿宋_GB2312"/>
          <w:kern w:val="22"/>
          <w:sz w:val="32"/>
          <w:szCs w:val="32"/>
        </w:rPr>
        <w:t>2019年，高青县深入贯彻新修订的《中华人民共和国政府信息公开条例》，认真落实《国务院办公厅关于印发2019年政务公开工作要点的通知》（国办发〔2019〕14号）、《山东省人民政府办公厅关于印发2019年山东省政务公开工作要点的通知》（鲁政办发〔2019〕15号）和《淄博市人民政府办公室关于印发2019年淄博市政务公开工作方案的通知》（淄政办发〔2019〕5号）部署的各项任务，持续做好信息发布、解读回应、政民互动、平台建设，着力推动行政权力全过程公开、公共服务全流程公开、社会关切全方位回应，切实提升政务公开质量，为全年经济社会发展创造更加开放透明的政务环境。</w:t>
      </w:r>
    </w:p>
    <w:p>
      <w:pPr>
        <w:pStyle w:val="8"/>
        <w:widowControl/>
        <w:spacing w:after="0" w:line="560" w:lineRule="exact"/>
        <w:ind w:firstLine="643" w:firstLineChars="200"/>
        <w:jc w:val="both"/>
        <w:rPr>
          <w:rFonts w:ascii="楷体_GB2312" w:hAnsi="Times New Roman" w:eastAsia="楷体_GB2312"/>
          <w:b/>
          <w:kern w:val="22"/>
          <w:sz w:val="32"/>
          <w:szCs w:val="32"/>
        </w:rPr>
      </w:pPr>
      <w:r>
        <w:rPr>
          <w:rFonts w:hint="eastAsia" w:ascii="楷体_GB2312" w:hAnsi="Times New Roman" w:eastAsia="楷体_GB2312"/>
          <w:b/>
          <w:kern w:val="22"/>
          <w:sz w:val="32"/>
          <w:szCs w:val="32"/>
        </w:rPr>
        <w:t>（一）政府信息公开体制机制建设情况</w:t>
      </w:r>
    </w:p>
    <w:p>
      <w:pPr>
        <w:pStyle w:val="8"/>
        <w:widowControl/>
        <w:spacing w:after="0" w:line="560" w:lineRule="exact"/>
        <w:ind w:firstLine="643" w:firstLineChars="200"/>
        <w:jc w:val="both"/>
        <w:rPr>
          <w:rFonts w:ascii="Times New Roman" w:hAnsi="Times New Roman" w:eastAsia="仿宋_GB2312"/>
          <w:kern w:val="22"/>
          <w:sz w:val="32"/>
          <w:szCs w:val="32"/>
        </w:rPr>
      </w:pPr>
      <w:r>
        <w:rPr>
          <w:rFonts w:hint="eastAsia" w:ascii="Times New Roman" w:hAnsi="Times New Roman" w:eastAsia="仿宋_GB2312"/>
          <w:b/>
          <w:kern w:val="22"/>
          <w:sz w:val="32"/>
          <w:szCs w:val="32"/>
        </w:rPr>
        <w:t>一是强化部署推动。</w:t>
      </w:r>
      <w:r>
        <w:rPr>
          <w:rFonts w:hint="eastAsia" w:ascii="Times New Roman" w:hAnsi="Times New Roman" w:eastAsia="仿宋_GB2312"/>
          <w:kern w:val="22"/>
          <w:sz w:val="32"/>
          <w:szCs w:val="32"/>
        </w:rPr>
        <w:t>县政府将深化政务公开、大力营造风清气正的政务生态写入2019年政府工作报告，统一部署，统筹推进；县政府常务会议将政府信息公开工作列入议题；继续明确由常务副县长分管政务公开工作，并向社会公开。</w:t>
      </w:r>
    </w:p>
    <w:p>
      <w:pPr>
        <w:pStyle w:val="8"/>
        <w:widowControl/>
        <w:spacing w:after="0" w:line="560" w:lineRule="exact"/>
        <w:ind w:firstLine="480" w:firstLineChars="200"/>
        <w:jc w:val="both"/>
        <w:rPr>
          <w:rFonts w:ascii="Times New Roman" w:hAnsi="Times New Roman" w:eastAsia="仿宋_GB2312"/>
          <w:kern w:val="22"/>
          <w:sz w:val="32"/>
          <w:szCs w:val="32"/>
        </w:rPr>
      </w:pPr>
      <w:r>
        <w:drawing>
          <wp:anchor distT="0" distB="0" distL="114300" distR="114300" simplePos="0" relativeHeight="251661312" behindDoc="0" locked="0" layoutInCell="1" allowOverlap="1">
            <wp:simplePos x="0" y="0"/>
            <wp:positionH relativeFrom="column">
              <wp:posOffset>220345</wp:posOffset>
            </wp:positionH>
            <wp:positionV relativeFrom="paragraph">
              <wp:posOffset>29210</wp:posOffset>
            </wp:positionV>
            <wp:extent cx="5063490" cy="2609850"/>
            <wp:effectExtent l="0" t="0" r="381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063706" cy="2609592"/>
                    </a:xfrm>
                    <a:prstGeom prst="rect">
                      <a:avLst/>
                    </a:prstGeom>
                  </pic:spPr>
                </pic:pic>
              </a:graphicData>
            </a:graphic>
          </wp:anchor>
        </w:drawing>
      </w:r>
    </w:p>
    <w:p>
      <w:pPr>
        <w:pStyle w:val="8"/>
        <w:widowControl/>
        <w:spacing w:after="0" w:line="560" w:lineRule="exact"/>
        <w:ind w:firstLine="640" w:firstLineChars="200"/>
        <w:jc w:val="both"/>
        <w:rPr>
          <w:rFonts w:ascii="Times New Roman" w:hAnsi="Times New Roman" w:eastAsia="仿宋_GB2312"/>
          <w:kern w:val="22"/>
          <w:sz w:val="32"/>
          <w:szCs w:val="32"/>
        </w:rPr>
      </w:pPr>
    </w:p>
    <w:p>
      <w:pPr>
        <w:pStyle w:val="8"/>
        <w:widowControl/>
        <w:spacing w:after="0" w:line="560" w:lineRule="exact"/>
        <w:ind w:firstLine="640" w:firstLineChars="200"/>
        <w:jc w:val="both"/>
        <w:rPr>
          <w:rFonts w:ascii="Times New Roman" w:hAnsi="Times New Roman" w:eastAsia="仿宋_GB2312"/>
          <w:kern w:val="22"/>
          <w:sz w:val="32"/>
          <w:szCs w:val="32"/>
        </w:rPr>
      </w:pPr>
    </w:p>
    <w:p>
      <w:pPr>
        <w:pStyle w:val="8"/>
        <w:widowControl/>
        <w:spacing w:after="0" w:line="560" w:lineRule="exact"/>
        <w:ind w:firstLine="640" w:firstLineChars="200"/>
        <w:jc w:val="both"/>
        <w:rPr>
          <w:rFonts w:ascii="Times New Roman" w:hAnsi="Times New Roman" w:eastAsia="仿宋_GB2312"/>
          <w:kern w:val="22"/>
          <w:sz w:val="32"/>
          <w:szCs w:val="32"/>
        </w:rPr>
      </w:pPr>
    </w:p>
    <w:p>
      <w:pPr>
        <w:pStyle w:val="8"/>
        <w:widowControl/>
        <w:spacing w:after="0" w:line="560" w:lineRule="exact"/>
        <w:ind w:firstLine="640" w:firstLineChars="200"/>
        <w:jc w:val="both"/>
        <w:rPr>
          <w:rFonts w:ascii="Times New Roman" w:hAnsi="Times New Roman" w:eastAsia="仿宋_GB2312"/>
          <w:kern w:val="22"/>
          <w:sz w:val="32"/>
          <w:szCs w:val="32"/>
        </w:rPr>
      </w:pPr>
    </w:p>
    <w:p>
      <w:pPr>
        <w:pStyle w:val="8"/>
        <w:widowControl/>
        <w:spacing w:after="0" w:line="560" w:lineRule="exact"/>
        <w:ind w:firstLine="640" w:firstLineChars="200"/>
        <w:jc w:val="both"/>
        <w:rPr>
          <w:rFonts w:ascii="Times New Roman" w:hAnsi="Times New Roman" w:eastAsia="仿宋_GB2312"/>
          <w:kern w:val="22"/>
          <w:sz w:val="32"/>
          <w:szCs w:val="32"/>
        </w:rPr>
      </w:pPr>
    </w:p>
    <w:p>
      <w:pPr>
        <w:pStyle w:val="8"/>
        <w:widowControl/>
        <w:spacing w:after="0" w:line="560" w:lineRule="exact"/>
        <w:ind w:firstLine="640" w:firstLineChars="200"/>
        <w:jc w:val="both"/>
        <w:rPr>
          <w:rFonts w:ascii="Times New Roman" w:hAnsi="Times New Roman" w:eastAsia="仿宋_GB2312"/>
          <w:kern w:val="22"/>
          <w:sz w:val="32"/>
          <w:szCs w:val="32"/>
        </w:rPr>
      </w:pPr>
    </w:p>
    <w:p>
      <w:pPr>
        <w:pStyle w:val="8"/>
        <w:widowControl/>
        <w:spacing w:after="0" w:line="560" w:lineRule="exact"/>
        <w:ind w:firstLine="643" w:firstLineChars="200"/>
        <w:jc w:val="both"/>
        <w:rPr>
          <w:rFonts w:ascii="Times New Roman" w:hAnsi="Times New Roman" w:eastAsia="仿宋_GB2312"/>
          <w:kern w:val="22"/>
          <w:sz w:val="32"/>
          <w:szCs w:val="32"/>
        </w:rPr>
      </w:pPr>
      <w:r>
        <w:rPr>
          <w:rFonts w:hint="eastAsia" w:ascii="Times New Roman" w:hAnsi="Times New Roman" w:eastAsia="仿宋_GB2312"/>
          <w:b/>
          <w:kern w:val="22"/>
          <w:sz w:val="32"/>
          <w:szCs w:val="32"/>
        </w:rPr>
        <w:t>二是加强组织领导。</w:t>
      </w:r>
      <w:r>
        <w:drawing>
          <wp:anchor distT="0" distB="0" distL="114300" distR="114300" simplePos="0" relativeHeight="251660288" behindDoc="1" locked="0" layoutInCell="1" allowOverlap="1">
            <wp:simplePos x="0" y="0"/>
            <wp:positionH relativeFrom="column">
              <wp:posOffset>2747010</wp:posOffset>
            </wp:positionH>
            <wp:positionV relativeFrom="paragraph">
              <wp:posOffset>85725</wp:posOffset>
            </wp:positionV>
            <wp:extent cx="2458085" cy="2719070"/>
            <wp:effectExtent l="0" t="0" r="0" b="5080"/>
            <wp:wrapTight wrapText="bothSides">
              <wp:wrapPolygon>
                <wp:start x="0" y="0"/>
                <wp:lineTo x="0" y="21489"/>
                <wp:lineTo x="21427" y="21489"/>
                <wp:lineTo x="21427"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8085" cy="2719070"/>
                    </a:xfrm>
                    <a:prstGeom prst="rect">
                      <a:avLst/>
                    </a:prstGeom>
                  </pic:spPr>
                </pic:pic>
              </a:graphicData>
            </a:graphic>
          </wp:anchor>
        </w:drawing>
      </w:r>
      <w:r>
        <w:rPr>
          <w:rFonts w:hint="eastAsia" w:ascii="Times New Roman" w:hAnsi="Times New Roman" w:eastAsia="仿宋_GB2312"/>
          <w:kern w:val="22"/>
          <w:sz w:val="32"/>
          <w:szCs w:val="32"/>
        </w:rPr>
        <w:t>调整县政务公开领导小组，印发《高青县人民政府办公室关于调整高青县政务公开领导小组的通知》（高</w:t>
      </w:r>
      <w:r>
        <w:rPr>
          <w:rFonts w:ascii="Times New Roman" w:hAnsi="Times New Roman" w:eastAsia="仿宋_GB2312"/>
          <w:kern w:val="22"/>
          <w:sz w:val="32"/>
          <w:szCs w:val="32"/>
        </w:rPr>
        <w:t>政办字〔2019〕</w:t>
      </w:r>
      <w:r>
        <w:rPr>
          <w:rFonts w:hint="eastAsia" w:ascii="Times New Roman" w:hAnsi="Times New Roman" w:eastAsia="仿宋_GB2312"/>
          <w:kern w:val="22"/>
          <w:sz w:val="32"/>
          <w:szCs w:val="32"/>
        </w:rPr>
        <w:t>47</w:t>
      </w:r>
      <w:r>
        <w:rPr>
          <w:rFonts w:ascii="Times New Roman" w:hAnsi="Times New Roman" w:eastAsia="仿宋_GB2312"/>
          <w:kern w:val="22"/>
          <w:sz w:val="32"/>
          <w:szCs w:val="32"/>
        </w:rPr>
        <w:t>号</w:t>
      </w:r>
      <w:r>
        <w:rPr>
          <w:rFonts w:hint="eastAsia" w:ascii="Times New Roman" w:hAnsi="Times New Roman" w:eastAsia="仿宋_GB2312"/>
          <w:kern w:val="22"/>
          <w:sz w:val="32"/>
          <w:szCs w:val="32"/>
        </w:rPr>
        <w:t>），由常务副县长任组长，成员单位调整为30个。</w:t>
      </w:r>
    </w:p>
    <w:p>
      <w:pPr>
        <w:pStyle w:val="8"/>
        <w:widowControl/>
        <w:spacing w:after="0" w:line="560" w:lineRule="exact"/>
        <w:ind w:firstLine="640" w:firstLineChars="200"/>
        <w:jc w:val="both"/>
        <w:rPr>
          <w:rFonts w:ascii="楷体_GB2312" w:hAnsi="Times New Roman" w:eastAsia="楷体_GB2312"/>
          <w:kern w:val="22"/>
          <w:sz w:val="32"/>
          <w:szCs w:val="32"/>
        </w:rPr>
      </w:pPr>
    </w:p>
    <w:p>
      <w:pPr>
        <w:pStyle w:val="8"/>
        <w:widowControl/>
        <w:spacing w:after="0" w:line="560" w:lineRule="exact"/>
        <w:ind w:firstLine="643" w:firstLineChars="200"/>
        <w:jc w:val="both"/>
        <w:rPr>
          <w:rFonts w:ascii="楷体_GB2312" w:hAnsi="Times New Roman" w:eastAsia="楷体_GB2312"/>
          <w:b/>
          <w:kern w:val="22"/>
          <w:sz w:val="32"/>
          <w:szCs w:val="32"/>
        </w:rPr>
      </w:pPr>
      <w:r>
        <w:rPr>
          <w:rFonts w:hint="eastAsia" w:ascii="楷体_GB2312" w:hAnsi="Times New Roman" w:eastAsia="楷体_GB2312"/>
          <w:b/>
          <w:kern w:val="22"/>
          <w:sz w:val="32"/>
          <w:szCs w:val="32"/>
        </w:rPr>
        <w:t>（二）主动公开</w:t>
      </w:r>
    </w:p>
    <w:p>
      <w:pPr>
        <w:pStyle w:val="8"/>
        <w:widowControl/>
        <w:spacing w:after="0" w:line="560" w:lineRule="exact"/>
        <w:ind w:firstLine="640" w:firstLineChars="200"/>
        <w:jc w:val="both"/>
        <w:rPr>
          <w:rFonts w:ascii="仿宋_GB2312" w:eastAsia="仿宋_GB2312"/>
          <w:sz w:val="32"/>
          <w:szCs w:val="32"/>
        </w:rPr>
      </w:pPr>
      <w:r>
        <w:rPr>
          <w:rFonts w:hint="eastAsia" w:ascii="仿宋_GB2312" w:eastAsia="仿宋_GB2312"/>
          <w:sz w:val="32"/>
          <w:szCs w:val="32"/>
        </w:rPr>
        <w:t>1.围绕政策落实扩大公开</w:t>
      </w:r>
    </w:p>
    <w:p>
      <w:pPr>
        <w:pStyle w:val="8"/>
        <w:widowControl/>
        <w:spacing w:after="0" w:line="560" w:lineRule="exact"/>
        <w:ind w:firstLine="643" w:firstLineChars="200"/>
        <w:jc w:val="both"/>
        <w:rPr>
          <w:rFonts w:ascii="Times New Roman" w:hAnsi="Times New Roman" w:eastAsia="仿宋_GB2312"/>
          <w:b/>
          <w:kern w:val="22"/>
          <w:sz w:val="32"/>
          <w:szCs w:val="32"/>
        </w:rPr>
      </w:pPr>
      <w:r>
        <w:rPr>
          <w:rFonts w:hint="eastAsia" w:ascii="仿宋_GB2312" w:eastAsia="仿宋_GB2312"/>
          <w:b/>
          <w:sz w:val="32"/>
          <w:szCs w:val="32"/>
        </w:rPr>
        <w:t>人大代表建议和政协委员提案办理结果公开方面</w:t>
      </w:r>
      <w:r>
        <w:rPr>
          <w:rFonts w:hint="eastAsia" w:ascii="仿宋_GB2312" w:eastAsia="仿宋_GB2312"/>
          <w:sz w:val="32"/>
          <w:szCs w:val="32"/>
        </w:rPr>
        <w:t>：按照《高青县人民政府办公室关于做好2019年度政府系统建议提案办理工作的通知》（高政办字〔2019〕14号）要求，在县政府网站“建议提案办理”栏目主动公开人大代表建议和政协委员提案办理情况。2019年主动公开县政府承办的17件县人大代表建议、20件县政协委员提案的整体办理情况，对涉及公共利益、公众权益、社会关切及需要社会广泛知晓的建议和提案办理复文全文予以公开。</w:t>
      </w:r>
    </w:p>
    <w:p>
      <w:pPr>
        <w:pStyle w:val="8"/>
        <w:widowControl/>
        <w:spacing w:after="0" w:line="560" w:lineRule="exact"/>
        <w:ind w:firstLine="643" w:firstLineChars="200"/>
        <w:jc w:val="both"/>
        <w:rPr>
          <w:rFonts w:ascii="仿宋_GB2312" w:hAnsi="仿宋" w:eastAsia="仿宋_GB2312" w:cs="仿宋_GB2312"/>
          <w:bCs/>
          <w:sz w:val="32"/>
          <w:szCs w:val="32"/>
        </w:rPr>
      </w:pPr>
      <w:r>
        <w:rPr>
          <w:rFonts w:hint="eastAsia" w:ascii="Times New Roman" w:hAnsi="Times New Roman" w:eastAsia="仿宋_GB2312"/>
          <w:b/>
          <w:kern w:val="22"/>
          <w:sz w:val="32"/>
          <w:szCs w:val="32"/>
        </w:rPr>
        <w:t>优化营商环境方面：</w:t>
      </w:r>
      <w:r>
        <w:rPr>
          <w:rFonts w:hint="eastAsia" w:ascii="仿宋_GB2312" w:hAnsi="仿宋" w:eastAsia="仿宋_GB2312" w:cs="仿宋_GB2312"/>
          <w:bCs/>
          <w:sz w:val="32"/>
          <w:szCs w:val="32"/>
        </w:rPr>
        <w:t>开展告知承诺制审批，印发《高青县审批服务告知承诺制实施办法》，24个部门368个事项实行了告知承诺制，办理各类告知承诺事项600余件。公开机构改革后政府部门权责清单，截至2019年12月底，完成认领、调整并公布县级权责事项共34个部门5238项；完成动态调整1126项，并通过山东省政务服务网、县政府网站公开发布。</w:t>
      </w:r>
      <w:r>
        <w:rPr>
          <w:rFonts w:hint="eastAsia" w:ascii="仿宋_GB2312" w:eastAsia="仿宋_GB2312"/>
          <w:sz w:val="32"/>
          <w:szCs w:val="32"/>
        </w:rPr>
        <w:t>持续推进规范性文件清理结果公开，印发《高青县人民政府关于公布规范性文件清理结果的通知》（高政字〔2019〕42号），对2012年1月1日至2018年12月31日制定的67件规范性文件进行清理，保留36件、废止31件。</w:t>
      </w:r>
      <w:r>
        <w:rPr>
          <w:rFonts w:hint="eastAsia" w:ascii="仿宋_GB2312" w:hAnsi="仿宋" w:eastAsia="仿宋_GB2312" w:cs="仿宋_GB2312"/>
          <w:bCs/>
          <w:sz w:val="32"/>
          <w:szCs w:val="32"/>
        </w:rPr>
        <w:t>健全</w:t>
      </w:r>
      <w:r>
        <w:rPr>
          <w:rFonts w:hint="eastAsia" w:ascii="仿宋_GB2312" w:eastAsia="仿宋_GB2312"/>
          <w:sz w:val="32"/>
          <w:szCs w:val="32"/>
        </w:rPr>
        <w:t>监管</w:t>
      </w:r>
      <w:r>
        <w:rPr>
          <w:rFonts w:hint="eastAsia" w:ascii="仿宋_GB2312" w:hAnsi="仿宋" w:eastAsia="仿宋_GB2312" w:cs="仿宋_GB2312"/>
          <w:bCs/>
          <w:sz w:val="32"/>
          <w:szCs w:val="32"/>
        </w:rPr>
        <w:t>机制，全部公开行政许可、行政处罚等检查处置结果。</w:t>
      </w:r>
    </w:p>
    <w:p>
      <w:pPr>
        <w:pStyle w:val="8"/>
        <w:widowControl/>
        <w:spacing w:after="0" w:line="560" w:lineRule="exact"/>
        <w:ind w:firstLine="480" w:firstLineChars="200"/>
        <w:jc w:val="both"/>
        <w:rPr>
          <w:rFonts w:ascii="仿宋_GB2312" w:eastAsia="仿宋_GB2312"/>
          <w:sz w:val="32"/>
          <w:szCs w:val="32"/>
        </w:rPr>
      </w:pPr>
      <w:r>
        <w:drawing>
          <wp:anchor distT="0" distB="0" distL="114300" distR="114300" simplePos="0" relativeHeight="251662336" behindDoc="1" locked="0" layoutInCell="1" allowOverlap="1">
            <wp:simplePos x="0" y="0"/>
            <wp:positionH relativeFrom="column">
              <wp:posOffset>1013460</wp:posOffset>
            </wp:positionH>
            <wp:positionV relativeFrom="paragraph">
              <wp:posOffset>1230630</wp:posOffset>
            </wp:positionV>
            <wp:extent cx="4260850" cy="3035935"/>
            <wp:effectExtent l="0" t="0" r="6350" b="0"/>
            <wp:wrapTight wrapText="bothSides">
              <wp:wrapPolygon>
                <wp:start x="0" y="0"/>
                <wp:lineTo x="0" y="21415"/>
                <wp:lineTo x="21536" y="21415"/>
                <wp:lineTo x="21536"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260850" cy="3035935"/>
                    </a:xfrm>
                    <a:prstGeom prst="rect">
                      <a:avLst/>
                    </a:prstGeom>
                  </pic:spPr>
                </pic:pic>
              </a:graphicData>
            </a:graphic>
          </wp:anchor>
        </w:drawing>
      </w:r>
      <w:r>
        <w:rPr>
          <w:rFonts w:ascii="仿宋_GB2312" w:eastAsia="仿宋_GB2312"/>
          <w:b/>
          <w:sz w:val="32"/>
          <w:szCs w:val="32"/>
        </w:rPr>
        <w:t>财政信息</w:t>
      </w:r>
      <w:r>
        <w:rPr>
          <w:rFonts w:hint="eastAsia" w:ascii="仿宋_GB2312" w:eastAsia="仿宋_GB2312"/>
          <w:b/>
          <w:sz w:val="32"/>
          <w:szCs w:val="32"/>
        </w:rPr>
        <w:t>公开方面：</w:t>
      </w:r>
      <w:r>
        <w:rPr>
          <w:rFonts w:ascii="仿宋_GB2312" w:eastAsia="仿宋_GB2312"/>
          <w:sz w:val="32"/>
          <w:szCs w:val="32"/>
        </w:rPr>
        <w:t>按照《高青县政府预算决算公开暂行办法》(高财字〔2014〕88号)和《高青县县级</w:t>
      </w:r>
      <w:r>
        <w:rPr>
          <w:rFonts w:hint="eastAsia" w:ascii="仿宋_GB2312" w:eastAsia="仿宋_GB2312"/>
          <w:sz w:val="32"/>
          <w:szCs w:val="32"/>
        </w:rPr>
        <w:t>“</w:t>
      </w:r>
      <w:r>
        <w:rPr>
          <w:rFonts w:ascii="仿宋_GB2312" w:eastAsia="仿宋_GB2312"/>
          <w:sz w:val="32"/>
          <w:szCs w:val="32"/>
        </w:rPr>
        <w:t>三公</w:t>
      </w:r>
      <w:r>
        <w:rPr>
          <w:rFonts w:hint="eastAsia" w:ascii="仿宋_GB2312" w:eastAsia="仿宋_GB2312"/>
          <w:sz w:val="32"/>
          <w:szCs w:val="32"/>
        </w:rPr>
        <w:t>”</w:t>
      </w:r>
      <w:r>
        <w:rPr>
          <w:rFonts w:ascii="仿宋_GB2312" w:eastAsia="仿宋_GB2312"/>
          <w:sz w:val="32"/>
          <w:szCs w:val="32"/>
        </w:rPr>
        <w:t>经费预算管理和公开暂行办法》(高财字〔2014〕89号)要求，除涉密单位和涉密信息外，将全县一级预算单位及所有镇办的</w:t>
      </w:r>
      <w:r>
        <w:rPr>
          <w:rFonts w:hint="eastAsia" w:ascii="仿宋_GB2312" w:eastAsia="仿宋_GB2312"/>
          <w:sz w:val="32"/>
          <w:szCs w:val="32"/>
        </w:rPr>
        <w:t>“</w:t>
      </w:r>
      <w:r>
        <w:rPr>
          <w:rFonts w:ascii="仿宋_GB2312" w:eastAsia="仿宋_GB2312"/>
          <w:sz w:val="32"/>
          <w:szCs w:val="32"/>
        </w:rPr>
        <w:t>全口径</w:t>
      </w:r>
      <w:r>
        <w:rPr>
          <w:rFonts w:hint="eastAsia" w:ascii="仿宋_GB2312" w:eastAsia="仿宋_GB2312"/>
          <w:sz w:val="32"/>
          <w:szCs w:val="32"/>
        </w:rPr>
        <w:t>”</w:t>
      </w:r>
      <w:r>
        <w:rPr>
          <w:rFonts w:ascii="仿宋_GB2312" w:eastAsia="仿宋_GB2312"/>
          <w:sz w:val="32"/>
          <w:szCs w:val="32"/>
        </w:rPr>
        <w:t>2019年政府预算、部门预算、</w:t>
      </w:r>
      <w:r>
        <w:rPr>
          <w:rFonts w:hint="eastAsia" w:ascii="仿宋_GB2312" w:eastAsia="仿宋_GB2312"/>
          <w:sz w:val="32"/>
          <w:szCs w:val="32"/>
        </w:rPr>
        <w:t>“</w:t>
      </w:r>
      <w:r>
        <w:rPr>
          <w:rFonts w:ascii="仿宋_GB2312" w:eastAsia="仿宋_GB2312"/>
          <w:sz w:val="32"/>
          <w:szCs w:val="32"/>
        </w:rPr>
        <w:t>三公</w:t>
      </w:r>
      <w:r>
        <w:rPr>
          <w:rFonts w:hint="eastAsia" w:ascii="仿宋_GB2312" w:eastAsia="仿宋_GB2312"/>
          <w:sz w:val="32"/>
          <w:szCs w:val="32"/>
        </w:rPr>
        <w:t>”</w:t>
      </w:r>
      <w:r>
        <w:rPr>
          <w:rFonts w:ascii="仿宋_GB2312" w:eastAsia="仿宋_GB2312"/>
          <w:sz w:val="32"/>
          <w:szCs w:val="32"/>
        </w:rPr>
        <w:t>经费预算和2018年政府决算、部门决算、</w:t>
      </w:r>
      <w:r>
        <w:rPr>
          <w:rFonts w:hint="eastAsia" w:ascii="仿宋_GB2312" w:eastAsia="仿宋_GB2312"/>
          <w:sz w:val="32"/>
          <w:szCs w:val="32"/>
        </w:rPr>
        <w:t>“</w:t>
      </w:r>
      <w:r>
        <w:rPr>
          <w:rFonts w:ascii="仿宋_GB2312" w:eastAsia="仿宋_GB2312"/>
          <w:sz w:val="32"/>
          <w:szCs w:val="32"/>
        </w:rPr>
        <w:t>三公</w:t>
      </w:r>
      <w:r>
        <w:rPr>
          <w:rFonts w:hint="eastAsia" w:ascii="仿宋_GB2312" w:eastAsia="仿宋_GB2312"/>
          <w:sz w:val="32"/>
          <w:szCs w:val="32"/>
        </w:rPr>
        <w:t>”</w:t>
      </w:r>
      <w:r>
        <w:rPr>
          <w:rFonts w:ascii="仿宋_GB2312" w:eastAsia="仿宋_GB2312"/>
          <w:sz w:val="32"/>
          <w:szCs w:val="32"/>
        </w:rPr>
        <w:t>经费决算信息全部在</w:t>
      </w:r>
      <w:r>
        <w:rPr>
          <w:rFonts w:hint="eastAsia" w:ascii="仿宋_GB2312" w:eastAsia="仿宋_GB2312"/>
          <w:sz w:val="32"/>
          <w:szCs w:val="32"/>
        </w:rPr>
        <w:t>县政府网站</w:t>
      </w:r>
      <w:r>
        <w:rPr>
          <w:rFonts w:ascii="仿宋_GB2312" w:eastAsia="仿宋_GB2312"/>
          <w:sz w:val="32"/>
          <w:szCs w:val="32"/>
        </w:rPr>
        <w:t>进行公开，并对县级</w:t>
      </w:r>
      <w:r>
        <w:rPr>
          <w:rFonts w:hint="eastAsia" w:ascii="仿宋_GB2312" w:eastAsia="仿宋_GB2312"/>
          <w:sz w:val="32"/>
          <w:szCs w:val="32"/>
        </w:rPr>
        <w:t>“</w:t>
      </w:r>
      <w:r>
        <w:rPr>
          <w:rFonts w:ascii="仿宋_GB2312" w:eastAsia="仿宋_GB2312"/>
          <w:sz w:val="32"/>
          <w:szCs w:val="32"/>
        </w:rPr>
        <w:t>三公</w:t>
      </w:r>
      <w:r>
        <w:rPr>
          <w:rFonts w:hint="eastAsia" w:ascii="仿宋_GB2312" w:eastAsia="仿宋_GB2312"/>
          <w:sz w:val="32"/>
          <w:szCs w:val="32"/>
        </w:rPr>
        <w:t>”</w:t>
      </w:r>
      <w:r>
        <w:rPr>
          <w:rFonts w:ascii="仿宋_GB2312" w:eastAsia="仿宋_GB2312"/>
          <w:sz w:val="32"/>
          <w:szCs w:val="32"/>
        </w:rPr>
        <w:t>经费增减变化原因进行了说明。每月定期公开财政收支信息，并对下一步形势进行预判。</w:t>
      </w:r>
    </w:p>
    <w:p>
      <w:pPr>
        <w:pStyle w:val="8"/>
        <w:widowControl/>
        <w:spacing w:after="0" w:line="560" w:lineRule="exact"/>
        <w:ind w:firstLine="640" w:firstLineChars="200"/>
        <w:jc w:val="both"/>
        <w:rPr>
          <w:rFonts w:ascii="仿宋_GB2312" w:eastAsia="仿宋_GB2312"/>
          <w:sz w:val="32"/>
          <w:szCs w:val="32"/>
        </w:rPr>
      </w:pPr>
    </w:p>
    <w:p>
      <w:pPr>
        <w:pStyle w:val="8"/>
        <w:widowControl/>
        <w:spacing w:after="0" w:line="560" w:lineRule="exact"/>
        <w:ind w:firstLine="640" w:firstLineChars="200"/>
        <w:jc w:val="both"/>
        <w:rPr>
          <w:rFonts w:ascii="仿宋_GB2312" w:eastAsia="仿宋_GB2312"/>
          <w:sz w:val="32"/>
          <w:szCs w:val="32"/>
        </w:rPr>
      </w:pPr>
    </w:p>
    <w:p>
      <w:pPr>
        <w:pStyle w:val="8"/>
        <w:widowControl/>
        <w:spacing w:after="0" w:line="560" w:lineRule="exact"/>
        <w:ind w:firstLine="643" w:firstLineChars="200"/>
        <w:jc w:val="both"/>
        <w:rPr>
          <w:rFonts w:ascii="仿宋_GB2312" w:eastAsia="仿宋_GB2312"/>
          <w:sz w:val="32"/>
          <w:szCs w:val="32"/>
        </w:rPr>
      </w:pPr>
      <w:r>
        <w:rPr>
          <w:rFonts w:hint="eastAsia" w:ascii="仿宋_GB2312" w:eastAsia="仿宋_GB2312"/>
          <w:b/>
          <w:sz w:val="32"/>
          <w:szCs w:val="32"/>
        </w:rPr>
        <w:t>公共资源配置和重大建设项目信息公开方面：</w:t>
      </w:r>
      <w:r>
        <w:rPr>
          <w:rFonts w:hint="eastAsia" w:ascii="仿宋_GB2312" w:eastAsia="仿宋_GB2312"/>
          <w:sz w:val="32"/>
          <w:szCs w:val="32"/>
        </w:rPr>
        <w:t>通过“淄博市公共资源交易中心”网站公开公共资源交易公告、资格审核记过、交易过程信息、成交信息以及有关变更信息等；在县政府网站公开保障性住房分配政策、分配对象、分配房源、分配程序、分配过程、分配结果等信息20余条。在县政府网站公开2019年度全县重大建设项目清单，集中发布重大建设项目的申报要求、申报材料清单、批准流程、招投标、土地征收、项目施工、质量安全监管、竣工验收等信息。</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国资国企监管信息公开方面：</w:t>
      </w:r>
      <w:r>
        <w:rPr>
          <w:rFonts w:hint="eastAsia" w:ascii="仿宋_GB2312" w:eastAsia="仿宋_GB2312"/>
          <w:kern w:val="0"/>
          <w:sz w:val="32"/>
          <w:szCs w:val="32"/>
        </w:rPr>
        <w:t>每月定期在县政府网站公开高青县国有企业总体情况及主要经济效益指标，对县属企业基本情况、县属企业主要经济效益指标及僵尸企业处置情况做出明确说明。</w:t>
      </w:r>
    </w:p>
    <w:p>
      <w:pPr>
        <w:pStyle w:val="8"/>
        <w:widowControl/>
        <w:spacing w:after="0" w:line="560" w:lineRule="exact"/>
        <w:ind w:firstLine="480" w:firstLineChars="200"/>
        <w:jc w:val="both"/>
        <w:rPr>
          <w:rFonts w:ascii="仿宋_GB2312" w:eastAsia="仿宋_GB2312"/>
          <w:sz w:val="32"/>
          <w:szCs w:val="32"/>
        </w:rPr>
      </w:pPr>
      <w:r>
        <w:drawing>
          <wp:anchor distT="0" distB="0" distL="114300" distR="114300" simplePos="0" relativeHeight="251663360" behindDoc="0" locked="0" layoutInCell="1" allowOverlap="1">
            <wp:simplePos x="0" y="0"/>
            <wp:positionH relativeFrom="column">
              <wp:posOffset>2399030</wp:posOffset>
            </wp:positionH>
            <wp:positionV relativeFrom="paragraph">
              <wp:posOffset>84455</wp:posOffset>
            </wp:positionV>
            <wp:extent cx="3025775" cy="3812540"/>
            <wp:effectExtent l="0" t="0" r="317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25775" cy="3812540"/>
                    </a:xfrm>
                    <a:prstGeom prst="rect">
                      <a:avLst/>
                    </a:prstGeom>
                  </pic:spPr>
                </pic:pic>
              </a:graphicData>
            </a:graphic>
          </wp:anchor>
        </w:drawing>
      </w:r>
      <w:r>
        <w:rPr>
          <w:rFonts w:hint="eastAsia" w:ascii="仿宋_GB2312" w:eastAsia="仿宋_GB2312"/>
          <w:b/>
          <w:sz w:val="32"/>
          <w:szCs w:val="32"/>
        </w:rPr>
        <w:t>行政执法信息公开方面：</w:t>
      </w:r>
      <w:r>
        <w:rPr>
          <w:rFonts w:hint="eastAsia" w:ascii="仿宋_GB2312" w:eastAsia="仿宋_GB2312"/>
          <w:sz w:val="32"/>
          <w:szCs w:val="32"/>
        </w:rPr>
        <w:t>印发《高青县人民政府关于公布县级行政执法主体的通知》（</w:t>
      </w:r>
      <w:r>
        <w:rPr>
          <w:rFonts w:ascii="仿宋_GB2312" w:eastAsia="仿宋_GB2312"/>
          <w:sz w:val="32"/>
          <w:szCs w:val="32"/>
        </w:rPr>
        <w:t>高政字〔2019〕61号</w:t>
      </w:r>
      <w:r>
        <w:rPr>
          <w:rFonts w:hint="eastAsia" w:ascii="仿宋_GB2312" w:eastAsia="仿宋_GB2312"/>
          <w:sz w:val="32"/>
          <w:szCs w:val="32"/>
        </w:rPr>
        <w:t>），按照“谁执法谁公示”原则，在县政府网站集中向社会公开执法职责、执法依据、执法对象、执法结论等信息，规范行政执法行为。</w:t>
      </w:r>
    </w:p>
    <w:p>
      <w:pPr>
        <w:pStyle w:val="8"/>
        <w:widowControl/>
        <w:spacing w:after="0" w:line="560" w:lineRule="exact"/>
        <w:ind w:firstLine="643" w:firstLineChars="200"/>
        <w:jc w:val="both"/>
        <w:rPr>
          <w:rFonts w:ascii="仿宋_GB2312" w:eastAsia="仿宋_GB2312"/>
          <w:sz w:val="32"/>
          <w:szCs w:val="32"/>
        </w:rPr>
      </w:pPr>
      <w:r>
        <w:rPr>
          <w:rFonts w:hint="eastAsia" w:ascii="仿宋_GB2312" w:eastAsia="仿宋_GB2312"/>
          <w:b/>
          <w:sz w:val="32"/>
          <w:szCs w:val="32"/>
        </w:rPr>
        <w:t>社会救助和社会福利信息公开方面：</w:t>
      </w:r>
      <w:r>
        <w:rPr>
          <w:rFonts w:hint="eastAsia" w:ascii="仿宋_GB2312" w:eastAsia="仿宋_GB2312"/>
          <w:sz w:val="32"/>
          <w:szCs w:val="32"/>
        </w:rPr>
        <w:t>重点公开城乡低保、特困人员救助供养、医疗救助、临时救助等各类救助的申报指南、救助对象认定、救助标准、资金支出等信息，实行低保长期公示制度。全面公开老年人福利、残疾人福利、儿童福利等福利补贴对象认定条件、申请范围、补贴标准等。</w:t>
      </w:r>
    </w:p>
    <w:p>
      <w:pPr>
        <w:pStyle w:val="8"/>
        <w:widowControl/>
        <w:spacing w:after="0" w:line="560" w:lineRule="exact"/>
        <w:ind w:firstLine="643" w:firstLineChars="200"/>
        <w:jc w:val="both"/>
        <w:rPr>
          <w:rFonts w:ascii="仿宋_GB2312" w:hAnsi="仿宋" w:eastAsia="仿宋_GB2312" w:cs="仿宋_GB2312"/>
          <w:bCs/>
          <w:sz w:val="32"/>
          <w:szCs w:val="32"/>
        </w:rPr>
      </w:pPr>
      <w:r>
        <w:rPr>
          <w:rFonts w:hint="eastAsia" w:ascii="仿宋_GB2312" w:hAnsi="仿宋" w:eastAsia="仿宋_GB2312" w:cs="仿宋_GB2312"/>
          <w:b/>
          <w:bCs/>
          <w:sz w:val="32"/>
          <w:szCs w:val="32"/>
        </w:rPr>
        <w:t>就业和社会保障信息公开方面：</w:t>
      </w:r>
      <w:r>
        <w:rPr>
          <w:rFonts w:hint="eastAsia" w:ascii="仿宋_GB2312" w:hAnsi="仿宋" w:eastAsia="仿宋_GB2312" w:cs="仿宋_GB2312"/>
          <w:bCs/>
          <w:sz w:val="32"/>
          <w:szCs w:val="32"/>
        </w:rPr>
        <w:t>通过县政府网站发布各类就业创业信息63条，对各项就业创业优惠扶持政策的实施范围、各项补贴政策的申领条件和程序、各项补贴的管理和审批情况进行公示。主动发布岗位供求信息4条（每季度一条），创业培训信息和各类创业补贴信息11条、职业培训信息6条，面向高校毕业生、退役军人、下岗职工、农民工等重点群体组织</w:t>
      </w:r>
      <w:r>
        <w:rPr>
          <w:rFonts w:ascii="仿宋_GB2312" w:hAnsi="仿宋" w:eastAsia="仿宋_GB2312" w:cs="仿宋_GB2312"/>
          <w:bCs/>
          <w:sz w:val="32"/>
          <w:szCs w:val="32"/>
        </w:rPr>
        <w:t>春风行动、民营企业招聘周等11项就业专项服务，参会单位165个次，累计提供就业岗位1260个，达成就业意向1530人次。</w:t>
      </w:r>
      <w:r>
        <w:rPr>
          <w:rFonts w:hint="eastAsia" w:ascii="仿宋_GB2312" w:hAnsi="仿宋" w:eastAsia="仿宋_GB2312" w:cs="仿宋_GB2312"/>
          <w:bCs/>
          <w:sz w:val="32"/>
          <w:szCs w:val="32"/>
        </w:rPr>
        <w:t>建立健全社会保险信息披露制度，共计公开社会保险信息43条。</w:t>
      </w:r>
    </w:p>
    <w:p>
      <w:pPr>
        <w:pStyle w:val="8"/>
        <w:widowControl/>
        <w:spacing w:after="0" w:line="560" w:lineRule="exact"/>
        <w:ind w:firstLine="480" w:firstLineChars="200"/>
        <w:jc w:val="both"/>
        <w:rPr>
          <w:rFonts w:ascii="仿宋_GB2312" w:eastAsia="仿宋_GB2312"/>
          <w:sz w:val="32"/>
          <w:szCs w:val="32"/>
        </w:rPr>
      </w:pPr>
      <w:r>
        <w:drawing>
          <wp:anchor distT="0" distB="0" distL="114300" distR="114300" simplePos="0" relativeHeight="251664384" behindDoc="0" locked="0" layoutInCell="1" allowOverlap="1">
            <wp:simplePos x="0" y="0"/>
            <wp:positionH relativeFrom="column">
              <wp:posOffset>1433830</wp:posOffset>
            </wp:positionH>
            <wp:positionV relativeFrom="paragraph">
              <wp:posOffset>90805</wp:posOffset>
            </wp:positionV>
            <wp:extent cx="4092575" cy="3528060"/>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092575" cy="3528060"/>
                    </a:xfrm>
                    <a:prstGeom prst="rect">
                      <a:avLst/>
                    </a:prstGeom>
                  </pic:spPr>
                </pic:pic>
              </a:graphicData>
            </a:graphic>
          </wp:anchor>
        </w:drawing>
      </w:r>
      <w:r>
        <w:rPr>
          <w:rFonts w:hint="eastAsia" w:ascii="仿宋_GB2312" w:eastAsia="仿宋_GB2312"/>
          <w:b/>
          <w:sz w:val="32"/>
          <w:szCs w:val="32"/>
        </w:rPr>
        <w:t>教育信息公开</w:t>
      </w:r>
      <w:r>
        <w:rPr>
          <w:rFonts w:hint="eastAsia" w:ascii="仿宋_GB2312" w:hAnsi="仿宋" w:eastAsia="仿宋_GB2312" w:cs="仿宋_GB2312"/>
          <w:b/>
          <w:bCs/>
          <w:sz w:val="32"/>
          <w:szCs w:val="32"/>
        </w:rPr>
        <w:t>方面：</w:t>
      </w:r>
      <w:r>
        <w:rPr>
          <w:rFonts w:hint="eastAsia" w:ascii="仿宋_GB2312" w:eastAsia="仿宋_GB2312"/>
          <w:sz w:val="32"/>
          <w:szCs w:val="32"/>
        </w:rPr>
        <w:t>主动公开《高青县2019年义务教育段学校招生工作实施意见》《高青县2019年义务教育段学校招生划片方案》《2019年高青县义务教育段学校招生结果》；扩大学前教育供给，制定《高青县居住区配套幼儿园管理办法》，公开高青县域现状幼儿园布局图、高青中心城区近期幼儿园布局规划图和高青中心城区远期幼儿园布局规划图，以及幼儿园办园评估结果和公办幼儿园名录。</w:t>
      </w:r>
    </w:p>
    <w:p>
      <w:pPr>
        <w:pStyle w:val="8"/>
        <w:widowControl/>
        <w:spacing w:after="0" w:line="560" w:lineRule="exact"/>
        <w:ind w:firstLine="643" w:firstLineChars="200"/>
        <w:jc w:val="both"/>
        <w:rPr>
          <w:rFonts w:ascii="仿宋_GB2312" w:eastAsia="仿宋_GB2312"/>
          <w:sz w:val="32"/>
          <w:szCs w:val="32"/>
        </w:rPr>
      </w:pPr>
      <w:r>
        <w:rPr>
          <w:rFonts w:hint="eastAsia" w:ascii="仿宋_GB2312" w:eastAsia="仿宋_GB2312"/>
          <w:b/>
          <w:sz w:val="32"/>
          <w:szCs w:val="32"/>
        </w:rPr>
        <w:t>医疗健康信息公开</w:t>
      </w:r>
      <w:r>
        <w:rPr>
          <w:rFonts w:hint="eastAsia" w:ascii="仿宋_GB2312" w:hAnsi="仿宋" w:eastAsia="仿宋_GB2312" w:cs="仿宋_GB2312"/>
          <w:b/>
          <w:bCs/>
          <w:sz w:val="32"/>
          <w:szCs w:val="32"/>
        </w:rPr>
        <w:t>方面：</w:t>
      </w:r>
      <w:r>
        <w:rPr>
          <w:rFonts w:hint="eastAsia" w:ascii="仿宋_GB2312" w:eastAsia="仿宋_GB2312"/>
          <w:sz w:val="32"/>
          <w:szCs w:val="32"/>
        </w:rPr>
        <w:t>公开县域内公立医疗机构的名称、地址、联系方式及大型设备配备情况，组织辖区内4家公立医院及9家乡镇卫生院对医疗机构的机构设置、服务流程、坐诊专家、服务时间、应急管理等信息在政务网上进行集中统一公开。</w:t>
      </w:r>
    </w:p>
    <w:p>
      <w:pPr>
        <w:pStyle w:val="8"/>
        <w:widowControl/>
        <w:spacing w:after="0" w:line="560" w:lineRule="exact"/>
        <w:ind w:firstLine="640" w:firstLineChars="200"/>
        <w:jc w:val="both"/>
        <w:rPr>
          <w:rFonts w:ascii="仿宋_GB2312" w:eastAsia="仿宋_GB2312"/>
          <w:sz w:val="32"/>
          <w:szCs w:val="32"/>
        </w:rPr>
      </w:pPr>
      <w:r>
        <w:rPr>
          <w:rFonts w:hint="eastAsia" w:ascii="仿宋_GB2312" w:eastAsia="仿宋_GB2312"/>
          <w:sz w:val="32"/>
          <w:szCs w:val="32"/>
        </w:rPr>
        <w:t>2.围绕解读回应深化公开</w:t>
      </w:r>
    </w:p>
    <w:p>
      <w:pPr>
        <w:pStyle w:val="8"/>
        <w:widowControl/>
        <w:spacing w:after="0" w:line="560" w:lineRule="exact"/>
        <w:ind w:firstLine="480" w:firstLineChars="200"/>
        <w:jc w:val="both"/>
        <w:rPr>
          <w:rFonts w:ascii="仿宋_GB2312" w:eastAsia="仿宋_GB2312"/>
          <w:sz w:val="32"/>
          <w:szCs w:val="32"/>
        </w:rPr>
      </w:pPr>
      <w:r>
        <w:drawing>
          <wp:anchor distT="0" distB="0" distL="114300" distR="114300" simplePos="0" relativeHeight="251665408" behindDoc="1" locked="0" layoutInCell="1" allowOverlap="1">
            <wp:simplePos x="0" y="0"/>
            <wp:positionH relativeFrom="column">
              <wp:posOffset>845185</wp:posOffset>
            </wp:positionH>
            <wp:positionV relativeFrom="paragraph">
              <wp:posOffset>978535</wp:posOffset>
            </wp:positionV>
            <wp:extent cx="4540250" cy="3381375"/>
            <wp:effectExtent l="0" t="0" r="0"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40250" cy="3381375"/>
                    </a:xfrm>
                    <a:prstGeom prst="rect">
                      <a:avLst/>
                    </a:prstGeom>
                  </pic:spPr>
                </pic:pic>
              </a:graphicData>
            </a:graphic>
          </wp:anchor>
        </w:drawing>
      </w:r>
      <w:r>
        <w:rPr>
          <w:rFonts w:hint="eastAsia" w:ascii="仿宋_GB2312" w:eastAsia="仿宋_GB2312"/>
          <w:b/>
          <w:sz w:val="32"/>
          <w:szCs w:val="32"/>
        </w:rPr>
        <w:t>政策措施解读方面：</w:t>
      </w:r>
      <w:r>
        <w:rPr>
          <w:rFonts w:hint="eastAsia" w:ascii="仿宋_GB2312" w:eastAsia="仿宋_GB2312"/>
          <w:sz w:val="32"/>
          <w:szCs w:val="32"/>
        </w:rPr>
        <w:t>实行政策文件与解读材料同步组织、同步审签、同步部署，重点对以县政府、县政府办公室名义制定出台的政策文件进行解读。探索采用图片图表、视频视频、卡通动漫等群众喜闻乐见的展现形式进行解读，2019年公开政策解读信息43条，其中视频解读信息4条，动漫解读信息2条，图文解读信息4条，部门主要负责人解读政策9条。</w:t>
      </w:r>
    </w:p>
    <w:p>
      <w:pPr>
        <w:pStyle w:val="8"/>
        <w:widowControl/>
        <w:spacing w:after="0" w:line="560" w:lineRule="exact"/>
        <w:ind w:firstLine="643" w:firstLineChars="200"/>
        <w:jc w:val="both"/>
        <w:rPr>
          <w:rFonts w:ascii="仿宋_GB2312" w:eastAsia="仿宋_GB2312"/>
          <w:sz w:val="32"/>
          <w:szCs w:val="32"/>
        </w:rPr>
      </w:pPr>
      <w:r>
        <w:rPr>
          <w:rFonts w:hint="eastAsia" w:ascii="仿宋_GB2312" w:eastAsia="仿宋_GB2312"/>
          <w:b/>
          <w:sz w:val="32"/>
          <w:szCs w:val="32"/>
        </w:rPr>
        <w:t>减税降费信息公开方面：</w:t>
      </w:r>
      <w:r>
        <w:rPr>
          <w:rFonts w:ascii="仿宋_GB2312" w:eastAsia="仿宋_GB2312"/>
          <w:sz w:val="32"/>
          <w:szCs w:val="32"/>
        </w:rPr>
        <w:t>每月定期通过</w:t>
      </w:r>
      <w:r>
        <w:rPr>
          <w:rFonts w:hint="eastAsia" w:ascii="仿宋_GB2312" w:eastAsia="仿宋_GB2312"/>
          <w:sz w:val="32"/>
          <w:szCs w:val="32"/>
        </w:rPr>
        <w:t>县政府网站</w:t>
      </w:r>
      <w:r>
        <w:rPr>
          <w:rFonts w:ascii="仿宋_GB2312" w:eastAsia="仿宋_GB2312"/>
          <w:sz w:val="32"/>
          <w:szCs w:val="32"/>
        </w:rPr>
        <w:t>公开《2019年高青县行政事业性收费目录清单》《2019年高青县涉企行政事业性收费目录清单》《2019年高青县考试考务费目录清单》和《2019年高青县政府性基金目录清单》，并公开减税降费监督举报电话，接受社会各界对减税降费政策落实情况监督反馈。</w:t>
      </w:r>
    </w:p>
    <w:p>
      <w:pPr>
        <w:pStyle w:val="8"/>
        <w:widowControl/>
        <w:spacing w:after="0" w:line="560" w:lineRule="exact"/>
        <w:ind w:firstLine="643" w:firstLineChars="200"/>
        <w:jc w:val="both"/>
        <w:rPr>
          <w:rFonts w:ascii="仿宋_GB2312" w:eastAsia="仿宋_GB2312"/>
          <w:sz w:val="32"/>
          <w:szCs w:val="32"/>
        </w:rPr>
      </w:pPr>
      <w:r>
        <w:rPr>
          <w:rFonts w:hint="eastAsia" w:ascii="仿宋_GB2312" w:eastAsia="仿宋_GB2312"/>
          <w:b/>
          <w:sz w:val="32"/>
          <w:szCs w:val="32"/>
        </w:rPr>
        <w:t>“三大攻坚战”信息公开方面：</w:t>
      </w:r>
      <w:r>
        <w:rPr>
          <w:rFonts w:hint="eastAsia" w:ascii="仿宋_GB2312" w:eastAsia="仿宋_GB2312"/>
          <w:sz w:val="32"/>
          <w:szCs w:val="32"/>
        </w:rPr>
        <w:t>推进脱贫攻坚信息公开，公开《2019年度省级第二批专项扶贫一般性转移支付资金分配公告》《2019年度省级财政专项扶贫资金（第二批）公告》等资金分配类信息23条，《高青县2018年-2020年脱贫攻坚项目库公告（第二次修订）》《高青县2019年扶贫项目计划完成情况公告》等项目安排类信息15条；推进污染防治信息公开，每月发布全县环境空气质量状况，发布重污染天气应急预警10条，公开建设项目环境影响评价信息139条，公开《高青县重点排污单位名录》，每季度向社会公开饮用水水源水质状况、供水厂出水安全状况、用户水龙头水质状况；推进防范和化解重大风险信息公开，及时在县政府网站公开金融风险防控、安全生产风险防控、扫黑除恶专项斗争、城乡社区治理和服务等工作动态。</w:t>
      </w:r>
    </w:p>
    <w:p>
      <w:pPr>
        <w:pStyle w:val="8"/>
        <w:widowControl/>
        <w:spacing w:after="0" w:line="560" w:lineRule="exact"/>
        <w:ind w:firstLine="643" w:firstLineChars="200"/>
        <w:jc w:val="both"/>
        <w:rPr>
          <w:rFonts w:ascii="仿宋_GB2312" w:eastAsia="仿宋_GB2312"/>
          <w:sz w:val="32"/>
          <w:szCs w:val="32"/>
        </w:rPr>
      </w:pPr>
      <w:r>
        <w:rPr>
          <w:rFonts w:hint="eastAsia" w:ascii="仿宋_GB2312" w:eastAsia="仿宋_GB2312"/>
          <w:b/>
          <w:sz w:val="32"/>
          <w:szCs w:val="32"/>
        </w:rPr>
        <w:t>市场监管与安全生产信息公开方面：</w:t>
      </w:r>
      <w:r>
        <w:rPr>
          <w:rFonts w:hint="eastAsia" w:ascii="仿宋_GB2312" w:eastAsia="仿宋_GB2312"/>
          <w:sz w:val="32"/>
          <w:szCs w:val="32"/>
        </w:rPr>
        <w:t>发布高青县食品安全监督抽检信息通告19期，涉及20大类食品；针对各种节假日发布消费警示16条。依法向社会发布产品质量监督抽查结果，公开《高青县市场监督管理局2019年工业产品质量监督抽查结果公示》。每月公开安全生产执法检查信息。在县政府网站开设“建筑市场监管”专栏，集中公开执法检查、建筑市场主体不良信用记录等信息。</w:t>
      </w:r>
    </w:p>
    <w:p>
      <w:pPr>
        <w:pStyle w:val="8"/>
        <w:widowControl/>
        <w:spacing w:after="0" w:line="560" w:lineRule="exact"/>
        <w:ind w:firstLine="640" w:firstLineChars="200"/>
        <w:jc w:val="both"/>
        <w:rPr>
          <w:rFonts w:ascii="仿宋_GB2312" w:hAnsi="Times New Roman" w:eastAsia="仿宋_GB2312"/>
          <w:kern w:val="22"/>
          <w:sz w:val="32"/>
          <w:szCs w:val="32"/>
        </w:rPr>
      </w:pPr>
      <w:r>
        <w:rPr>
          <w:rFonts w:hint="eastAsia" w:ascii="仿宋_GB2312" w:hAnsi="Times New Roman" w:eastAsia="仿宋_GB2312"/>
          <w:kern w:val="22"/>
          <w:sz w:val="32"/>
          <w:szCs w:val="32"/>
        </w:rPr>
        <w:t>3.围绕政民互动拓展公开</w:t>
      </w:r>
    </w:p>
    <w:p>
      <w:pPr>
        <w:pStyle w:val="8"/>
        <w:widowControl/>
        <w:spacing w:after="0" w:line="560" w:lineRule="exact"/>
        <w:ind w:firstLine="643" w:firstLineChars="200"/>
        <w:jc w:val="both"/>
        <w:rPr>
          <w:rFonts w:ascii="仿宋_GB2312" w:eastAsia="仿宋_GB2312"/>
          <w:sz w:val="32"/>
          <w:szCs w:val="32"/>
        </w:rPr>
      </w:pPr>
      <w:r>
        <w:rPr>
          <w:rFonts w:hint="eastAsia" w:ascii="Times New Roman" w:hAnsi="Times New Roman" w:eastAsia="仿宋_GB2312"/>
          <w:b/>
          <w:kern w:val="22"/>
          <w:sz w:val="32"/>
          <w:szCs w:val="32"/>
        </w:rPr>
        <w:t>重大决策预公开方面：</w:t>
      </w:r>
      <w:r>
        <w:rPr>
          <w:rFonts w:hint="eastAsia" w:ascii="仿宋_GB2312" w:eastAsia="仿宋_GB2312"/>
          <w:sz w:val="32"/>
          <w:szCs w:val="32"/>
        </w:rPr>
        <w:t>公开《高青县2019年度重大行政决策事项目录》，对重大行政决策事项，严格按照公众参与、专家论证、风险评估、合法性审查、集体讨论决定的法定程序进行论证审查；通过公开决策草案、召开座谈会、发放调查问卷等方式广泛听取社会公众意见，组织相关领域专家进行必要性、可行性和科学性论证，聘请第三方机构进行社会稳定风险评估，扩大社会参与面，保证决策程序的民主化。</w:t>
      </w:r>
    </w:p>
    <w:p>
      <w:pPr>
        <w:pStyle w:val="8"/>
        <w:widowControl/>
        <w:spacing w:after="0" w:line="560" w:lineRule="exact"/>
        <w:ind w:firstLine="643" w:firstLineChars="200"/>
        <w:jc w:val="both"/>
        <w:rPr>
          <w:rFonts w:ascii="仿宋_GB2312" w:eastAsia="仿宋_GB2312"/>
          <w:sz w:val="32"/>
          <w:szCs w:val="32"/>
        </w:rPr>
      </w:pPr>
      <w:r>
        <w:rPr>
          <w:rFonts w:hint="eastAsia" w:ascii="Times New Roman" w:hAnsi="Times New Roman" w:eastAsia="仿宋_GB2312"/>
          <w:b/>
          <w:kern w:val="22"/>
          <w:sz w:val="32"/>
          <w:szCs w:val="32"/>
        </w:rPr>
        <w:t>会议公开方面：</w:t>
      </w:r>
      <w:r>
        <w:rPr>
          <w:rFonts w:hint="eastAsia" w:ascii="仿宋_GB2312" w:eastAsia="仿宋_GB2312"/>
          <w:sz w:val="32"/>
          <w:szCs w:val="32"/>
        </w:rPr>
        <w:t>邀请人大代表、政协委员、媒体记者列席政府常务会议，2019年共召开政府常务会议20次，会议议题和会议报道均向社会公开，公开政府常务会议议定事项解读18次。对涉及公众利益、需要社会广泛知晓的会议，通过县政府网站、《高青新闻》《今日高青》报纸等形式及时向社会公开。</w:t>
      </w:r>
    </w:p>
    <w:p>
      <w:pPr>
        <w:pStyle w:val="8"/>
        <w:widowControl/>
        <w:spacing w:after="0" w:line="560" w:lineRule="exact"/>
        <w:ind w:firstLine="643" w:firstLineChars="200"/>
        <w:jc w:val="both"/>
        <w:rPr>
          <w:rFonts w:ascii="Times New Roman" w:hAnsi="Times New Roman" w:eastAsia="仿宋_GB2312"/>
          <w:kern w:val="22"/>
          <w:sz w:val="32"/>
          <w:szCs w:val="32"/>
        </w:rPr>
      </w:pPr>
      <w:r>
        <w:rPr>
          <w:rFonts w:hint="eastAsia" w:ascii="Times New Roman" w:hAnsi="Times New Roman" w:eastAsia="仿宋_GB2312"/>
          <w:b/>
          <w:kern w:val="22"/>
          <w:sz w:val="32"/>
          <w:szCs w:val="32"/>
        </w:rPr>
        <w:t>创新公众参与模式方面：</w:t>
      </w:r>
      <w:r>
        <w:rPr>
          <w:rFonts w:hint="eastAsia" w:ascii="Times New Roman" w:hAnsi="Times New Roman" w:eastAsia="仿宋_GB2312"/>
          <w:kern w:val="22"/>
          <w:sz w:val="32"/>
          <w:szCs w:val="32"/>
        </w:rPr>
        <w:t>围绕卫生健康、行政审批、行政执法等群众关注热点，开展“政府开放日”5次，邀请“两代表一委员”、企业负责人、群众代表、媒体记者等走进医院、行政审批服务局、公共法律服务中心，详细了解政府工作开展情况。在县政务服务大厅、县民政局、县档案馆、县公共法律服务中心打造4处“政务公开体验区”，进一步优化公众体验，着力提升政务公开工作成效。继续做好县政府网站“政府信箱”栏目群众留言处理，2019年共收到群众留言331条，全部处理完毕，平均办理时限5个工作日，其中对外公开131条。</w:t>
      </w:r>
    </w:p>
    <w:p>
      <w:pPr>
        <w:pStyle w:val="8"/>
        <w:widowControl/>
        <w:spacing w:after="0" w:line="560" w:lineRule="exact"/>
        <w:ind w:firstLine="482" w:firstLineChars="200"/>
        <w:jc w:val="both"/>
        <w:rPr>
          <w:rFonts w:ascii="楷体_GB2312" w:hAnsi="Times New Roman" w:eastAsia="楷体_GB2312"/>
          <w:b/>
          <w:kern w:val="22"/>
          <w:sz w:val="32"/>
          <w:szCs w:val="32"/>
        </w:rPr>
      </w:pPr>
      <w:r>
        <w:rPr>
          <w:b/>
        </w:rPr>
        <w:drawing>
          <wp:anchor distT="0" distB="0" distL="114300" distR="114300" simplePos="0" relativeHeight="251666432" behindDoc="1" locked="0" layoutInCell="1" allowOverlap="1">
            <wp:simplePos x="0" y="0"/>
            <wp:positionH relativeFrom="column">
              <wp:posOffset>20320</wp:posOffset>
            </wp:positionH>
            <wp:positionV relativeFrom="paragraph">
              <wp:posOffset>34925</wp:posOffset>
            </wp:positionV>
            <wp:extent cx="5273675" cy="3088640"/>
            <wp:effectExtent l="0" t="0" r="3175" b="0"/>
            <wp:wrapTight wrapText="bothSides">
              <wp:wrapPolygon>
                <wp:start x="0" y="0"/>
                <wp:lineTo x="0" y="21449"/>
                <wp:lineTo x="21535" y="21449"/>
                <wp:lineTo x="2153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3675" cy="3088640"/>
                    </a:xfrm>
                    <a:prstGeom prst="rect">
                      <a:avLst/>
                    </a:prstGeom>
                  </pic:spPr>
                </pic:pic>
              </a:graphicData>
            </a:graphic>
          </wp:anchor>
        </w:drawing>
      </w:r>
      <w:r>
        <w:rPr>
          <w:rFonts w:hint="eastAsia" w:ascii="楷体_GB2312" w:hAnsi="Times New Roman" w:eastAsia="楷体_GB2312"/>
          <w:b/>
          <w:kern w:val="22"/>
          <w:sz w:val="32"/>
          <w:szCs w:val="32"/>
        </w:rPr>
        <w:t>（三）依申请公开情况</w:t>
      </w:r>
    </w:p>
    <w:p>
      <w:pPr>
        <w:pStyle w:val="8"/>
        <w:widowControl/>
        <w:spacing w:after="0" w:line="560" w:lineRule="exact"/>
        <w:ind w:firstLine="640" w:firstLineChars="200"/>
        <w:jc w:val="both"/>
        <w:rPr>
          <w:rFonts w:ascii="楷体_GB2312" w:hAnsi="Times New Roman" w:eastAsia="楷体_GB2312"/>
          <w:kern w:val="22"/>
          <w:sz w:val="32"/>
          <w:szCs w:val="32"/>
        </w:rPr>
      </w:pPr>
      <w:r>
        <w:rPr>
          <w:rFonts w:hint="eastAsia" w:ascii="仿宋_GB2312" w:hAnsi="仿宋" w:eastAsia="仿宋_GB2312" w:cs="仿宋_GB2312"/>
          <w:sz w:val="32"/>
          <w:szCs w:val="32"/>
        </w:rPr>
        <w:t>依法依法做好申请答复。对于申请的信息可以公开的，提供该政府信息，或者告知申请人获取该政府信息的方式、途径和时间；对于申请的信息不属于本机关公开范围的，告知申请人并说明理由，能够确定公开机关的，告知申请人该机关的名称和联系方式；</w:t>
      </w:r>
      <w:r>
        <w:rPr>
          <w:rFonts w:ascii="仿宋_GB2312" w:hAnsi="仿宋" w:eastAsia="仿宋_GB2312" w:cs="仿宋_GB2312"/>
          <w:sz w:val="32"/>
          <w:szCs w:val="32"/>
        </w:rPr>
        <w:t>对于较为复杂的申请件，主动与申请人沟通，了解群众需求，避免因误解引起行政复议或</w:t>
      </w:r>
      <w:r>
        <w:rPr>
          <w:rFonts w:hint="eastAsia" w:ascii="仿宋_GB2312" w:hAnsi="仿宋" w:eastAsia="仿宋_GB2312" w:cs="仿宋_GB2312"/>
          <w:sz w:val="32"/>
          <w:szCs w:val="32"/>
        </w:rPr>
        <w:t>行政</w:t>
      </w:r>
      <w:r>
        <w:rPr>
          <w:rFonts w:ascii="仿宋_GB2312" w:hAnsi="仿宋" w:eastAsia="仿宋_GB2312" w:cs="仿宋_GB2312"/>
          <w:sz w:val="32"/>
          <w:szCs w:val="32"/>
        </w:rPr>
        <w:t>诉讼</w:t>
      </w:r>
      <w:r>
        <w:rPr>
          <w:rFonts w:hint="eastAsia" w:ascii="仿宋_GB2312" w:hAnsi="仿宋" w:eastAsia="仿宋_GB2312" w:cs="仿宋_GB2312"/>
          <w:sz w:val="32"/>
          <w:szCs w:val="32"/>
        </w:rPr>
        <w:t>。</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1.</w:t>
      </w:r>
      <w:r>
        <w:rPr>
          <w:rFonts w:hint="eastAsia" w:ascii="Times New Roman" w:hAnsi="Times New Roman" w:eastAsia="仿宋_GB2312"/>
          <w:b/>
          <w:kern w:val="0"/>
          <w:sz w:val="32"/>
          <w:szCs w:val="32"/>
        </w:rPr>
        <w:t>收到和处理政府信息公开申请情况</w:t>
      </w:r>
    </w:p>
    <w:p>
      <w:pPr>
        <w:pStyle w:val="8"/>
        <w:widowControl/>
        <w:spacing w:after="0" w:line="560" w:lineRule="exact"/>
        <w:ind w:firstLine="640" w:firstLineChars="200"/>
        <w:rPr>
          <w:rFonts w:ascii="Times New Roman" w:hAnsi="Times New Roman" w:eastAsia="仿宋_GB2312"/>
          <w:kern w:val="22"/>
          <w:sz w:val="32"/>
          <w:szCs w:val="32"/>
        </w:rPr>
      </w:pPr>
      <w:r>
        <w:rPr>
          <w:rFonts w:hint="eastAsia" w:ascii="Times New Roman" w:hAnsi="Times New Roman" w:eastAsia="仿宋_GB2312"/>
          <w:kern w:val="22"/>
          <w:sz w:val="32"/>
          <w:szCs w:val="32"/>
        </w:rPr>
        <w:t>2019年，全县各级各部门各单位共收到政府信息公开申请60件，2018年度结转政府信息公开申请2件。</w:t>
      </w:r>
    </w:p>
    <w:p>
      <w:pPr>
        <w:pStyle w:val="8"/>
        <w:widowControl/>
        <w:spacing w:after="0" w:line="560" w:lineRule="exact"/>
        <w:ind w:firstLine="643" w:firstLineChars="200"/>
        <w:rPr>
          <w:rFonts w:ascii="Times New Roman" w:hAnsi="Times New Roman" w:eastAsia="仿宋_GB2312"/>
          <w:kern w:val="22"/>
          <w:sz w:val="32"/>
          <w:szCs w:val="32"/>
        </w:rPr>
      </w:pPr>
      <w:r>
        <w:rPr>
          <w:rFonts w:hint="eastAsia" w:ascii="Times New Roman" w:hAnsi="Times New Roman" w:eastAsia="仿宋_GB2312"/>
          <w:b/>
          <w:kern w:val="22"/>
          <w:sz w:val="32"/>
          <w:szCs w:val="32"/>
        </w:rPr>
        <w:t>申请内容情况：</w:t>
      </w:r>
      <w:r>
        <w:rPr>
          <w:rFonts w:hint="eastAsia" w:ascii="Times New Roman" w:hAnsi="Times New Roman" w:eastAsia="仿宋_GB2312"/>
          <w:kern w:val="22"/>
          <w:sz w:val="32"/>
          <w:szCs w:val="32"/>
        </w:rPr>
        <w:t>政府信息公开申请的内容主要涉及征地补偿、房屋拆迁、棚户区改造等方面。</w:t>
      </w:r>
    </w:p>
    <w:p>
      <w:pPr>
        <w:spacing w:line="560" w:lineRule="exact"/>
        <w:ind w:firstLine="643" w:firstLineChars="200"/>
        <w:rPr>
          <w:rFonts w:ascii="Times New Roman" w:hAnsi="Times New Roman" w:eastAsia="仿宋_GB2312"/>
          <w:kern w:val="22"/>
          <w:sz w:val="32"/>
          <w:szCs w:val="32"/>
        </w:rPr>
      </w:pPr>
      <w:r>
        <w:rPr>
          <w:rFonts w:hint="eastAsia" w:ascii="Times New Roman" w:hAnsi="Times New Roman" w:eastAsia="仿宋_GB2312"/>
          <w:b/>
          <w:kern w:val="22"/>
          <w:sz w:val="32"/>
          <w:szCs w:val="32"/>
        </w:rPr>
        <w:t>申请处理情况：</w:t>
      </w:r>
      <w:r>
        <w:rPr>
          <w:rFonts w:hint="eastAsia" w:ascii="Times New Roman" w:hAnsi="Times New Roman" w:eastAsia="仿宋_GB2312"/>
          <w:kern w:val="22"/>
          <w:sz w:val="32"/>
          <w:szCs w:val="32"/>
        </w:rPr>
        <w:t>2019年共办结信息公开申请59件，结转到2020年度继续办理3件。</w:t>
      </w:r>
      <w:r>
        <w:rPr>
          <w:rFonts w:ascii="Times New Roman" w:hAnsi="Times New Roman" w:eastAsia="仿宋_GB2312"/>
          <w:sz w:val="32"/>
          <w:szCs w:val="32"/>
        </w:rPr>
        <w:t>在答复的申请中：</w:t>
      </w:r>
    </w:p>
    <w:p>
      <w:pPr>
        <w:spacing w:line="560" w:lineRule="exact"/>
        <w:ind w:firstLine="640" w:firstLineChars="200"/>
        <w:rPr>
          <w:rFonts w:ascii="Times New Roman" w:hAnsi="Times New Roman" w:eastAsia="仿宋_GB2312"/>
          <w:kern w:val="22"/>
          <w:sz w:val="32"/>
          <w:szCs w:val="32"/>
        </w:rPr>
      </w:pPr>
      <w:r>
        <w:rPr>
          <w:rFonts w:hint="eastAsia" w:ascii="Times New Roman" w:hAnsi="Times New Roman" w:eastAsia="仿宋_GB2312"/>
          <w:kern w:val="22"/>
          <w:sz w:val="32"/>
          <w:szCs w:val="32"/>
        </w:rPr>
        <w:t>予以公开的办件有15件，占25.42%；</w:t>
      </w:r>
    </w:p>
    <w:p>
      <w:pPr>
        <w:spacing w:line="560" w:lineRule="exact"/>
        <w:ind w:firstLine="640" w:firstLineChars="200"/>
        <w:rPr>
          <w:rFonts w:ascii="Times New Roman" w:hAnsi="Times New Roman" w:eastAsia="仿宋_GB2312"/>
          <w:kern w:val="22"/>
          <w:sz w:val="32"/>
          <w:szCs w:val="32"/>
        </w:rPr>
      </w:pPr>
      <w:r>
        <w:rPr>
          <w:rFonts w:hint="eastAsia" w:ascii="Times New Roman" w:hAnsi="Times New Roman" w:eastAsia="仿宋_GB2312"/>
          <w:kern w:val="22"/>
          <w:sz w:val="32"/>
          <w:szCs w:val="32"/>
        </w:rPr>
        <w:t>部分公开的有4件，占6.78%；</w:t>
      </w:r>
    </w:p>
    <w:p>
      <w:pPr>
        <w:spacing w:line="560" w:lineRule="exact"/>
        <w:ind w:firstLine="640" w:firstLineChars="200"/>
        <w:rPr>
          <w:rFonts w:ascii="Times New Roman" w:hAnsi="Times New Roman" w:eastAsia="仿宋_GB2312"/>
          <w:kern w:val="22"/>
          <w:sz w:val="32"/>
          <w:szCs w:val="32"/>
        </w:rPr>
      </w:pPr>
      <w:r>
        <w:rPr>
          <w:rFonts w:hint="eastAsia" w:ascii="Times New Roman" w:hAnsi="Times New Roman" w:eastAsia="仿宋_GB2312"/>
          <w:kern w:val="22"/>
          <w:sz w:val="32"/>
          <w:szCs w:val="32"/>
        </w:rPr>
        <w:t>不予公开的有6件（其中，属于保护第三方合法权益的有2件、属于三类内部事务信息的有1件、属于行政查询事项的有3件），占10.17%；</w:t>
      </w:r>
    </w:p>
    <w:p>
      <w:pPr>
        <w:spacing w:line="560" w:lineRule="exact"/>
        <w:ind w:firstLine="640" w:firstLineChars="200"/>
        <w:rPr>
          <w:rFonts w:ascii="Times New Roman" w:hAnsi="Times New Roman" w:eastAsia="仿宋_GB2312"/>
          <w:kern w:val="22"/>
          <w:sz w:val="32"/>
          <w:szCs w:val="32"/>
        </w:rPr>
      </w:pPr>
      <w:r>
        <w:rPr>
          <w:rFonts w:hint="eastAsia" w:ascii="Times New Roman" w:hAnsi="Times New Roman" w:eastAsia="仿宋_GB2312"/>
          <w:kern w:val="22"/>
          <w:sz w:val="32"/>
          <w:szCs w:val="32"/>
        </w:rPr>
        <w:t>无法提供的办件有34件，占57.63%；</w:t>
      </w:r>
    </w:p>
    <w:p>
      <w:pPr>
        <w:spacing w:line="560" w:lineRule="exact"/>
        <w:ind w:firstLine="640" w:firstLineChars="200"/>
        <w:rPr>
          <w:rFonts w:ascii="Times New Roman" w:hAnsi="Times New Roman" w:eastAsia="仿宋_GB2312"/>
          <w:kern w:val="22"/>
          <w:sz w:val="32"/>
          <w:szCs w:val="32"/>
        </w:rPr>
      </w:pPr>
      <w:r>
        <w:rPr>
          <w:rFonts w:hint="eastAsia" w:ascii="仿宋_GB2312" w:eastAsia="仿宋_GB2312"/>
          <w:sz w:val="32"/>
          <w:szCs w:val="32"/>
        </w:rPr>
        <w:t>不予处理0件，占</w:t>
      </w:r>
      <w:r>
        <w:rPr>
          <w:rFonts w:hint="eastAsia" w:ascii="Times New Roman" w:hAnsi="Times New Roman" w:eastAsia="仿宋_GB2312"/>
          <w:kern w:val="22"/>
          <w:sz w:val="32"/>
          <w:szCs w:val="32"/>
        </w:rPr>
        <w:t>0%；</w:t>
      </w:r>
    </w:p>
    <w:p>
      <w:pPr>
        <w:spacing w:line="560" w:lineRule="exact"/>
        <w:ind w:firstLine="640" w:firstLineChars="200"/>
      </w:pPr>
      <w:r>
        <w:rPr>
          <w:rFonts w:hint="eastAsia" w:ascii="仿宋_GB2312" w:eastAsia="仿宋_GB2312"/>
          <w:sz w:val="32"/>
          <w:szCs w:val="32"/>
        </w:rPr>
        <w:t>其他处理0件，占</w:t>
      </w:r>
      <w:r>
        <w:rPr>
          <w:rFonts w:hint="eastAsia" w:ascii="Times New Roman" w:hAnsi="Times New Roman" w:eastAsia="仿宋_GB2312"/>
          <w:kern w:val="22"/>
          <w:sz w:val="32"/>
          <w:szCs w:val="32"/>
        </w:rPr>
        <w:t>0%。</w:t>
      </w:r>
    </w:p>
    <w:p>
      <w:pPr>
        <w:pStyle w:val="8"/>
        <w:widowControl/>
        <w:spacing w:after="0" w:line="560" w:lineRule="exact"/>
        <w:ind w:firstLine="480" w:firstLineChars="200"/>
        <w:jc w:val="both"/>
        <w:rPr>
          <w:rFonts w:ascii="Times New Roman" w:hAnsi="Times New Roman" w:eastAsia="仿宋_GB2312"/>
          <w:b/>
          <w:sz w:val="32"/>
          <w:szCs w:val="32"/>
        </w:rPr>
      </w:pPr>
      <w:r>
        <w:drawing>
          <wp:anchor distT="0" distB="0" distL="114300" distR="114300" simplePos="0" relativeHeight="251669504" behindDoc="0" locked="0" layoutInCell="1" allowOverlap="1">
            <wp:simplePos x="0" y="0"/>
            <wp:positionH relativeFrom="column">
              <wp:posOffset>151130</wp:posOffset>
            </wp:positionH>
            <wp:positionV relativeFrom="paragraph">
              <wp:posOffset>179070</wp:posOffset>
            </wp:positionV>
            <wp:extent cx="5274310" cy="3474085"/>
            <wp:effectExtent l="0" t="0" r="22225" b="12700"/>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pStyle w:val="8"/>
        <w:widowControl/>
        <w:spacing w:after="0" w:line="560" w:lineRule="exact"/>
        <w:ind w:firstLine="643" w:firstLineChars="200"/>
        <w:jc w:val="both"/>
        <w:rPr>
          <w:rFonts w:ascii="Times New Roman" w:hAnsi="Times New Roman" w:eastAsia="仿宋_GB2312"/>
          <w:b/>
          <w:sz w:val="32"/>
          <w:szCs w:val="32"/>
        </w:rPr>
      </w:pPr>
    </w:p>
    <w:p>
      <w:pPr>
        <w:pStyle w:val="8"/>
        <w:widowControl/>
        <w:spacing w:after="0" w:line="560" w:lineRule="exact"/>
        <w:ind w:firstLine="643" w:firstLineChars="200"/>
        <w:jc w:val="both"/>
        <w:rPr>
          <w:rFonts w:ascii="Times New Roman" w:hAnsi="Times New Roman" w:eastAsia="仿宋_GB2312"/>
          <w:b/>
          <w:sz w:val="32"/>
          <w:szCs w:val="32"/>
        </w:rPr>
      </w:pPr>
    </w:p>
    <w:p>
      <w:pPr>
        <w:pStyle w:val="8"/>
        <w:widowControl/>
        <w:tabs>
          <w:tab w:val="left" w:pos="3763"/>
        </w:tabs>
        <w:spacing w:after="0" w:line="560" w:lineRule="exact"/>
        <w:ind w:firstLine="643" w:firstLineChars="200"/>
        <w:jc w:val="both"/>
        <w:rPr>
          <w:rFonts w:ascii="Times New Roman" w:hAnsi="Times New Roman" w:eastAsia="仿宋_GB2312"/>
          <w:b/>
          <w:sz w:val="32"/>
          <w:szCs w:val="32"/>
        </w:rPr>
      </w:pPr>
      <w:r>
        <w:rPr>
          <w:rFonts w:ascii="Times New Roman" w:hAnsi="Times New Roman" w:eastAsia="仿宋_GB2312"/>
          <w:b/>
          <w:sz w:val="32"/>
          <w:szCs w:val="32"/>
        </w:rPr>
        <w:tab/>
      </w:r>
    </w:p>
    <w:p>
      <w:pPr>
        <w:pStyle w:val="8"/>
        <w:widowControl/>
        <w:spacing w:after="0" w:line="560" w:lineRule="exact"/>
        <w:ind w:firstLine="643" w:firstLineChars="200"/>
        <w:jc w:val="both"/>
        <w:rPr>
          <w:rFonts w:ascii="Times New Roman" w:hAnsi="Times New Roman" w:eastAsia="仿宋_GB2312"/>
          <w:b/>
          <w:sz w:val="32"/>
          <w:szCs w:val="32"/>
        </w:rPr>
      </w:pPr>
    </w:p>
    <w:p>
      <w:pPr>
        <w:pStyle w:val="8"/>
        <w:widowControl/>
        <w:spacing w:after="0" w:line="560" w:lineRule="exact"/>
        <w:ind w:firstLine="643" w:firstLineChars="200"/>
        <w:jc w:val="both"/>
        <w:rPr>
          <w:rFonts w:ascii="Times New Roman" w:hAnsi="Times New Roman" w:eastAsia="仿宋_GB2312"/>
          <w:b/>
          <w:sz w:val="32"/>
          <w:szCs w:val="32"/>
        </w:rPr>
      </w:pPr>
    </w:p>
    <w:p>
      <w:pPr>
        <w:pStyle w:val="8"/>
        <w:widowControl/>
        <w:spacing w:after="0" w:line="560" w:lineRule="exact"/>
        <w:ind w:firstLine="643" w:firstLineChars="200"/>
        <w:jc w:val="both"/>
        <w:rPr>
          <w:rFonts w:ascii="Times New Roman" w:hAnsi="Times New Roman" w:eastAsia="仿宋_GB2312"/>
          <w:b/>
          <w:sz w:val="32"/>
          <w:szCs w:val="32"/>
        </w:rPr>
      </w:pPr>
    </w:p>
    <w:p>
      <w:pPr>
        <w:pStyle w:val="8"/>
        <w:widowControl/>
        <w:spacing w:after="0" w:line="560" w:lineRule="exact"/>
        <w:ind w:firstLine="643" w:firstLineChars="200"/>
        <w:jc w:val="both"/>
        <w:rPr>
          <w:rFonts w:ascii="Times New Roman" w:hAnsi="Times New Roman" w:eastAsia="仿宋_GB2312"/>
          <w:b/>
          <w:sz w:val="32"/>
          <w:szCs w:val="32"/>
        </w:rPr>
      </w:pPr>
    </w:p>
    <w:p>
      <w:pPr>
        <w:pStyle w:val="8"/>
        <w:widowControl/>
        <w:spacing w:after="0" w:line="560" w:lineRule="exact"/>
        <w:ind w:firstLine="643" w:firstLineChars="200"/>
        <w:jc w:val="both"/>
        <w:rPr>
          <w:rFonts w:ascii="Times New Roman" w:hAnsi="Times New Roman" w:eastAsia="仿宋_GB2312"/>
          <w:b/>
          <w:sz w:val="32"/>
          <w:szCs w:val="32"/>
        </w:rPr>
      </w:pPr>
    </w:p>
    <w:p>
      <w:pPr>
        <w:pStyle w:val="8"/>
        <w:widowControl/>
        <w:spacing w:after="0" w:line="560" w:lineRule="exact"/>
        <w:ind w:firstLine="643" w:firstLineChars="200"/>
        <w:jc w:val="both"/>
        <w:rPr>
          <w:rFonts w:ascii="Times New Roman" w:hAnsi="Times New Roman" w:eastAsia="仿宋_GB2312"/>
          <w:b/>
          <w:sz w:val="32"/>
          <w:szCs w:val="32"/>
        </w:rPr>
      </w:pPr>
    </w:p>
    <w:p>
      <w:pPr>
        <w:pStyle w:val="8"/>
        <w:widowControl/>
        <w:spacing w:after="0" w:line="560" w:lineRule="exact"/>
        <w:ind w:firstLine="643" w:firstLineChars="200"/>
        <w:jc w:val="both"/>
        <w:rPr>
          <w:rFonts w:ascii="楷体_GB2312" w:hAnsi="Times New Roman" w:eastAsia="楷体_GB2312"/>
          <w:kern w:val="22"/>
          <w:sz w:val="32"/>
          <w:szCs w:val="32"/>
        </w:rPr>
      </w:pPr>
      <w:r>
        <w:rPr>
          <w:rFonts w:hint="eastAsia" w:ascii="Times New Roman" w:hAnsi="Times New Roman" w:eastAsia="仿宋_GB2312"/>
          <w:b/>
          <w:sz w:val="32"/>
          <w:szCs w:val="32"/>
        </w:rPr>
        <w:t>2</w:t>
      </w:r>
      <w:r>
        <w:rPr>
          <w:rFonts w:ascii="Times New Roman" w:hAnsi="Times New Roman" w:eastAsia="仿宋_GB2312"/>
          <w:b/>
          <w:sz w:val="32"/>
          <w:szCs w:val="32"/>
        </w:rPr>
        <w:t>.</w:t>
      </w:r>
      <w:r>
        <w:rPr>
          <w:rFonts w:hint="eastAsia" w:ascii="Times New Roman" w:hAnsi="Times New Roman" w:eastAsia="仿宋_GB2312"/>
          <w:b/>
          <w:sz w:val="32"/>
          <w:szCs w:val="32"/>
        </w:rPr>
        <w:t>收费及减免情况</w:t>
      </w:r>
    </w:p>
    <w:p>
      <w:pPr>
        <w:pStyle w:val="8"/>
        <w:widowControl/>
        <w:spacing w:after="0" w:line="560" w:lineRule="exact"/>
        <w:ind w:firstLine="640" w:firstLineChars="200"/>
        <w:jc w:val="both"/>
        <w:rPr>
          <w:rFonts w:ascii="Times New Roman" w:hAnsi="Times New Roman" w:eastAsia="仿宋_GB2312"/>
          <w:kern w:val="22"/>
          <w:sz w:val="32"/>
          <w:szCs w:val="32"/>
        </w:rPr>
      </w:pPr>
      <w:r>
        <w:rPr>
          <w:rFonts w:hint="eastAsia" w:ascii="Times New Roman" w:hAnsi="Times New Roman" w:eastAsia="仿宋_GB2312"/>
          <w:kern w:val="22"/>
          <w:sz w:val="32"/>
          <w:szCs w:val="32"/>
        </w:rPr>
        <w:t>本年度，全县各级各部门在政府信息公开申请办理过程中，未收取任何费用。</w:t>
      </w:r>
    </w:p>
    <w:p>
      <w:pPr>
        <w:pStyle w:val="8"/>
        <w:widowControl/>
        <w:spacing w:after="0" w:line="560" w:lineRule="exact"/>
        <w:ind w:firstLine="643" w:firstLineChars="200"/>
        <w:jc w:val="both"/>
        <w:rPr>
          <w:rFonts w:ascii="Times New Roman" w:hAnsi="Times New Roman" w:eastAsia="仿宋_GB2312"/>
          <w:b/>
          <w:sz w:val="32"/>
          <w:szCs w:val="32"/>
        </w:rPr>
      </w:pPr>
      <w:r>
        <w:rPr>
          <w:rFonts w:hint="eastAsia" w:ascii="Times New Roman" w:hAnsi="Times New Roman" w:eastAsia="仿宋_GB2312"/>
          <w:b/>
          <w:sz w:val="32"/>
          <w:szCs w:val="32"/>
        </w:rPr>
        <w:t>3.政府信息公开行政复议、行政诉讼情况</w:t>
      </w:r>
    </w:p>
    <w:p>
      <w:pPr>
        <w:pStyle w:val="8"/>
        <w:widowControl/>
        <w:spacing w:after="0" w:line="560" w:lineRule="exact"/>
        <w:ind w:firstLine="640" w:firstLineChars="200"/>
        <w:jc w:val="both"/>
        <w:rPr>
          <w:rFonts w:ascii="Times New Roman" w:hAnsi="Times New Roman" w:eastAsia="仿宋_GB2312"/>
          <w:kern w:val="22"/>
          <w:sz w:val="32"/>
          <w:szCs w:val="32"/>
        </w:rPr>
      </w:pPr>
      <w:r>
        <w:rPr>
          <w:rFonts w:hint="eastAsia" w:ascii="Times New Roman" w:hAnsi="Times New Roman" w:eastAsia="仿宋_GB2312"/>
          <w:kern w:val="22"/>
          <w:sz w:val="32"/>
          <w:szCs w:val="32"/>
        </w:rPr>
        <w:t>2019年，全县各级共发生政府信息公开行政复议12件，其中：</w:t>
      </w:r>
    </w:p>
    <w:p>
      <w:pPr>
        <w:pStyle w:val="8"/>
        <w:widowControl/>
        <w:spacing w:after="0" w:line="560" w:lineRule="exact"/>
        <w:ind w:firstLine="640" w:firstLineChars="200"/>
        <w:jc w:val="both"/>
        <w:rPr>
          <w:rFonts w:ascii="Times New Roman" w:hAnsi="Times New Roman" w:eastAsia="仿宋_GB2312"/>
          <w:kern w:val="22"/>
          <w:sz w:val="32"/>
          <w:szCs w:val="32"/>
        </w:rPr>
      </w:pPr>
      <w:r>
        <w:rPr>
          <w:rFonts w:hint="eastAsia" w:ascii="Times New Roman" w:hAnsi="Times New Roman" w:eastAsia="仿宋_GB2312"/>
          <w:kern w:val="22"/>
          <w:sz w:val="32"/>
          <w:szCs w:val="32"/>
        </w:rPr>
        <w:t>结果维持4件，占33.30%；</w:t>
      </w:r>
    </w:p>
    <w:p>
      <w:pPr>
        <w:pStyle w:val="8"/>
        <w:widowControl/>
        <w:spacing w:after="0" w:line="560" w:lineRule="exact"/>
        <w:ind w:firstLine="640" w:firstLineChars="200"/>
        <w:jc w:val="both"/>
        <w:rPr>
          <w:rFonts w:ascii="Times New Roman" w:hAnsi="Times New Roman" w:eastAsia="仿宋_GB2312"/>
          <w:kern w:val="22"/>
          <w:sz w:val="32"/>
          <w:szCs w:val="32"/>
        </w:rPr>
      </w:pPr>
      <w:r>
        <w:rPr>
          <w:rFonts w:hint="eastAsia" w:ascii="Times New Roman" w:hAnsi="Times New Roman" w:eastAsia="仿宋_GB2312"/>
          <w:kern w:val="22"/>
          <w:sz w:val="32"/>
          <w:szCs w:val="32"/>
        </w:rPr>
        <w:t>结果纠正6件，占50.00%；</w:t>
      </w:r>
    </w:p>
    <w:p>
      <w:pPr>
        <w:pStyle w:val="8"/>
        <w:widowControl/>
        <w:spacing w:after="0" w:line="560" w:lineRule="exact"/>
        <w:ind w:firstLine="640" w:firstLineChars="200"/>
        <w:jc w:val="both"/>
        <w:rPr>
          <w:rFonts w:ascii="Times New Roman" w:hAnsi="Times New Roman" w:eastAsia="仿宋_GB2312"/>
          <w:kern w:val="22"/>
          <w:sz w:val="32"/>
          <w:szCs w:val="32"/>
        </w:rPr>
      </w:pPr>
      <w:r>
        <w:rPr>
          <w:rFonts w:hint="eastAsia" w:ascii="Times New Roman" w:hAnsi="Times New Roman" w:eastAsia="仿宋_GB2312"/>
          <w:kern w:val="22"/>
          <w:sz w:val="32"/>
          <w:szCs w:val="32"/>
        </w:rPr>
        <w:t>其他结果2件，占16.70%。</w:t>
      </w:r>
    </w:p>
    <w:p>
      <w:pPr>
        <w:pStyle w:val="8"/>
        <w:widowControl/>
        <w:spacing w:after="0" w:line="560" w:lineRule="exact"/>
        <w:ind w:firstLine="640" w:firstLineChars="200"/>
        <w:jc w:val="both"/>
        <w:rPr>
          <w:rFonts w:ascii="Times New Roman" w:hAnsi="Times New Roman" w:eastAsia="仿宋_GB2312"/>
          <w:kern w:val="22"/>
          <w:sz w:val="32"/>
          <w:szCs w:val="32"/>
        </w:rPr>
      </w:pPr>
      <w:r>
        <w:rPr>
          <w:rFonts w:hint="eastAsia" w:ascii="Times New Roman" w:hAnsi="Times New Roman" w:eastAsia="仿宋_GB2312"/>
          <w:kern w:val="22"/>
          <w:sz w:val="32"/>
          <w:szCs w:val="32"/>
        </w:rPr>
        <w:t>发生政府信息公开行政诉讼14件，其中：</w:t>
      </w:r>
    </w:p>
    <w:p>
      <w:pPr>
        <w:pStyle w:val="8"/>
        <w:widowControl/>
        <w:spacing w:after="0" w:line="560" w:lineRule="exact"/>
        <w:ind w:firstLine="640" w:firstLineChars="200"/>
        <w:jc w:val="both"/>
        <w:rPr>
          <w:rFonts w:ascii="Times New Roman" w:hAnsi="Times New Roman" w:eastAsia="仿宋_GB2312"/>
          <w:kern w:val="22"/>
          <w:sz w:val="32"/>
          <w:szCs w:val="32"/>
        </w:rPr>
      </w:pPr>
      <w:r>
        <w:rPr>
          <w:rFonts w:hint="eastAsia" w:ascii="Times New Roman" w:hAnsi="Times New Roman" w:eastAsia="仿宋_GB2312"/>
          <w:kern w:val="22"/>
          <w:sz w:val="32"/>
          <w:szCs w:val="32"/>
        </w:rPr>
        <w:t>未经复议直接起诉1件（结果维持1件），占7.1%；</w:t>
      </w:r>
    </w:p>
    <w:p>
      <w:pPr>
        <w:pStyle w:val="8"/>
        <w:widowControl/>
        <w:spacing w:after="0" w:line="560" w:lineRule="exact"/>
        <w:ind w:firstLine="640" w:firstLineChars="200"/>
        <w:jc w:val="both"/>
        <w:rPr>
          <w:rFonts w:ascii="Times New Roman" w:hAnsi="Times New Roman" w:eastAsia="仿宋_GB2312"/>
          <w:kern w:val="22"/>
          <w:sz w:val="32"/>
          <w:szCs w:val="32"/>
        </w:rPr>
      </w:pPr>
      <w:r>
        <w:rPr>
          <w:rFonts w:hint="eastAsia" w:ascii="Times New Roman" w:hAnsi="Times New Roman" w:eastAsia="仿宋_GB2312"/>
          <w:kern w:val="22"/>
          <w:sz w:val="32"/>
          <w:szCs w:val="32"/>
        </w:rPr>
        <w:t>复议后起诉13件（其中，结果维持10件，结果纠正2件，其他结果1件），占92.8%。</w:t>
      </w:r>
    </w:p>
    <w:p>
      <w:pPr>
        <w:pStyle w:val="8"/>
        <w:widowControl/>
        <w:spacing w:after="0" w:line="560" w:lineRule="exact"/>
        <w:jc w:val="both"/>
        <w:rPr>
          <w:rFonts w:ascii="楷体_GB2312" w:hAnsi="Times New Roman" w:eastAsia="楷体_GB2312"/>
          <w:kern w:val="22"/>
          <w:sz w:val="32"/>
          <w:szCs w:val="32"/>
        </w:rPr>
      </w:pPr>
      <w:r>
        <w:drawing>
          <wp:anchor distT="0" distB="0" distL="114300" distR="114300" simplePos="0" relativeHeight="251668480" behindDoc="0" locked="0" layoutInCell="1" allowOverlap="1">
            <wp:simplePos x="0" y="0"/>
            <wp:positionH relativeFrom="margin">
              <wp:posOffset>8255</wp:posOffset>
            </wp:positionH>
            <wp:positionV relativeFrom="margin">
              <wp:posOffset>4918710</wp:posOffset>
            </wp:positionV>
            <wp:extent cx="5274310" cy="3298190"/>
            <wp:effectExtent l="0" t="0" r="21590" b="16510"/>
            <wp:wrapSquare wrapText="bothSides"/>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pStyle w:val="8"/>
        <w:widowControl/>
        <w:spacing w:after="0" w:line="560" w:lineRule="exact"/>
        <w:ind w:firstLine="643" w:firstLineChars="200"/>
        <w:jc w:val="both"/>
        <w:rPr>
          <w:rFonts w:ascii="楷体_GB2312" w:hAnsi="Times New Roman" w:eastAsia="楷体_GB2312"/>
          <w:b/>
          <w:kern w:val="22"/>
          <w:sz w:val="32"/>
          <w:szCs w:val="32"/>
        </w:rPr>
      </w:pPr>
      <w:r>
        <w:rPr>
          <w:rFonts w:hint="eastAsia" w:ascii="楷体_GB2312" w:hAnsi="Times New Roman" w:eastAsia="楷体_GB2312"/>
          <w:b/>
          <w:kern w:val="22"/>
          <w:sz w:val="32"/>
          <w:szCs w:val="32"/>
        </w:rPr>
        <w:t>（四）政府信息管理情况</w:t>
      </w:r>
    </w:p>
    <w:p>
      <w:pPr>
        <w:pStyle w:val="8"/>
        <w:widowControl/>
        <w:spacing w:after="0" w:line="560" w:lineRule="exact"/>
        <w:ind w:firstLine="640" w:firstLineChars="200"/>
        <w:jc w:val="both"/>
        <w:rPr>
          <w:rFonts w:ascii="楷体_GB2312" w:hAnsi="Times New Roman" w:eastAsia="楷体_GB2312"/>
          <w:kern w:val="22"/>
          <w:sz w:val="32"/>
          <w:szCs w:val="32"/>
        </w:rPr>
      </w:pPr>
      <w:r>
        <w:rPr>
          <w:rFonts w:hint="eastAsia" w:ascii="Times New Roman" w:hAnsi="Times New Roman" w:eastAsia="仿宋_GB2312"/>
          <w:kern w:val="22"/>
          <w:sz w:val="32"/>
          <w:szCs w:val="32"/>
        </w:rPr>
        <w:t>一是加强政府信息规范管理，及时清理废止、失效的政府信息。二是加强政府信息公开培训，召开了2次培训会，对新修订的《中华人民共和国政府信息公开条例》以及省市政务公开方案进行系统培训，对省、市第三方评估考核指标详细讲解，并集中对如何规范依申请公开答复进行现场答疑，进一步提高了政务公开工作人员的业务能力。</w:t>
      </w:r>
    </w:p>
    <w:p>
      <w:pPr>
        <w:pStyle w:val="8"/>
        <w:widowControl/>
        <w:spacing w:after="0" w:line="560" w:lineRule="exact"/>
        <w:ind w:firstLine="643" w:firstLineChars="200"/>
        <w:jc w:val="both"/>
        <w:rPr>
          <w:rFonts w:ascii="楷体_GB2312" w:hAnsi="Times New Roman" w:eastAsia="楷体_GB2312"/>
          <w:b/>
          <w:kern w:val="22"/>
          <w:sz w:val="32"/>
          <w:szCs w:val="32"/>
        </w:rPr>
      </w:pPr>
      <w:r>
        <w:rPr>
          <w:rFonts w:hint="eastAsia" w:ascii="楷体_GB2312" w:hAnsi="Times New Roman" w:eastAsia="楷体_GB2312"/>
          <w:b/>
          <w:kern w:val="22"/>
          <w:sz w:val="32"/>
          <w:szCs w:val="32"/>
        </w:rPr>
        <w:t>（五）政府信息公开平台建设情况</w:t>
      </w:r>
    </w:p>
    <w:p>
      <w:pPr>
        <w:pStyle w:val="8"/>
        <w:widowControl/>
        <w:spacing w:after="0" w:line="560" w:lineRule="exact"/>
        <w:ind w:firstLine="480" w:firstLineChars="200"/>
        <w:jc w:val="both"/>
        <w:rPr>
          <w:rFonts w:ascii="Times New Roman" w:hAnsi="Times New Roman" w:eastAsia="仿宋_GB2312"/>
          <w:kern w:val="22"/>
          <w:sz w:val="32"/>
          <w:szCs w:val="32"/>
        </w:rPr>
      </w:pPr>
      <w:r>
        <w:drawing>
          <wp:anchor distT="0" distB="0" distL="114300" distR="114300" simplePos="0" relativeHeight="251667456" behindDoc="1" locked="0" layoutInCell="1" allowOverlap="1">
            <wp:simplePos x="0" y="0"/>
            <wp:positionH relativeFrom="column">
              <wp:posOffset>873760</wp:posOffset>
            </wp:positionH>
            <wp:positionV relativeFrom="paragraph">
              <wp:posOffset>756285</wp:posOffset>
            </wp:positionV>
            <wp:extent cx="4418330" cy="2777490"/>
            <wp:effectExtent l="0" t="0" r="1270" b="3810"/>
            <wp:wrapTight wrapText="bothSides">
              <wp:wrapPolygon>
                <wp:start x="0" y="0"/>
                <wp:lineTo x="0" y="21481"/>
                <wp:lineTo x="21513" y="21481"/>
                <wp:lineTo x="21513"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18330" cy="2777490"/>
                    </a:xfrm>
                    <a:prstGeom prst="rect">
                      <a:avLst/>
                    </a:prstGeom>
                  </pic:spPr>
                </pic:pic>
              </a:graphicData>
            </a:graphic>
          </wp:anchor>
        </w:drawing>
      </w:r>
      <w:r>
        <w:rPr>
          <w:rFonts w:hint="eastAsia" w:ascii="Times New Roman" w:hAnsi="Times New Roman" w:eastAsia="仿宋_GB2312"/>
          <w:b/>
          <w:kern w:val="22"/>
          <w:sz w:val="32"/>
          <w:szCs w:val="32"/>
        </w:rPr>
        <w:t>加强平台建设。</w:t>
      </w:r>
      <w:r>
        <w:rPr>
          <w:rFonts w:ascii="Times New Roman" w:hAnsi="Times New Roman" w:eastAsia="仿宋_GB2312"/>
          <w:kern w:val="22"/>
          <w:sz w:val="32"/>
          <w:szCs w:val="32"/>
        </w:rPr>
        <w:t>强化</w:t>
      </w:r>
      <w:r>
        <w:rPr>
          <w:rFonts w:hint="eastAsia" w:ascii="Times New Roman" w:hAnsi="Times New Roman" w:eastAsia="仿宋_GB2312"/>
          <w:kern w:val="22"/>
          <w:sz w:val="32"/>
          <w:szCs w:val="32"/>
        </w:rPr>
        <w:t>县</w:t>
      </w:r>
      <w:r>
        <w:rPr>
          <w:rFonts w:ascii="Times New Roman" w:hAnsi="Times New Roman" w:eastAsia="仿宋_GB2312"/>
          <w:kern w:val="22"/>
          <w:sz w:val="32"/>
          <w:szCs w:val="32"/>
        </w:rPr>
        <w:t>政府门户网站</w:t>
      </w:r>
      <w:r>
        <w:rPr>
          <w:rFonts w:hint="eastAsia" w:ascii="Times New Roman" w:hAnsi="Times New Roman" w:eastAsia="仿宋_GB2312"/>
          <w:kern w:val="22"/>
          <w:sz w:val="32"/>
          <w:szCs w:val="32"/>
        </w:rPr>
        <w:t>政务公开</w:t>
      </w:r>
      <w:r>
        <w:rPr>
          <w:rFonts w:ascii="Times New Roman" w:hAnsi="Times New Roman" w:eastAsia="仿宋_GB2312"/>
          <w:kern w:val="22"/>
          <w:sz w:val="32"/>
          <w:szCs w:val="32"/>
        </w:rPr>
        <w:t>第一平台作用</w:t>
      </w:r>
      <w:r>
        <w:rPr>
          <w:rFonts w:hint="eastAsia" w:ascii="Times New Roman" w:hAnsi="Times New Roman" w:eastAsia="仿宋_GB2312"/>
          <w:kern w:val="22"/>
          <w:sz w:val="32"/>
          <w:szCs w:val="32"/>
        </w:rPr>
        <w:t>，完善政府信息公开目录，加大重点领域信息公开力度，在县</w:t>
      </w:r>
      <w:r>
        <w:rPr>
          <w:rFonts w:ascii="Times New Roman" w:hAnsi="Times New Roman" w:eastAsia="仿宋_GB2312"/>
          <w:kern w:val="22"/>
          <w:sz w:val="32"/>
          <w:szCs w:val="32"/>
        </w:rPr>
        <w:t>政府门户网站</w:t>
      </w:r>
      <w:r>
        <w:rPr>
          <w:rFonts w:hint="eastAsia" w:ascii="Times New Roman" w:hAnsi="Times New Roman" w:eastAsia="仿宋_GB2312"/>
          <w:kern w:val="22"/>
          <w:sz w:val="32"/>
          <w:szCs w:val="32"/>
        </w:rPr>
        <w:t>新开设“领导信息”栏目，全面公开县政府领导班子成员分工和工作简历，接受社会监督。</w:t>
      </w:r>
      <w:r>
        <w:rPr>
          <w:rFonts w:hint="eastAsia" w:ascii="仿宋_GB2312" w:hAnsi="仿宋" w:eastAsia="仿宋_GB2312" w:cs="仿宋_GB2312"/>
          <w:bCs/>
          <w:sz w:val="32"/>
          <w:szCs w:val="32"/>
        </w:rPr>
        <w:t>加大政务微博、微信等新媒体平台的政务公开力度，</w:t>
      </w:r>
      <w:r>
        <w:rPr>
          <w:rFonts w:hint="eastAsia" w:ascii="仿宋_GB2312" w:hAnsi="仿宋" w:eastAsia="仿宋_GB2312" w:cs="仿宋"/>
          <w:color w:val="000000" w:themeColor="text1"/>
          <w:sz w:val="32"/>
          <w:szCs w:val="32"/>
          <w14:textFill>
            <w14:solidFill>
              <w14:schemeClr w14:val="tx1"/>
            </w14:solidFill>
          </w14:textFill>
        </w:rPr>
        <w:t>统筹推进政务新媒体与政府网站的协同联动、融合发展，提升信息发布、解读回应、政民互动、办事服务的整体水平。</w:t>
      </w:r>
    </w:p>
    <w:p>
      <w:pPr>
        <w:pStyle w:val="8"/>
        <w:widowControl/>
        <w:spacing w:after="0" w:line="560" w:lineRule="exact"/>
        <w:ind w:firstLine="643" w:firstLineChars="200"/>
        <w:jc w:val="both"/>
        <w:rPr>
          <w:rFonts w:ascii="楷体_GB2312" w:hAnsi="Times New Roman" w:eastAsia="楷体_GB2312"/>
          <w:b/>
          <w:kern w:val="22"/>
          <w:sz w:val="32"/>
          <w:szCs w:val="32"/>
        </w:rPr>
      </w:pPr>
      <w:r>
        <w:rPr>
          <w:rFonts w:hint="eastAsia" w:ascii="楷体_GB2312" w:hAnsi="Times New Roman" w:eastAsia="楷体_GB2312"/>
          <w:b/>
          <w:kern w:val="22"/>
          <w:sz w:val="32"/>
          <w:szCs w:val="32"/>
        </w:rPr>
        <w:t>（六）政府信息公开机构建设和人员情况</w:t>
      </w:r>
    </w:p>
    <w:p>
      <w:pPr>
        <w:widowControl/>
        <w:spacing w:line="560" w:lineRule="exact"/>
        <w:ind w:firstLine="646"/>
        <w:rPr>
          <w:rFonts w:ascii="仿宋_GB2312" w:hAnsi="仿宋" w:eastAsia="仿宋_GB2312" w:cs="仿宋"/>
          <w:b/>
          <w:color w:val="000000" w:themeColor="text1"/>
          <w:kern w:val="0"/>
          <w:sz w:val="32"/>
          <w:szCs w:val="32"/>
          <w14:textFill>
            <w14:solidFill>
              <w14:schemeClr w14:val="tx1"/>
            </w14:solidFill>
          </w14:textFill>
        </w:rPr>
      </w:pPr>
    </w:p>
    <w:p>
      <w:pPr>
        <w:widowControl/>
        <w:spacing w:line="560" w:lineRule="exact"/>
        <w:ind w:firstLine="646"/>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1.机构情况</w:t>
      </w:r>
    </w:p>
    <w:p>
      <w:pPr>
        <w:widowControl/>
        <w:spacing w:line="560" w:lineRule="exact"/>
        <w:ind w:firstLine="646"/>
        <w:rPr>
          <w:rFonts w:ascii="仿宋_GB2312" w:hAnsi="仿宋" w:eastAsia="仿宋_GB2312" w:cs="仿宋"/>
          <w:color w:val="000000" w:themeColor="text1"/>
          <w:kern w:val="0"/>
          <w:sz w:val="32"/>
          <w:szCs w:val="32"/>
          <w14:textFill>
            <w14:solidFill>
              <w14:schemeClr w14:val="tx1"/>
            </w14:solidFill>
          </w14:textFill>
        </w:rPr>
      </w:pPr>
      <w:r>
        <w:rPr>
          <w:rFonts w:hint="eastAsia" w:ascii="仿宋_GB2312" w:hAnsi="仿宋" w:eastAsia="仿宋_GB2312" w:cs="仿宋"/>
          <w:color w:val="000000" w:themeColor="text1"/>
          <w:kern w:val="0"/>
          <w:sz w:val="32"/>
          <w:szCs w:val="32"/>
          <w14:textFill>
            <w14:solidFill>
              <w14:schemeClr w14:val="tx1"/>
            </w14:solidFill>
          </w14:textFill>
        </w:rPr>
        <w:t>截至2019年底，全县政府信息公开工作机构数量为35个，其中，县直部门、单位政府信息公开工作机构25个，镇办政府信息公开工作机构10个。</w:t>
      </w:r>
    </w:p>
    <w:p>
      <w:pPr>
        <w:widowControl/>
        <w:spacing w:line="560" w:lineRule="exact"/>
        <w:ind w:firstLine="646"/>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2.人员情况</w:t>
      </w:r>
    </w:p>
    <w:p>
      <w:pPr>
        <w:widowControl/>
        <w:spacing w:line="560" w:lineRule="exact"/>
        <w:ind w:firstLine="646"/>
        <w:rPr>
          <w:rFonts w:ascii="仿宋_GB2312" w:hAnsi="仿宋" w:eastAsia="仿宋_GB2312" w:cs="仿宋"/>
          <w:color w:val="000000" w:themeColor="text1"/>
          <w:kern w:val="0"/>
          <w:sz w:val="32"/>
          <w:szCs w:val="32"/>
          <w14:textFill>
            <w14:solidFill>
              <w14:schemeClr w14:val="tx1"/>
            </w14:solidFill>
          </w14:textFill>
        </w:rPr>
      </w:pPr>
      <w:r>
        <w:rPr>
          <w:rFonts w:hint="eastAsia" w:ascii="仿宋_GB2312" w:hAnsi="仿宋" w:eastAsia="仿宋_GB2312" w:cs="仿宋"/>
          <w:color w:val="000000" w:themeColor="text1"/>
          <w:kern w:val="0"/>
          <w:sz w:val="32"/>
          <w:szCs w:val="32"/>
          <w14:textFill>
            <w14:solidFill>
              <w14:schemeClr w14:val="tx1"/>
            </w14:solidFill>
          </w14:textFill>
        </w:rPr>
        <w:t>截至2019年底，全市政府信息公开工作人员数量为40人，其中，专职工作人员28人，兼职工作人员12人。</w:t>
      </w:r>
    </w:p>
    <w:p>
      <w:pPr>
        <w:pStyle w:val="8"/>
        <w:widowControl/>
        <w:spacing w:after="0" w:line="560" w:lineRule="exact"/>
        <w:ind w:firstLine="643" w:firstLineChars="200"/>
        <w:jc w:val="both"/>
        <w:rPr>
          <w:rFonts w:ascii="楷体_GB2312" w:hAnsi="Times New Roman" w:eastAsia="楷体_GB2312"/>
          <w:b/>
          <w:kern w:val="22"/>
          <w:sz w:val="32"/>
          <w:szCs w:val="32"/>
        </w:rPr>
      </w:pPr>
      <w:r>
        <w:rPr>
          <w:rFonts w:hint="eastAsia" w:ascii="楷体_GB2312" w:hAnsi="Times New Roman" w:eastAsia="楷体_GB2312"/>
          <w:b/>
          <w:kern w:val="22"/>
          <w:sz w:val="32"/>
          <w:szCs w:val="32"/>
        </w:rPr>
        <w:t>（七）监督保障情况</w:t>
      </w:r>
    </w:p>
    <w:p>
      <w:pPr>
        <w:pStyle w:val="8"/>
        <w:widowControl/>
        <w:spacing w:after="0" w:line="560" w:lineRule="exact"/>
        <w:ind w:firstLine="643" w:firstLineChars="200"/>
        <w:jc w:val="both"/>
        <w:rPr>
          <w:rFonts w:ascii="Times New Roman" w:hAnsi="Times New Roman" w:eastAsia="仿宋_GB2312"/>
          <w:kern w:val="22"/>
          <w:sz w:val="32"/>
          <w:szCs w:val="32"/>
        </w:rPr>
      </w:pPr>
      <w:r>
        <w:rPr>
          <w:rFonts w:hint="eastAsia" w:ascii="Times New Roman" w:hAnsi="Times New Roman" w:eastAsia="仿宋_GB2312"/>
          <w:b/>
          <w:kern w:val="22"/>
          <w:sz w:val="32"/>
          <w:szCs w:val="32"/>
        </w:rPr>
        <w:t>一是加强工作考核。</w:t>
      </w:r>
      <w:r>
        <w:rPr>
          <w:rFonts w:hint="eastAsia" w:ascii="Times New Roman" w:hAnsi="Times New Roman" w:eastAsia="仿宋_GB2312"/>
          <w:kern w:val="22"/>
          <w:sz w:val="32"/>
          <w:szCs w:val="32"/>
        </w:rPr>
        <w:t>2019年，政务公开工作纳入全县经济社会发展综合考核。同时，结合省、市政务公开工作要点，印发《高青县人民政府办公室关于印发2019 年高青县政务公开工作方案的通知》（高政办发〔2019〕8号），明确各领域公开任务，落实具体责任单位。</w:t>
      </w:r>
    </w:p>
    <w:p>
      <w:pPr>
        <w:spacing w:line="560" w:lineRule="exact"/>
        <w:ind w:firstLine="643" w:firstLineChars="200"/>
        <w:rPr>
          <w:rFonts w:ascii="仿宋_GB2312" w:hAnsi="楷体" w:eastAsia="仿宋_GB2312"/>
          <w:kern w:val="0"/>
          <w:sz w:val="32"/>
          <w:szCs w:val="32"/>
        </w:rPr>
      </w:pPr>
      <w:r>
        <w:rPr>
          <w:rFonts w:hint="eastAsia" w:ascii="Times New Roman" w:hAnsi="Times New Roman" w:eastAsia="仿宋_GB2312"/>
          <w:b/>
          <w:kern w:val="22"/>
          <w:sz w:val="32"/>
          <w:szCs w:val="32"/>
        </w:rPr>
        <w:t>二是强化责任追究。</w:t>
      </w:r>
      <w:r>
        <w:rPr>
          <w:rFonts w:hint="eastAsia" w:ascii="仿宋_GB2312" w:hAnsi="楷体" w:eastAsia="仿宋_GB2312"/>
          <w:kern w:val="0"/>
          <w:sz w:val="32"/>
          <w:szCs w:val="32"/>
        </w:rPr>
        <w:t>县政府办公室建立了定期通报制度，对更新情况、信息发布情况、重点领域部门工作完成情况等进行通报，对公开工作落实不到位的，予以通报批评。</w:t>
      </w:r>
    </w:p>
    <w:p>
      <w:pPr>
        <w:pStyle w:val="8"/>
        <w:widowControl/>
        <w:spacing w:line="560" w:lineRule="exact"/>
        <w:ind w:firstLine="640" w:firstLineChars="200"/>
        <w:rPr>
          <w:rFonts w:ascii="Times New Roman" w:hAnsi="Times New Roman" w:eastAsia="仿宋_GB2312"/>
          <w:kern w:val="22"/>
          <w:sz w:val="32"/>
          <w:szCs w:val="32"/>
        </w:rPr>
      </w:pPr>
    </w:p>
    <w:p>
      <w:pPr>
        <w:pStyle w:val="8"/>
        <w:widowControl/>
        <w:spacing w:after="0" w:line="560" w:lineRule="exact"/>
        <w:ind w:firstLine="640" w:firstLineChars="200"/>
        <w:jc w:val="both"/>
        <w:rPr>
          <w:rFonts w:ascii="Times New Roman" w:hAnsi="Times New Roman" w:eastAsia="仿宋_GB2312"/>
          <w:kern w:val="22"/>
          <w:sz w:val="32"/>
          <w:szCs w:val="32"/>
        </w:rPr>
      </w:pPr>
    </w:p>
    <w:p>
      <w:pPr>
        <w:pStyle w:val="8"/>
        <w:widowControl/>
        <w:spacing w:after="0" w:line="560" w:lineRule="exact"/>
        <w:ind w:firstLine="640" w:firstLineChars="200"/>
        <w:jc w:val="both"/>
        <w:rPr>
          <w:rFonts w:ascii="Times New Roman" w:hAnsi="Times New Roman" w:eastAsia="仿宋_GB2312"/>
          <w:kern w:val="22"/>
          <w:sz w:val="32"/>
          <w:szCs w:val="32"/>
        </w:rPr>
      </w:pPr>
    </w:p>
    <w:p>
      <w:pPr>
        <w:pStyle w:val="8"/>
        <w:widowControl/>
        <w:spacing w:after="0" w:line="560" w:lineRule="exact"/>
        <w:ind w:firstLine="640" w:firstLineChars="200"/>
        <w:jc w:val="both"/>
        <w:rPr>
          <w:rFonts w:ascii="Times New Roman" w:hAnsi="Times New Roman" w:eastAsia="仿宋_GB2312"/>
          <w:kern w:val="22"/>
          <w:sz w:val="32"/>
          <w:szCs w:val="32"/>
        </w:rPr>
      </w:pPr>
    </w:p>
    <w:p>
      <w:pPr>
        <w:pStyle w:val="8"/>
        <w:widowControl/>
        <w:spacing w:after="0" w:line="560" w:lineRule="exact"/>
        <w:ind w:firstLine="640" w:firstLineChars="200"/>
        <w:jc w:val="both"/>
        <w:rPr>
          <w:rFonts w:ascii="Times New Roman" w:hAnsi="Times New Roman" w:eastAsia="仿宋_GB2312"/>
          <w:kern w:val="22"/>
          <w:sz w:val="32"/>
          <w:szCs w:val="32"/>
        </w:rPr>
      </w:pPr>
    </w:p>
    <w:p>
      <w:pPr>
        <w:pStyle w:val="8"/>
        <w:widowControl/>
        <w:spacing w:after="0" w:line="560" w:lineRule="exact"/>
        <w:ind w:firstLine="640" w:firstLineChars="200"/>
        <w:jc w:val="both"/>
        <w:rPr>
          <w:rFonts w:ascii="Times New Roman" w:hAnsi="Times New Roman" w:eastAsia="仿宋_GB2312"/>
          <w:kern w:val="22"/>
          <w:sz w:val="32"/>
          <w:szCs w:val="32"/>
        </w:rPr>
      </w:pPr>
    </w:p>
    <w:p>
      <w:pPr>
        <w:pStyle w:val="8"/>
        <w:widowControl/>
        <w:spacing w:after="0" w:line="560" w:lineRule="exact"/>
        <w:ind w:firstLine="640" w:firstLineChars="200"/>
        <w:jc w:val="both"/>
        <w:rPr>
          <w:rFonts w:ascii="Times New Roman" w:hAnsi="Times New Roman" w:eastAsia="仿宋_GB2312"/>
          <w:kern w:val="22"/>
          <w:sz w:val="32"/>
          <w:szCs w:val="32"/>
        </w:rPr>
      </w:pPr>
    </w:p>
    <w:p>
      <w:pPr>
        <w:pStyle w:val="8"/>
        <w:widowControl/>
        <w:spacing w:after="0" w:line="560" w:lineRule="exact"/>
        <w:ind w:firstLine="640" w:firstLineChars="200"/>
        <w:jc w:val="both"/>
        <w:rPr>
          <w:rFonts w:ascii="黑体" w:hAnsi="黑体" w:eastAsia="黑体" w:cs="仿宋"/>
          <w:color w:val="000000" w:themeColor="text1"/>
          <w:sz w:val="32"/>
          <w:szCs w:val="32"/>
          <w14:textFill>
            <w14:solidFill>
              <w14:schemeClr w14:val="tx1"/>
            </w14:solidFill>
          </w14:textFill>
        </w:rPr>
      </w:pPr>
    </w:p>
    <w:p>
      <w:pPr>
        <w:pStyle w:val="8"/>
        <w:widowControl/>
        <w:spacing w:after="0" w:line="560" w:lineRule="exact"/>
        <w:ind w:firstLine="640" w:firstLineChars="200"/>
        <w:jc w:val="both"/>
        <w:rPr>
          <w:rFonts w:ascii="黑体" w:hAnsi="黑体" w:eastAsia="黑体"/>
          <w:b/>
          <w:sz w:val="32"/>
          <w:szCs w:val="32"/>
        </w:rPr>
      </w:pPr>
      <w:r>
        <w:rPr>
          <w:rFonts w:hint="eastAsia" w:ascii="黑体" w:hAnsi="黑体" w:eastAsia="黑体" w:cs="仿宋"/>
          <w:color w:val="000000" w:themeColor="text1"/>
          <w:sz w:val="32"/>
          <w:szCs w:val="32"/>
          <w14:textFill>
            <w14:solidFill>
              <w14:schemeClr w14:val="tx1"/>
            </w14:solidFill>
          </w14:textFill>
        </w:rPr>
        <w:t>二、</w:t>
      </w:r>
      <w:r>
        <w:rPr>
          <w:rFonts w:hint="eastAsia" w:ascii="黑体" w:hAnsi="黑体" w:eastAsia="黑体"/>
          <w:b/>
          <w:sz w:val="32"/>
          <w:szCs w:val="32"/>
        </w:rPr>
        <w:t>主动公开政府信息情况</w:t>
      </w:r>
    </w:p>
    <w:tbl>
      <w:tblPr>
        <w:tblStyle w:val="10"/>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1985"/>
        <w:gridCol w:w="2030"/>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931" w:type="dxa"/>
            <w:gridSpan w:val="4"/>
            <w:vAlign w:val="center"/>
          </w:tcPr>
          <w:p>
            <w:pPr>
              <w:jc w:val="center"/>
              <w:rPr>
                <w:kern w:val="0"/>
                <w:sz w:val="24"/>
              </w:rPr>
            </w:pPr>
            <w:r>
              <w:rPr>
                <w:rFonts w:hint="eastAsia"/>
                <w:kern w:val="0"/>
                <w:sz w:val="24"/>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694" w:type="dxa"/>
            <w:vAlign w:val="center"/>
          </w:tcPr>
          <w:p>
            <w:pPr>
              <w:jc w:val="center"/>
              <w:rPr>
                <w:kern w:val="0"/>
                <w:sz w:val="24"/>
              </w:rPr>
            </w:pPr>
            <w:r>
              <w:rPr>
                <w:rFonts w:hint="eastAsia"/>
                <w:kern w:val="0"/>
                <w:sz w:val="24"/>
              </w:rPr>
              <w:t>信息内容</w:t>
            </w:r>
          </w:p>
        </w:tc>
        <w:tc>
          <w:tcPr>
            <w:tcW w:w="1985" w:type="dxa"/>
            <w:vAlign w:val="center"/>
          </w:tcPr>
          <w:p>
            <w:pPr>
              <w:jc w:val="center"/>
              <w:rPr>
                <w:kern w:val="0"/>
                <w:sz w:val="24"/>
              </w:rPr>
            </w:pPr>
            <w:r>
              <w:rPr>
                <w:rFonts w:hint="eastAsia"/>
                <w:kern w:val="0"/>
                <w:sz w:val="24"/>
              </w:rPr>
              <w:t>本年新制作数量</w:t>
            </w:r>
          </w:p>
        </w:tc>
        <w:tc>
          <w:tcPr>
            <w:tcW w:w="2030" w:type="dxa"/>
            <w:vAlign w:val="center"/>
          </w:tcPr>
          <w:p>
            <w:pPr>
              <w:jc w:val="center"/>
              <w:rPr>
                <w:kern w:val="0"/>
                <w:sz w:val="24"/>
              </w:rPr>
            </w:pPr>
            <w:r>
              <w:rPr>
                <w:rFonts w:hint="eastAsia"/>
                <w:kern w:val="0"/>
                <w:sz w:val="24"/>
              </w:rPr>
              <w:t>本年新</w:t>
            </w:r>
          </w:p>
          <w:p>
            <w:pPr>
              <w:jc w:val="center"/>
              <w:rPr>
                <w:kern w:val="0"/>
                <w:sz w:val="24"/>
              </w:rPr>
            </w:pPr>
            <w:r>
              <w:rPr>
                <w:rFonts w:hint="eastAsia"/>
                <w:kern w:val="0"/>
                <w:sz w:val="24"/>
              </w:rPr>
              <w:t>公开数量</w:t>
            </w:r>
          </w:p>
        </w:tc>
        <w:tc>
          <w:tcPr>
            <w:tcW w:w="2222" w:type="dxa"/>
            <w:vAlign w:val="center"/>
          </w:tcPr>
          <w:p>
            <w:pPr>
              <w:jc w:val="center"/>
              <w:rPr>
                <w:kern w:val="0"/>
                <w:sz w:val="24"/>
              </w:rPr>
            </w:pPr>
            <w:r>
              <w:rPr>
                <w:rFonts w:hint="eastAsia"/>
                <w:kern w:val="0"/>
                <w:sz w:val="24"/>
              </w:rPr>
              <w:t>对外公开</w:t>
            </w:r>
          </w:p>
          <w:p>
            <w:pPr>
              <w:jc w:val="center"/>
              <w:rPr>
                <w:kern w:val="0"/>
                <w:sz w:val="24"/>
              </w:rPr>
            </w:pPr>
            <w:r>
              <w:rPr>
                <w:rFonts w:hint="eastAsia"/>
                <w:kern w:val="0"/>
                <w:sz w:val="24"/>
              </w:rPr>
              <w:t>总数量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694" w:type="dxa"/>
            <w:vAlign w:val="center"/>
          </w:tcPr>
          <w:p>
            <w:pPr>
              <w:rPr>
                <w:kern w:val="0"/>
                <w:sz w:val="24"/>
              </w:rPr>
            </w:pPr>
            <w:r>
              <w:rPr>
                <w:rFonts w:hint="eastAsia"/>
                <w:kern w:val="0"/>
                <w:sz w:val="24"/>
              </w:rPr>
              <w:t>规章</w:t>
            </w:r>
          </w:p>
        </w:tc>
        <w:tc>
          <w:tcPr>
            <w:tcW w:w="1985" w:type="dxa"/>
            <w:vAlign w:val="center"/>
          </w:tcPr>
          <w:p>
            <w:pPr>
              <w:jc w:val="center"/>
              <w:rPr>
                <w:kern w:val="0"/>
                <w:sz w:val="24"/>
              </w:rPr>
            </w:pPr>
            <w:r>
              <w:rPr>
                <w:rFonts w:hint="eastAsia"/>
                <w:kern w:val="0"/>
                <w:sz w:val="24"/>
              </w:rPr>
              <w:t>0</w:t>
            </w:r>
          </w:p>
        </w:tc>
        <w:tc>
          <w:tcPr>
            <w:tcW w:w="2030" w:type="dxa"/>
            <w:vAlign w:val="center"/>
          </w:tcPr>
          <w:p>
            <w:pPr>
              <w:jc w:val="center"/>
              <w:rPr>
                <w:kern w:val="0"/>
                <w:sz w:val="24"/>
              </w:rPr>
            </w:pPr>
            <w:r>
              <w:rPr>
                <w:rFonts w:hint="eastAsia"/>
                <w:kern w:val="0"/>
                <w:sz w:val="24"/>
              </w:rPr>
              <w:t>0</w:t>
            </w:r>
          </w:p>
        </w:tc>
        <w:tc>
          <w:tcPr>
            <w:tcW w:w="2222" w:type="dxa"/>
            <w:vAlign w:val="center"/>
          </w:tcPr>
          <w:p>
            <w:pPr>
              <w:jc w:val="center"/>
              <w:rPr>
                <w:kern w:val="0"/>
                <w:sz w:val="24"/>
              </w:rPr>
            </w:pPr>
            <w:r>
              <w:rPr>
                <w:rFonts w:hint="eastAsia"/>
                <w:kern w:val="0"/>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694" w:type="dxa"/>
            <w:vAlign w:val="center"/>
          </w:tcPr>
          <w:p>
            <w:pPr>
              <w:rPr>
                <w:kern w:val="0"/>
                <w:sz w:val="24"/>
              </w:rPr>
            </w:pPr>
            <w:r>
              <w:rPr>
                <w:rFonts w:hint="eastAsia"/>
                <w:kern w:val="0"/>
                <w:sz w:val="24"/>
              </w:rPr>
              <w:t>规范性文件</w:t>
            </w:r>
          </w:p>
        </w:tc>
        <w:tc>
          <w:tcPr>
            <w:tcW w:w="1985" w:type="dxa"/>
            <w:vAlign w:val="center"/>
          </w:tcPr>
          <w:p>
            <w:pPr>
              <w:jc w:val="center"/>
              <w:rPr>
                <w:kern w:val="0"/>
                <w:sz w:val="24"/>
              </w:rPr>
            </w:pPr>
            <w:r>
              <w:rPr>
                <w:rFonts w:hint="eastAsia"/>
                <w:kern w:val="0"/>
                <w:sz w:val="24"/>
              </w:rPr>
              <w:t>5</w:t>
            </w:r>
          </w:p>
        </w:tc>
        <w:tc>
          <w:tcPr>
            <w:tcW w:w="2030" w:type="dxa"/>
            <w:vAlign w:val="center"/>
          </w:tcPr>
          <w:p>
            <w:pPr>
              <w:jc w:val="center"/>
              <w:rPr>
                <w:kern w:val="0"/>
                <w:sz w:val="24"/>
              </w:rPr>
            </w:pPr>
            <w:r>
              <w:rPr>
                <w:rFonts w:hint="eastAsia"/>
                <w:kern w:val="0"/>
                <w:sz w:val="24"/>
              </w:rPr>
              <w:t>5</w:t>
            </w:r>
          </w:p>
        </w:tc>
        <w:tc>
          <w:tcPr>
            <w:tcW w:w="2222" w:type="dxa"/>
            <w:vAlign w:val="center"/>
          </w:tcPr>
          <w:p>
            <w:pPr>
              <w:jc w:val="center"/>
              <w:rPr>
                <w:kern w:val="0"/>
                <w:sz w:val="24"/>
              </w:rPr>
            </w:pPr>
            <w:r>
              <w:rPr>
                <w:rFonts w:hint="eastAsia"/>
                <w:kern w:val="0"/>
                <w:sz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31" w:type="dxa"/>
            <w:gridSpan w:val="4"/>
            <w:vAlign w:val="center"/>
          </w:tcPr>
          <w:p>
            <w:pPr>
              <w:jc w:val="center"/>
              <w:rPr>
                <w:kern w:val="0"/>
                <w:sz w:val="24"/>
              </w:rPr>
            </w:pPr>
            <w:r>
              <w:rPr>
                <w:rFonts w:hint="eastAsia"/>
                <w:kern w:val="0"/>
                <w:sz w:val="24"/>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694" w:type="dxa"/>
            <w:vAlign w:val="center"/>
          </w:tcPr>
          <w:p>
            <w:pPr>
              <w:jc w:val="center"/>
              <w:rPr>
                <w:kern w:val="0"/>
                <w:sz w:val="24"/>
              </w:rPr>
            </w:pPr>
            <w:r>
              <w:rPr>
                <w:rFonts w:hint="eastAsia"/>
                <w:kern w:val="0"/>
                <w:sz w:val="24"/>
              </w:rPr>
              <w:t>信息内容</w:t>
            </w:r>
          </w:p>
        </w:tc>
        <w:tc>
          <w:tcPr>
            <w:tcW w:w="1985" w:type="dxa"/>
            <w:vAlign w:val="center"/>
          </w:tcPr>
          <w:p>
            <w:pPr>
              <w:rPr>
                <w:kern w:val="0"/>
                <w:sz w:val="24"/>
              </w:rPr>
            </w:pPr>
            <w:r>
              <w:rPr>
                <w:rFonts w:hint="eastAsia"/>
                <w:kern w:val="0"/>
                <w:sz w:val="24"/>
              </w:rPr>
              <w:t>上一年项目数量</w:t>
            </w:r>
          </w:p>
        </w:tc>
        <w:tc>
          <w:tcPr>
            <w:tcW w:w="2030" w:type="dxa"/>
            <w:vAlign w:val="center"/>
          </w:tcPr>
          <w:p>
            <w:pPr>
              <w:jc w:val="center"/>
              <w:rPr>
                <w:kern w:val="0"/>
                <w:sz w:val="24"/>
              </w:rPr>
            </w:pPr>
            <w:r>
              <w:rPr>
                <w:rFonts w:hint="eastAsia"/>
                <w:kern w:val="0"/>
                <w:sz w:val="24"/>
              </w:rPr>
              <w:t>本年增/减</w:t>
            </w:r>
          </w:p>
        </w:tc>
        <w:tc>
          <w:tcPr>
            <w:tcW w:w="2222" w:type="dxa"/>
            <w:vAlign w:val="center"/>
          </w:tcPr>
          <w:p>
            <w:pPr>
              <w:jc w:val="center"/>
              <w:rPr>
                <w:kern w:val="0"/>
                <w:sz w:val="24"/>
              </w:rPr>
            </w:pPr>
            <w:r>
              <w:rPr>
                <w:rFonts w:hint="eastAsia"/>
                <w:kern w:val="0"/>
                <w:sz w:val="24"/>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694" w:type="dxa"/>
            <w:vAlign w:val="center"/>
          </w:tcPr>
          <w:p>
            <w:pPr>
              <w:rPr>
                <w:kern w:val="0"/>
                <w:sz w:val="24"/>
              </w:rPr>
            </w:pPr>
            <w:r>
              <w:rPr>
                <w:rFonts w:hint="eastAsia"/>
                <w:kern w:val="0"/>
                <w:sz w:val="24"/>
              </w:rPr>
              <w:t>行政许可</w:t>
            </w:r>
          </w:p>
        </w:tc>
        <w:tc>
          <w:tcPr>
            <w:tcW w:w="1985" w:type="dxa"/>
            <w:vAlign w:val="center"/>
          </w:tcPr>
          <w:p>
            <w:pPr>
              <w:jc w:val="center"/>
              <w:rPr>
                <w:kern w:val="0"/>
                <w:sz w:val="24"/>
              </w:rPr>
            </w:pPr>
            <w:r>
              <w:rPr>
                <w:rFonts w:hint="eastAsia"/>
                <w:kern w:val="0"/>
                <w:sz w:val="24"/>
              </w:rPr>
              <w:t>201</w:t>
            </w:r>
          </w:p>
        </w:tc>
        <w:tc>
          <w:tcPr>
            <w:tcW w:w="2030" w:type="dxa"/>
            <w:vAlign w:val="center"/>
          </w:tcPr>
          <w:p>
            <w:pPr>
              <w:jc w:val="center"/>
              <w:rPr>
                <w:kern w:val="0"/>
                <w:sz w:val="24"/>
              </w:rPr>
            </w:pPr>
            <w:r>
              <w:rPr>
                <w:rFonts w:hint="eastAsia"/>
                <w:kern w:val="0"/>
                <w:sz w:val="24"/>
              </w:rPr>
              <w:t>+39</w:t>
            </w:r>
          </w:p>
        </w:tc>
        <w:tc>
          <w:tcPr>
            <w:tcW w:w="2222" w:type="dxa"/>
            <w:vAlign w:val="center"/>
          </w:tcPr>
          <w:p>
            <w:pPr>
              <w:jc w:val="center"/>
              <w:rPr>
                <w:kern w:val="0"/>
                <w:sz w:val="24"/>
              </w:rPr>
            </w:pPr>
            <w:r>
              <w:rPr>
                <w:rFonts w:hint="eastAsia"/>
                <w:kern w:val="0"/>
                <w:sz w:val="24"/>
              </w:rPr>
              <w:t>14016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694" w:type="dxa"/>
            <w:vAlign w:val="center"/>
          </w:tcPr>
          <w:p>
            <w:pPr>
              <w:rPr>
                <w:kern w:val="0"/>
                <w:sz w:val="24"/>
              </w:rPr>
            </w:pPr>
            <w:r>
              <w:rPr>
                <w:rFonts w:hint="eastAsia"/>
                <w:kern w:val="0"/>
                <w:sz w:val="24"/>
              </w:rPr>
              <w:t>其他对外管理服务事项</w:t>
            </w:r>
          </w:p>
        </w:tc>
        <w:tc>
          <w:tcPr>
            <w:tcW w:w="1985" w:type="dxa"/>
            <w:vAlign w:val="center"/>
          </w:tcPr>
          <w:p>
            <w:pPr>
              <w:jc w:val="center"/>
              <w:rPr>
                <w:kern w:val="0"/>
                <w:sz w:val="24"/>
              </w:rPr>
            </w:pPr>
            <w:r>
              <w:rPr>
                <w:rFonts w:hint="eastAsia"/>
                <w:kern w:val="0"/>
                <w:sz w:val="24"/>
              </w:rPr>
              <w:t>1213</w:t>
            </w:r>
          </w:p>
        </w:tc>
        <w:tc>
          <w:tcPr>
            <w:tcW w:w="2030" w:type="dxa"/>
            <w:vAlign w:val="center"/>
          </w:tcPr>
          <w:p>
            <w:pPr>
              <w:jc w:val="center"/>
              <w:rPr>
                <w:kern w:val="0"/>
                <w:sz w:val="24"/>
              </w:rPr>
            </w:pPr>
            <w:r>
              <w:rPr>
                <w:rFonts w:hint="eastAsia"/>
                <w:kern w:val="0"/>
                <w:sz w:val="24"/>
              </w:rPr>
              <w:t>+164</w:t>
            </w:r>
          </w:p>
        </w:tc>
        <w:tc>
          <w:tcPr>
            <w:tcW w:w="2222" w:type="dxa"/>
            <w:vAlign w:val="center"/>
          </w:tcPr>
          <w:p>
            <w:pPr>
              <w:jc w:val="center"/>
              <w:rPr>
                <w:kern w:val="0"/>
                <w:sz w:val="24"/>
              </w:rPr>
            </w:pPr>
            <w:r>
              <w:rPr>
                <w:rFonts w:hint="eastAsia"/>
                <w:kern w:val="0"/>
                <w:sz w:val="24"/>
              </w:rPr>
              <w:t>74753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931" w:type="dxa"/>
            <w:gridSpan w:val="4"/>
            <w:vAlign w:val="center"/>
          </w:tcPr>
          <w:p>
            <w:pPr>
              <w:jc w:val="center"/>
              <w:rPr>
                <w:kern w:val="0"/>
                <w:sz w:val="24"/>
              </w:rPr>
            </w:pPr>
            <w:r>
              <w:rPr>
                <w:rFonts w:hint="eastAsia"/>
                <w:kern w:val="0"/>
                <w:sz w:val="24"/>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694" w:type="dxa"/>
            <w:vAlign w:val="center"/>
          </w:tcPr>
          <w:p>
            <w:pPr>
              <w:jc w:val="center"/>
              <w:rPr>
                <w:kern w:val="0"/>
                <w:sz w:val="24"/>
              </w:rPr>
            </w:pPr>
            <w:r>
              <w:rPr>
                <w:rFonts w:hint="eastAsia"/>
                <w:kern w:val="0"/>
                <w:sz w:val="24"/>
              </w:rPr>
              <w:t>信息内容</w:t>
            </w:r>
          </w:p>
        </w:tc>
        <w:tc>
          <w:tcPr>
            <w:tcW w:w="1985" w:type="dxa"/>
            <w:vAlign w:val="center"/>
          </w:tcPr>
          <w:p>
            <w:pPr>
              <w:rPr>
                <w:kern w:val="0"/>
                <w:sz w:val="24"/>
              </w:rPr>
            </w:pPr>
            <w:r>
              <w:rPr>
                <w:rFonts w:hint="eastAsia"/>
                <w:kern w:val="0"/>
                <w:sz w:val="24"/>
              </w:rPr>
              <w:t>上一年项目数量</w:t>
            </w:r>
          </w:p>
        </w:tc>
        <w:tc>
          <w:tcPr>
            <w:tcW w:w="2030" w:type="dxa"/>
            <w:vAlign w:val="center"/>
          </w:tcPr>
          <w:p>
            <w:pPr>
              <w:jc w:val="center"/>
              <w:rPr>
                <w:kern w:val="0"/>
                <w:sz w:val="24"/>
              </w:rPr>
            </w:pPr>
            <w:r>
              <w:rPr>
                <w:rFonts w:hint="eastAsia"/>
                <w:kern w:val="0"/>
                <w:sz w:val="24"/>
              </w:rPr>
              <w:t>本年增/减</w:t>
            </w:r>
          </w:p>
        </w:tc>
        <w:tc>
          <w:tcPr>
            <w:tcW w:w="2222" w:type="dxa"/>
            <w:vAlign w:val="center"/>
          </w:tcPr>
          <w:p>
            <w:pPr>
              <w:jc w:val="center"/>
              <w:rPr>
                <w:kern w:val="0"/>
                <w:sz w:val="24"/>
              </w:rPr>
            </w:pPr>
            <w:r>
              <w:rPr>
                <w:rFonts w:hint="eastAsia"/>
                <w:kern w:val="0"/>
                <w:sz w:val="24"/>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694" w:type="dxa"/>
            <w:vAlign w:val="center"/>
          </w:tcPr>
          <w:p>
            <w:pPr>
              <w:rPr>
                <w:kern w:val="0"/>
                <w:sz w:val="24"/>
              </w:rPr>
            </w:pPr>
            <w:r>
              <w:rPr>
                <w:rFonts w:hint="eastAsia"/>
                <w:kern w:val="0"/>
                <w:sz w:val="24"/>
              </w:rPr>
              <w:t>行政处罚</w:t>
            </w:r>
          </w:p>
        </w:tc>
        <w:tc>
          <w:tcPr>
            <w:tcW w:w="1985" w:type="dxa"/>
            <w:vAlign w:val="center"/>
          </w:tcPr>
          <w:p>
            <w:pPr>
              <w:jc w:val="center"/>
              <w:rPr>
                <w:kern w:val="0"/>
                <w:sz w:val="24"/>
              </w:rPr>
            </w:pPr>
            <w:r>
              <w:rPr>
                <w:rFonts w:hint="eastAsia"/>
                <w:kern w:val="0"/>
                <w:sz w:val="24"/>
              </w:rPr>
              <w:t>3077</w:t>
            </w:r>
          </w:p>
        </w:tc>
        <w:tc>
          <w:tcPr>
            <w:tcW w:w="2030" w:type="dxa"/>
            <w:vAlign w:val="center"/>
          </w:tcPr>
          <w:p>
            <w:pPr>
              <w:jc w:val="center"/>
              <w:rPr>
                <w:kern w:val="0"/>
                <w:sz w:val="24"/>
              </w:rPr>
            </w:pPr>
            <w:r>
              <w:rPr>
                <w:rFonts w:hint="eastAsia"/>
                <w:kern w:val="0"/>
                <w:sz w:val="24"/>
              </w:rPr>
              <w:t>+231</w:t>
            </w:r>
          </w:p>
        </w:tc>
        <w:tc>
          <w:tcPr>
            <w:tcW w:w="2222" w:type="dxa"/>
            <w:vAlign w:val="center"/>
          </w:tcPr>
          <w:p>
            <w:pPr>
              <w:jc w:val="center"/>
              <w:rPr>
                <w:kern w:val="0"/>
                <w:sz w:val="24"/>
              </w:rPr>
            </w:pPr>
            <w:r>
              <w:rPr>
                <w:rFonts w:hint="eastAsia"/>
                <w:kern w:val="0"/>
                <w:sz w:val="24"/>
              </w:rPr>
              <w:t>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694" w:type="dxa"/>
            <w:vAlign w:val="center"/>
          </w:tcPr>
          <w:p>
            <w:pPr>
              <w:rPr>
                <w:kern w:val="0"/>
                <w:sz w:val="24"/>
              </w:rPr>
            </w:pPr>
            <w:r>
              <w:rPr>
                <w:rFonts w:hint="eastAsia"/>
                <w:kern w:val="0"/>
                <w:sz w:val="24"/>
              </w:rPr>
              <w:t>行政强制</w:t>
            </w:r>
          </w:p>
        </w:tc>
        <w:tc>
          <w:tcPr>
            <w:tcW w:w="1985" w:type="dxa"/>
            <w:vAlign w:val="center"/>
          </w:tcPr>
          <w:p>
            <w:pPr>
              <w:jc w:val="center"/>
              <w:rPr>
                <w:kern w:val="0"/>
                <w:sz w:val="24"/>
              </w:rPr>
            </w:pPr>
            <w:r>
              <w:rPr>
                <w:rFonts w:hint="eastAsia"/>
                <w:kern w:val="0"/>
                <w:sz w:val="24"/>
              </w:rPr>
              <w:t>152</w:t>
            </w:r>
          </w:p>
        </w:tc>
        <w:tc>
          <w:tcPr>
            <w:tcW w:w="2030" w:type="dxa"/>
            <w:vAlign w:val="center"/>
          </w:tcPr>
          <w:p>
            <w:pPr>
              <w:jc w:val="center"/>
              <w:rPr>
                <w:kern w:val="0"/>
                <w:sz w:val="24"/>
              </w:rPr>
            </w:pPr>
            <w:r>
              <w:rPr>
                <w:rFonts w:hint="eastAsia"/>
                <w:kern w:val="0"/>
                <w:sz w:val="24"/>
              </w:rPr>
              <w:t>+12</w:t>
            </w:r>
          </w:p>
        </w:tc>
        <w:tc>
          <w:tcPr>
            <w:tcW w:w="2222" w:type="dxa"/>
            <w:vAlign w:val="center"/>
          </w:tcPr>
          <w:p>
            <w:pPr>
              <w:jc w:val="center"/>
              <w:rPr>
                <w:kern w:val="0"/>
                <w:sz w:val="24"/>
              </w:rPr>
            </w:pPr>
            <w:r>
              <w:rPr>
                <w:rFonts w:hint="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931" w:type="dxa"/>
            <w:gridSpan w:val="4"/>
            <w:vAlign w:val="center"/>
          </w:tcPr>
          <w:p>
            <w:pPr>
              <w:jc w:val="center"/>
              <w:rPr>
                <w:kern w:val="0"/>
                <w:sz w:val="24"/>
              </w:rPr>
            </w:pPr>
            <w:r>
              <w:rPr>
                <w:rFonts w:hint="eastAsia"/>
                <w:kern w:val="0"/>
                <w:sz w:val="24"/>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694" w:type="dxa"/>
            <w:vAlign w:val="center"/>
          </w:tcPr>
          <w:p>
            <w:pPr>
              <w:jc w:val="center"/>
              <w:rPr>
                <w:kern w:val="0"/>
                <w:sz w:val="24"/>
              </w:rPr>
            </w:pPr>
            <w:r>
              <w:rPr>
                <w:rFonts w:hint="eastAsia"/>
                <w:kern w:val="0"/>
                <w:sz w:val="24"/>
              </w:rPr>
              <w:t>信息内容</w:t>
            </w:r>
          </w:p>
        </w:tc>
        <w:tc>
          <w:tcPr>
            <w:tcW w:w="1985" w:type="dxa"/>
            <w:vAlign w:val="center"/>
          </w:tcPr>
          <w:p>
            <w:pPr>
              <w:rPr>
                <w:kern w:val="0"/>
                <w:sz w:val="24"/>
              </w:rPr>
            </w:pPr>
            <w:r>
              <w:rPr>
                <w:rFonts w:hint="eastAsia"/>
                <w:kern w:val="0"/>
                <w:sz w:val="24"/>
              </w:rPr>
              <w:t>上一年项目数量</w:t>
            </w:r>
          </w:p>
        </w:tc>
        <w:tc>
          <w:tcPr>
            <w:tcW w:w="4252" w:type="dxa"/>
            <w:gridSpan w:val="2"/>
            <w:vAlign w:val="center"/>
          </w:tcPr>
          <w:p>
            <w:pPr>
              <w:jc w:val="center"/>
              <w:rPr>
                <w:kern w:val="0"/>
                <w:sz w:val="24"/>
              </w:rPr>
            </w:pPr>
            <w:r>
              <w:rPr>
                <w:rFonts w:hint="eastAsia"/>
                <w:kern w:val="0"/>
                <w:sz w:val="24"/>
              </w:rPr>
              <w:t>本年增/减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694" w:type="dxa"/>
            <w:vAlign w:val="center"/>
          </w:tcPr>
          <w:p>
            <w:pPr>
              <w:rPr>
                <w:kern w:val="0"/>
                <w:sz w:val="24"/>
              </w:rPr>
            </w:pPr>
            <w:r>
              <w:rPr>
                <w:rFonts w:hint="eastAsia"/>
                <w:kern w:val="0"/>
                <w:sz w:val="24"/>
              </w:rPr>
              <w:t>行政事业性收费</w:t>
            </w:r>
          </w:p>
        </w:tc>
        <w:tc>
          <w:tcPr>
            <w:tcW w:w="1985" w:type="dxa"/>
            <w:vAlign w:val="center"/>
          </w:tcPr>
          <w:p>
            <w:pPr>
              <w:jc w:val="center"/>
              <w:rPr>
                <w:kern w:val="0"/>
                <w:sz w:val="24"/>
              </w:rPr>
            </w:pPr>
            <w:r>
              <w:rPr>
                <w:rFonts w:hint="eastAsia"/>
                <w:kern w:val="0"/>
                <w:sz w:val="24"/>
              </w:rPr>
              <w:t>36</w:t>
            </w:r>
          </w:p>
        </w:tc>
        <w:tc>
          <w:tcPr>
            <w:tcW w:w="4252" w:type="dxa"/>
            <w:gridSpan w:val="2"/>
            <w:vAlign w:val="center"/>
          </w:tcPr>
          <w:p>
            <w:pPr>
              <w:jc w:val="center"/>
              <w:rPr>
                <w:kern w:val="0"/>
                <w:sz w:val="24"/>
              </w:rPr>
            </w:pPr>
            <w:r>
              <w:rPr>
                <w:rFonts w:hint="eastAsia"/>
                <w:kern w:val="0"/>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931" w:type="dxa"/>
            <w:gridSpan w:val="4"/>
            <w:vAlign w:val="center"/>
          </w:tcPr>
          <w:p>
            <w:pPr>
              <w:jc w:val="center"/>
              <w:rPr>
                <w:kern w:val="0"/>
                <w:sz w:val="24"/>
              </w:rPr>
            </w:pPr>
            <w:r>
              <w:rPr>
                <w:rFonts w:hint="eastAsia"/>
                <w:kern w:val="0"/>
                <w:sz w:val="24"/>
              </w:rPr>
              <w:t>第二十条第（九）项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694" w:type="dxa"/>
            <w:vAlign w:val="center"/>
          </w:tcPr>
          <w:p>
            <w:pPr>
              <w:jc w:val="center"/>
              <w:rPr>
                <w:kern w:val="0"/>
                <w:sz w:val="24"/>
              </w:rPr>
            </w:pPr>
            <w:r>
              <w:rPr>
                <w:rFonts w:hint="eastAsia"/>
                <w:kern w:val="0"/>
                <w:sz w:val="24"/>
              </w:rPr>
              <w:t>信息内容</w:t>
            </w:r>
          </w:p>
        </w:tc>
        <w:tc>
          <w:tcPr>
            <w:tcW w:w="1985" w:type="dxa"/>
            <w:vAlign w:val="center"/>
          </w:tcPr>
          <w:p>
            <w:pPr>
              <w:jc w:val="center"/>
              <w:rPr>
                <w:kern w:val="0"/>
                <w:sz w:val="24"/>
              </w:rPr>
            </w:pPr>
            <w:r>
              <w:rPr>
                <w:rFonts w:hint="eastAsia"/>
                <w:kern w:val="0"/>
                <w:sz w:val="24"/>
              </w:rPr>
              <w:t>采购项目数量</w:t>
            </w:r>
          </w:p>
        </w:tc>
        <w:tc>
          <w:tcPr>
            <w:tcW w:w="4252" w:type="dxa"/>
            <w:gridSpan w:val="2"/>
            <w:vAlign w:val="center"/>
          </w:tcPr>
          <w:p>
            <w:pPr>
              <w:jc w:val="center"/>
              <w:rPr>
                <w:kern w:val="0"/>
                <w:sz w:val="24"/>
              </w:rPr>
            </w:pPr>
            <w:r>
              <w:rPr>
                <w:rFonts w:hint="eastAsia"/>
                <w:kern w:val="0"/>
                <w:sz w:val="24"/>
              </w:rPr>
              <w:t>采购总金额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694" w:type="dxa"/>
            <w:vAlign w:val="center"/>
          </w:tcPr>
          <w:p>
            <w:pPr>
              <w:rPr>
                <w:kern w:val="0"/>
                <w:sz w:val="24"/>
              </w:rPr>
            </w:pPr>
            <w:r>
              <w:rPr>
                <w:rFonts w:hint="eastAsia"/>
                <w:kern w:val="0"/>
                <w:sz w:val="24"/>
              </w:rPr>
              <w:t>政府集中采购</w:t>
            </w:r>
          </w:p>
        </w:tc>
        <w:tc>
          <w:tcPr>
            <w:tcW w:w="1985" w:type="dxa"/>
            <w:vAlign w:val="center"/>
          </w:tcPr>
          <w:p>
            <w:pPr>
              <w:jc w:val="center"/>
              <w:rPr>
                <w:kern w:val="0"/>
                <w:sz w:val="24"/>
              </w:rPr>
            </w:pPr>
            <w:r>
              <w:rPr>
                <w:rFonts w:hint="eastAsia"/>
                <w:kern w:val="0"/>
                <w:sz w:val="24"/>
              </w:rPr>
              <w:t>328</w:t>
            </w:r>
          </w:p>
        </w:tc>
        <w:tc>
          <w:tcPr>
            <w:tcW w:w="4252" w:type="dxa"/>
            <w:gridSpan w:val="2"/>
            <w:vAlign w:val="center"/>
          </w:tcPr>
          <w:p>
            <w:pPr>
              <w:jc w:val="center"/>
              <w:rPr>
                <w:kern w:val="0"/>
                <w:sz w:val="24"/>
              </w:rPr>
            </w:pPr>
            <w:r>
              <w:rPr>
                <w:kern w:val="0"/>
                <w:sz w:val="24"/>
              </w:rPr>
              <w:t>42318万元</w:t>
            </w:r>
          </w:p>
        </w:tc>
      </w:tr>
    </w:tbl>
    <w:p>
      <w:pPr>
        <w:pStyle w:val="8"/>
        <w:widowControl/>
        <w:spacing w:after="0"/>
        <w:ind w:firstLine="640" w:firstLineChars="200"/>
        <w:jc w:val="both"/>
        <w:rPr>
          <w:rFonts w:ascii="黑体" w:hAnsi="黑体" w:eastAsia="黑体" w:cs="仿宋"/>
          <w:color w:val="000000" w:themeColor="text1"/>
          <w:sz w:val="32"/>
          <w:szCs w:val="32"/>
          <w14:textFill>
            <w14:solidFill>
              <w14:schemeClr w14:val="tx1"/>
            </w14:solidFill>
          </w14:textFill>
        </w:rPr>
      </w:pPr>
    </w:p>
    <w:p>
      <w:pPr>
        <w:pStyle w:val="8"/>
        <w:widowControl/>
        <w:spacing w:after="0"/>
        <w:ind w:firstLine="640" w:firstLineChars="200"/>
        <w:jc w:val="both"/>
        <w:rPr>
          <w:rFonts w:ascii="黑体" w:hAnsi="黑体" w:eastAsia="黑体" w:cs="仿宋"/>
          <w:color w:val="000000" w:themeColor="text1"/>
          <w:sz w:val="32"/>
          <w:szCs w:val="32"/>
          <w14:textFill>
            <w14:solidFill>
              <w14:schemeClr w14:val="tx1"/>
            </w14:solidFill>
          </w14:textFill>
        </w:rPr>
      </w:pPr>
    </w:p>
    <w:p>
      <w:pPr>
        <w:pStyle w:val="8"/>
        <w:widowControl/>
        <w:spacing w:after="0"/>
        <w:ind w:firstLine="640" w:firstLineChars="200"/>
        <w:jc w:val="both"/>
        <w:rPr>
          <w:rFonts w:ascii="黑体" w:hAnsi="黑体" w:eastAsia="黑体" w:cs="仿宋"/>
          <w:color w:val="000000" w:themeColor="text1"/>
          <w:sz w:val="32"/>
          <w:szCs w:val="32"/>
          <w14:textFill>
            <w14:solidFill>
              <w14:schemeClr w14:val="tx1"/>
            </w14:solidFill>
          </w14:textFill>
        </w:rPr>
      </w:pPr>
    </w:p>
    <w:p>
      <w:pPr>
        <w:pStyle w:val="8"/>
        <w:widowControl/>
        <w:spacing w:after="0"/>
        <w:ind w:firstLine="640" w:firstLineChars="200"/>
        <w:jc w:val="both"/>
        <w:rPr>
          <w:rFonts w:ascii="黑体" w:hAnsi="黑体" w:eastAsia="黑体" w:cs="仿宋"/>
          <w:color w:val="000000" w:themeColor="text1"/>
          <w:sz w:val="32"/>
          <w:szCs w:val="32"/>
          <w14:textFill>
            <w14:solidFill>
              <w14:schemeClr w14:val="tx1"/>
            </w14:solidFill>
          </w14:textFill>
        </w:rPr>
      </w:pPr>
    </w:p>
    <w:p>
      <w:pPr>
        <w:pStyle w:val="8"/>
        <w:widowControl/>
        <w:spacing w:after="0"/>
        <w:ind w:firstLine="640" w:firstLineChars="200"/>
        <w:jc w:val="both"/>
        <w:rPr>
          <w:rFonts w:ascii="黑体" w:hAnsi="黑体" w:eastAsia="黑体" w:cs="仿宋"/>
          <w:color w:val="000000" w:themeColor="text1"/>
          <w:sz w:val="32"/>
          <w:szCs w:val="32"/>
          <w14:textFill>
            <w14:solidFill>
              <w14:schemeClr w14:val="tx1"/>
            </w14:solidFill>
          </w14:textFill>
        </w:rPr>
      </w:pPr>
    </w:p>
    <w:p>
      <w:pPr>
        <w:pStyle w:val="8"/>
        <w:widowControl/>
        <w:spacing w:after="0"/>
        <w:ind w:firstLine="640" w:firstLineChars="200"/>
        <w:jc w:val="both"/>
        <w:rPr>
          <w:rFonts w:ascii="黑体" w:hAnsi="黑体" w:eastAsia="黑体" w:cs="仿宋"/>
          <w:color w:val="000000" w:themeColor="text1"/>
          <w:sz w:val="32"/>
          <w:szCs w:val="32"/>
          <w14:textFill>
            <w14:solidFill>
              <w14:schemeClr w14:val="tx1"/>
            </w14:solidFill>
          </w14:textFill>
        </w:rPr>
      </w:pPr>
    </w:p>
    <w:p>
      <w:pPr>
        <w:pStyle w:val="8"/>
        <w:widowControl/>
        <w:spacing w:after="0"/>
        <w:ind w:firstLine="640" w:firstLineChars="200"/>
        <w:jc w:val="both"/>
        <w:rPr>
          <w:rFonts w:ascii="仿宋_GB2312" w:hAnsi="仿宋" w:eastAsia="仿宋_GB2312" w:cs="仿宋"/>
          <w:color w:val="000000" w:themeColor="text1"/>
          <w:sz w:val="32"/>
          <w:szCs w:val="32"/>
          <w14:textFill>
            <w14:solidFill>
              <w14:schemeClr w14:val="tx1"/>
            </w14:solidFill>
          </w14:textFill>
        </w:rPr>
      </w:pPr>
      <w:r>
        <w:rPr>
          <w:rFonts w:hint="eastAsia" w:ascii="黑体" w:hAnsi="黑体" w:eastAsia="黑体" w:cs="仿宋"/>
          <w:color w:val="000000" w:themeColor="text1"/>
          <w:sz w:val="32"/>
          <w:szCs w:val="32"/>
          <w14:textFill>
            <w14:solidFill>
              <w14:schemeClr w14:val="tx1"/>
            </w14:solidFill>
          </w14:textFill>
        </w:rPr>
        <w:t>三、</w:t>
      </w:r>
      <w:r>
        <w:rPr>
          <w:rFonts w:hint="eastAsia" w:ascii="黑体" w:hAnsi="黑体" w:eastAsia="黑体"/>
          <w:b/>
          <w:sz w:val="32"/>
          <w:szCs w:val="32"/>
        </w:rPr>
        <w:t>收到和处理政府信息公开申请情况</w:t>
      </w:r>
    </w:p>
    <w:tbl>
      <w:tblPr>
        <w:tblStyle w:val="10"/>
        <w:tblW w:w="978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560"/>
        <w:gridCol w:w="2693"/>
        <w:gridCol w:w="567"/>
        <w:gridCol w:w="709"/>
        <w:gridCol w:w="708"/>
        <w:gridCol w:w="709"/>
        <w:gridCol w:w="709"/>
        <w:gridCol w:w="70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820" w:type="dxa"/>
            <w:gridSpan w:val="3"/>
            <w:vMerge w:val="restart"/>
            <w:vAlign w:val="center"/>
          </w:tcPr>
          <w:p>
            <w:pPr>
              <w:rPr>
                <w:kern w:val="0"/>
                <w:sz w:val="20"/>
              </w:rPr>
            </w:pPr>
            <w:r>
              <w:rPr>
                <w:rFonts w:hint="eastAsia"/>
                <w:kern w:val="0"/>
                <w:sz w:val="20"/>
              </w:rPr>
              <w:t>（本列数据的勾稽关系为：第一项加第二项之和，等于第三项加第四项之和）</w:t>
            </w:r>
          </w:p>
        </w:tc>
        <w:tc>
          <w:tcPr>
            <w:tcW w:w="4961" w:type="dxa"/>
            <w:gridSpan w:val="7"/>
            <w:vAlign w:val="center"/>
          </w:tcPr>
          <w:p>
            <w:pPr>
              <w:jc w:val="center"/>
              <w:rPr>
                <w:kern w:val="0"/>
                <w:sz w:val="20"/>
                <w:szCs w:val="21"/>
              </w:rPr>
            </w:pPr>
            <w:r>
              <w:rPr>
                <w:rFonts w:hint="eastAsia"/>
                <w:kern w:val="0"/>
                <w:sz w:val="20"/>
                <w:szCs w:val="21"/>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820" w:type="dxa"/>
            <w:gridSpan w:val="3"/>
            <w:vMerge w:val="continue"/>
          </w:tcPr>
          <w:p>
            <w:pPr>
              <w:rPr>
                <w:kern w:val="0"/>
                <w:sz w:val="20"/>
              </w:rPr>
            </w:pPr>
          </w:p>
        </w:tc>
        <w:tc>
          <w:tcPr>
            <w:tcW w:w="567" w:type="dxa"/>
            <w:vMerge w:val="restart"/>
            <w:vAlign w:val="center"/>
          </w:tcPr>
          <w:p>
            <w:pPr>
              <w:jc w:val="center"/>
              <w:rPr>
                <w:kern w:val="0"/>
                <w:sz w:val="18"/>
                <w:szCs w:val="18"/>
              </w:rPr>
            </w:pPr>
            <w:r>
              <w:rPr>
                <w:rFonts w:hint="eastAsia"/>
                <w:kern w:val="0"/>
                <w:sz w:val="20"/>
                <w:szCs w:val="21"/>
              </w:rPr>
              <w:t>自然人</w:t>
            </w:r>
          </w:p>
        </w:tc>
        <w:tc>
          <w:tcPr>
            <w:tcW w:w="3544" w:type="dxa"/>
            <w:gridSpan w:val="5"/>
            <w:vAlign w:val="center"/>
          </w:tcPr>
          <w:p>
            <w:pPr>
              <w:jc w:val="center"/>
              <w:rPr>
                <w:kern w:val="0"/>
                <w:sz w:val="20"/>
                <w:szCs w:val="21"/>
              </w:rPr>
            </w:pPr>
            <w:r>
              <w:rPr>
                <w:rFonts w:hint="eastAsia"/>
                <w:kern w:val="0"/>
                <w:sz w:val="20"/>
                <w:szCs w:val="21"/>
              </w:rPr>
              <w:t>法人或其他组织</w:t>
            </w:r>
          </w:p>
        </w:tc>
        <w:tc>
          <w:tcPr>
            <w:tcW w:w="850" w:type="dxa"/>
            <w:vMerge w:val="restart"/>
            <w:vAlign w:val="center"/>
          </w:tcPr>
          <w:p>
            <w:pPr>
              <w:rPr>
                <w:kern w:val="0"/>
                <w:sz w:val="20"/>
                <w:szCs w:val="21"/>
              </w:rPr>
            </w:pPr>
            <w:r>
              <w:rPr>
                <w:rFonts w:hint="eastAsia"/>
                <w:kern w:val="0"/>
                <w:sz w:val="20"/>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4820" w:type="dxa"/>
            <w:gridSpan w:val="3"/>
            <w:vMerge w:val="continue"/>
          </w:tcPr>
          <w:p>
            <w:pPr>
              <w:rPr>
                <w:kern w:val="0"/>
                <w:sz w:val="20"/>
              </w:rPr>
            </w:pPr>
          </w:p>
        </w:tc>
        <w:tc>
          <w:tcPr>
            <w:tcW w:w="567" w:type="dxa"/>
            <w:vMerge w:val="continue"/>
          </w:tcPr>
          <w:p>
            <w:pPr>
              <w:rPr>
                <w:kern w:val="0"/>
                <w:sz w:val="18"/>
                <w:szCs w:val="18"/>
              </w:rPr>
            </w:pPr>
          </w:p>
        </w:tc>
        <w:tc>
          <w:tcPr>
            <w:tcW w:w="709" w:type="dxa"/>
            <w:vAlign w:val="center"/>
          </w:tcPr>
          <w:p>
            <w:pPr>
              <w:rPr>
                <w:kern w:val="0"/>
                <w:sz w:val="20"/>
                <w:szCs w:val="21"/>
              </w:rPr>
            </w:pPr>
            <w:r>
              <w:rPr>
                <w:rFonts w:hint="eastAsia"/>
                <w:kern w:val="0"/>
                <w:sz w:val="20"/>
                <w:szCs w:val="21"/>
              </w:rPr>
              <w:t>商业企业</w:t>
            </w:r>
          </w:p>
        </w:tc>
        <w:tc>
          <w:tcPr>
            <w:tcW w:w="708" w:type="dxa"/>
            <w:vAlign w:val="center"/>
          </w:tcPr>
          <w:p>
            <w:pPr>
              <w:rPr>
                <w:kern w:val="0"/>
                <w:sz w:val="20"/>
                <w:szCs w:val="21"/>
              </w:rPr>
            </w:pPr>
            <w:r>
              <w:rPr>
                <w:rFonts w:hint="eastAsia"/>
                <w:kern w:val="0"/>
                <w:sz w:val="20"/>
                <w:szCs w:val="21"/>
              </w:rPr>
              <w:t>科研机构</w:t>
            </w:r>
          </w:p>
        </w:tc>
        <w:tc>
          <w:tcPr>
            <w:tcW w:w="709" w:type="dxa"/>
            <w:vAlign w:val="center"/>
          </w:tcPr>
          <w:p>
            <w:pPr>
              <w:rPr>
                <w:kern w:val="0"/>
                <w:sz w:val="20"/>
                <w:szCs w:val="21"/>
              </w:rPr>
            </w:pPr>
            <w:r>
              <w:rPr>
                <w:rFonts w:hint="eastAsia"/>
                <w:kern w:val="0"/>
                <w:sz w:val="20"/>
                <w:szCs w:val="21"/>
              </w:rPr>
              <w:t>社会公益组织</w:t>
            </w:r>
          </w:p>
        </w:tc>
        <w:tc>
          <w:tcPr>
            <w:tcW w:w="709" w:type="dxa"/>
            <w:vAlign w:val="center"/>
          </w:tcPr>
          <w:p>
            <w:pPr>
              <w:rPr>
                <w:kern w:val="0"/>
                <w:sz w:val="20"/>
                <w:szCs w:val="21"/>
              </w:rPr>
            </w:pPr>
            <w:r>
              <w:rPr>
                <w:rFonts w:hint="eastAsia"/>
                <w:kern w:val="0"/>
                <w:sz w:val="20"/>
                <w:szCs w:val="21"/>
              </w:rPr>
              <w:t>法律服务机构</w:t>
            </w:r>
          </w:p>
        </w:tc>
        <w:tc>
          <w:tcPr>
            <w:tcW w:w="709" w:type="dxa"/>
            <w:vAlign w:val="center"/>
          </w:tcPr>
          <w:p>
            <w:pPr>
              <w:rPr>
                <w:kern w:val="0"/>
                <w:sz w:val="20"/>
                <w:szCs w:val="21"/>
              </w:rPr>
            </w:pPr>
            <w:r>
              <w:rPr>
                <w:rFonts w:hint="eastAsia"/>
                <w:kern w:val="0"/>
                <w:sz w:val="20"/>
                <w:szCs w:val="21"/>
              </w:rPr>
              <w:t>其他</w:t>
            </w:r>
          </w:p>
        </w:tc>
        <w:tc>
          <w:tcPr>
            <w:tcW w:w="850" w:type="dxa"/>
            <w:vMerge w:val="continue"/>
            <w:vAlign w:val="center"/>
          </w:tcPr>
          <w:p>
            <w:pPr>
              <w:rPr>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820" w:type="dxa"/>
            <w:gridSpan w:val="3"/>
          </w:tcPr>
          <w:p>
            <w:pPr>
              <w:rPr>
                <w:kern w:val="0"/>
                <w:sz w:val="20"/>
              </w:rPr>
            </w:pPr>
            <w:r>
              <w:rPr>
                <w:rFonts w:hint="eastAsia"/>
                <w:kern w:val="0"/>
                <w:sz w:val="20"/>
              </w:rPr>
              <w:t>一、本年新收政府信息公开申请数量</w:t>
            </w:r>
          </w:p>
        </w:tc>
        <w:tc>
          <w:tcPr>
            <w:tcW w:w="567" w:type="dxa"/>
          </w:tcPr>
          <w:p>
            <w:pPr>
              <w:rPr>
                <w:kern w:val="0"/>
                <w:sz w:val="20"/>
              </w:rPr>
            </w:pPr>
            <w:r>
              <w:rPr>
                <w:rFonts w:hint="eastAsia"/>
                <w:kern w:val="0"/>
                <w:sz w:val="20"/>
              </w:rPr>
              <w:t>41</w:t>
            </w:r>
          </w:p>
        </w:tc>
        <w:tc>
          <w:tcPr>
            <w:tcW w:w="709" w:type="dxa"/>
            <w:vAlign w:val="center"/>
          </w:tcPr>
          <w:p>
            <w:pPr>
              <w:rPr>
                <w:kern w:val="0"/>
                <w:sz w:val="20"/>
                <w:szCs w:val="21"/>
              </w:rPr>
            </w:pPr>
            <w:r>
              <w:rPr>
                <w:rFonts w:hint="eastAsia"/>
                <w:color w:val="000000" w:themeColor="text1"/>
                <w:kern w:val="0"/>
                <w:sz w:val="20"/>
                <w:szCs w:val="21"/>
                <w14:textFill>
                  <w14:solidFill>
                    <w14:schemeClr w14:val="tx1"/>
                  </w14:solidFill>
                </w14:textFill>
              </w:rPr>
              <w:t>19</w:t>
            </w:r>
          </w:p>
        </w:tc>
        <w:tc>
          <w:tcPr>
            <w:tcW w:w="708" w:type="dxa"/>
            <w:vAlign w:val="center"/>
          </w:tcPr>
          <w:p>
            <w:pPr>
              <w:rPr>
                <w:kern w:val="0"/>
                <w:sz w:val="20"/>
                <w:szCs w:val="21"/>
              </w:rPr>
            </w:pPr>
            <w:r>
              <w:rPr>
                <w:rFonts w:hint="eastAsia"/>
                <w:kern w:val="0"/>
                <w:sz w:val="20"/>
              </w:rPr>
              <w:t>0</w:t>
            </w:r>
          </w:p>
        </w:tc>
        <w:tc>
          <w:tcPr>
            <w:tcW w:w="709" w:type="dxa"/>
            <w:vAlign w:val="center"/>
          </w:tcPr>
          <w:p>
            <w:pPr>
              <w:rPr>
                <w:kern w:val="0"/>
                <w:sz w:val="20"/>
                <w:szCs w:val="21"/>
              </w:rPr>
            </w:pPr>
            <w:r>
              <w:rPr>
                <w:rFonts w:hint="eastAsia"/>
                <w:kern w:val="0"/>
                <w:sz w:val="20"/>
              </w:rPr>
              <w:t>0</w:t>
            </w:r>
          </w:p>
        </w:tc>
        <w:tc>
          <w:tcPr>
            <w:tcW w:w="709" w:type="dxa"/>
            <w:vAlign w:val="center"/>
          </w:tcPr>
          <w:p>
            <w:pPr>
              <w:rPr>
                <w:kern w:val="0"/>
                <w:sz w:val="20"/>
                <w:szCs w:val="21"/>
              </w:rPr>
            </w:pPr>
            <w:r>
              <w:rPr>
                <w:rFonts w:hint="eastAsia"/>
                <w:kern w:val="0"/>
                <w:sz w:val="20"/>
              </w:rPr>
              <w:t>0</w:t>
            </w:r>
          </w:p>
        </w:tc>
        <w:tc>
          <w:tcPr>
            <w:tcW w:w="709" w:type="dxa"/>
            <w:vAlign w:val="center"/>
          </w:tcPr>
          <w:p>
            <w:pPr>
              <w:rPr>
                <w:kern w:val="0"/>
                <w:sz w:val="20"/>
                <w:szCs w:val="21"/>
              </w:rPr>
            </w:pPr>
            <w:r>
              <w:rPr>
                <w:rFonts w:hint="eastAsia"/>
                <w:kern w:val="0"/>
                <w:sz w:val="20"/>
              </w:rPr>
              <w:t>0</w:t>
            </w:r>
          </w:p>
        </w:tc>
        <w:tc>
          <w:tcPr>
            <w:tcW w:w="850" w:type="dxa"/>
            <w:vAlign w:val="center"/>
          </w:tcPr>
          <w:p>
            <w:pPr>
              <w:rPr>
                <w:kern w:val="0"/>
                <w:sz w:val="20"/>
                <w:szCs w:val="21"/>
              </w:rPr>
            </w:pPr>
            <w:r>
              <w:rPr>
                <w:rFonts w:hint="eastAsia"/>
                <w:kern w:val="0"/>
                <w:sz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820" w:type="dxa"/>
            <w:gridSpan w:val="3"/>
          </w:tcPr>
          <w:p>
            <w:pPr>
              <w:rPr>
                <w:kern w:val="0"/>
                <w:sz w:val="20"/>
              </w:rPr>
            </w:pPr>
            <w:r>
              <w:rPr>
                <w:rFonts w:hint="eastAsia"/>
                <w:kern w:val="0"/>
                <w:sz w:val="20"/>
              </w:rPr>
              <w:t>二、上年结转政府信息公开申请数量</w:t>
            </w:r>
          </w:p>
        </w:tc>
        <w:tc>
          <w:tcPr>
            <w:tcW w:w="567" w:type="dxa"/>
          </w:tcPr>
          <w:p>
            <w:pPr>
              <w:rPr>
                <w:kern w:val="0"/>
                <w:sz w:val="20"/>
              </w:rPr>
            </w:pPr>
            <w:r>
              <w:rPr>
                <w:rFonts w:hint="eastAsia"/>
                <w:kern w:val="0"/>
                <w:sz w:val="20"/>
              </w:rPr>
              <w:t>2</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7" w:type="dxa"/>
            <w:vMerge w:val="restart"/>
            <w:vAlign w:val="center"/>
          </w:tcPr>
          <w:p>
            <w:pPr>
              <w:rPr>
                <w:kern w:val="0"/>
                <w:sz w:val="20"/>
              </w:rPr>
            </w:pPr>
            <w:r>
              <w:rPr>
                <w:rFonts w:hint="eastAsia"/>
                <w:kern w:val="0"/>
                <w:sz w:val="20"/>
              </w:rPr>
              <w:t>三、本年度办理结果</w:t>
            </w:r>
          </w:p>
        </w:tc>
        <w:tc>
          <w:tcPr>
            <w:tcW w:w="4253" w:type="dxa"/>
            <w:gridSpan w:val="2"/>
          </w:tcPr>
          <w:p>
            <w:pPr>
              <w:rPr>
                <w:rFonts w:asciiTheme="minorEastAsia" w:hAnsiTheme="minorEastAsia"/>
                <w:kern w:val="0"/>
                <w:sz w:val="18"/>
                <w:szCs w:val="18"/>
              </w:rPr>
            </w:pPr>
            <w:r>
              <w:rPr>
                <w:rFonts w:hint="eastAsia" w:asciiTheme="minorEastAsia" w:hAnsiTheme="minorEastAsia"/>
                <w:kern w:val="0"/>
                <w:sz w:val="18"/>
                <w:szCs w:val="18"/>
              </w:rPr>
              <w:t>（一）予以公开</w:t>
            </w:r>
          </w:p>
        </w:tc>
        <w:tc>
          <w:tcPr>
            <w:tcW w:w="567" w:type="dxa"/>
          </w:tcPr>
          <w:p>
            <w:pPr>
              <w:rPr>
                <w:kern w:val="0"/>
                <w:sz w:val="20"/>
              </w:rPr>
            </w:pPr>
            <w:r>
              <w:rPr>
                <w:rFonts w:hint="eastAsia"/>
                <w:kern w:val="0"/>
                <w:sz w:val="20"/>
              </w:rPr>
              <w:t>15</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pPr>
              <w:rPr>
                <w:kern w:val="0"/>
                <w:sz w:val="20"/>
              </w:rPr>
            </w:pPr>
          </w:p>
        </w:tc>
        <w:tc>
          <w:tcPr>
            <w:tcW w:w="4253" w:type="dxa"/>
            <w:gridSpan w:val="2"/>
          </w:tcPr>
          <w:p>
            <w:pPr>
              <w:rPr>
                <w:rFonts w:asciiTheme="minorEastAsia" w:hAnsiTheme="minorEastAsia"/>
                <w:kern w:val="0"/>
                <w:sz w:val="18"/>
                <w:szCs w:val="18"/>
              </w:rPr>
            </w:pPr>
            <w:r>
              <w:rPr>
                <w:rFonts w:hint="eastAsia" w:asciiTheme="minorEastAsia" w:hAnsiTheme="minorEastAsia"/>
                <w:kern w:val="0"/>
                <w:sz w:val="18"/>
                <w:szCs w:val="18"/>
              </w:rPr>
              <w:t>（二）部分公开（区分处理的，只计这一情形，不计其他情形）</w:t>
            </w:r>
          </w:p>
        </w:tc>
        <w:tc>
          <w:tcPr>
            <w:tcW w:w="567" w:type="dxa"/>
          </w:tcPr>
          <w:p>
            <w:pPr>
              <w:rPr>
                <w:kern w:val="0"/>
                <w:sz w:val="20"/>
              </w:rPr>
            </w:pPr>
            <w:r>
              <w:rPr>
                <w:rFonts w:hint="eastAsia"/>
                <w:kern w:val="0"/>
                <w:sz w:val="20"/>
              </w:rPr>
              <w:t>4</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67" w:type="dxa"/>
            <w:vMerge w:val="continue"/>
          </w:tcPr>
          <w:p>
            <w:pPr>
              <w:rPr>
                <w:kern w:val="0"/>
                <w:sz w:val="20"/>
              </w:rPr>
            </w:pPr>
          </w:p>
        </w:tc>
        <w:tc>
          <w:tcPr>
            <w:tcW w:w="1560" w:type="dxa"/>
            <w:vMerge w:val="restart"/>
            <w:vAlign w:val="center"/>
          </w:tcPr>
          <w:p>
            <w:pPr>
              <w:rPr>
                <w:rFonts w:asciiTheme="minorEastAsia" w:hAnsiTheme="minorEastAsia"/>
                <w:kern w:val="0"/>
                <w:sz w:val="18"/>
                <w:szCs w:val="18"/>
              </w:rPr>
            </w:pPr>
            <w:r>
              <w:rPr>
                <w:rFonts w:hint="eastAsia" w:asciiTheme="minorEastAsia" w:hAnsiTheme="minorEastAsia"/>
                <w:kern w:val="0"/>
                <w:sz w:val="18"/>
                <w:szCs w:val="18"/>
              </w:rPr>
              <w:t>（三）不予公开</w:t>
            </w:r>
          </w:p>
        </w:tc>
        <w:tc>
          <w:tcPr>
            <w:tcW w:w="2693" w:type="dxa"/>
          </w:tcPr>
          <w:p>
            <w:pPr>
              <w:rPr>
                <w:rFonts w:asciiTheme="minorEastAsia" w:hAnsiTheme="minorEastAsia"/>
                <w:kern w:val="0"/>
                <w:sz w:val="18"/>
                <w:szCs w:val="18"/>
              </w:rPr>
            </w:pPr>
            <w:r>
              <w:rPr>
                <w:rFonts w:asciiTheme="minorEastAsia" w:hAnsiTheme="minorEastAsia"/>
                <w:kern w:val="0"/>
                <w:sz w:val="18"/>
                <w:szCs w:val="18"/>
              </w:rPr>
              <w:t>1</w:t>
            </w:r>
            <w:r>
              <w:rPr>
                <w:rFonts w:hint="eastAsia" w:asciiTheme="minorEastAsia" w:hAnsiTheme="minorEastAsia"/>
                <w:kern w:val="0"/>
                <w:sz w:val="18"/>
                <w:szCs w:val="18"/>
              </w:rPr>
              <w:t>．属于国家秘密</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567" w:type="dxa"/>
            <w:vMerge w:val="continue"/>
          </w:tcPr>
          <w:p>
            <w:pPr>
              <w:rPr>
                <w:kern w:val="0"/>
                <w:sz w:val="20"/>
              </w:rPr>
            </w:pPr>
          </w:p>
        </w:tc>
        <w:tc>
          <w:tcPr>
            <w:tcW w:w="1560" w:type="dxa"/>
            <w:vMerge w:val="continue"/>
            <w:vAlign w:val="center"/>
          </w:tcPr>
          <w:p>
            <w:pPr>
              <w:rPr>
                <w:rFonts w:asciiTheme="minorEastAsia" w:hAnsiTheme="minorEastAsia"/>
                <w:kern w:val="0"/>
                <w:sz w:val="18"/>
                <w:szCs w:val="18"/>
              </w:rPr>
            </w:pPr>
          </w:p>
        </w:tc>
        <w:tc>
          <w:tcPr>
            <w:tcW w:w="2693" w:type="dxa"/>
          </w:tcPr>
          <w:p>
            <w:pPr>
              <w:rPr>
                <w:rFonts w:asciiTheme="minorEastAsia" w:hAnsiTheme="minorEastAsia"/>
                <w:kern w:val="0"/>
                <w:sz w:val="18"/>
                <w:szCs w:val="18"/>
              </w:rPr>
            </w:pPr>
            <w:r>
              <w:rPr>
                <w:rFonts w:hint="eastAsia" w:asciiTheme="minorEastAsia" w:hAnsiTheme="minorEastAsia"/>
                <w:kern w:val="0"/>
                <w:sz w:val="18"/>
                <w:szCs w:val="18"/>
              </w:rPr>
              <w:t>2．其他法律行政法规禁止公开</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567" w:type="dxa"/>
            <w:vMerge w:val="continue"/>
          </w:tcPr>
          <w:p>
            <w:pPr>
              <w:rPr>
                <w:kern w:val="0"/>
                <w:sz w:val="20"/>
              </w:rPr>
            </w:pPr>
          </w:p>
        </w:tc>
        <w:tc>
          <w:tcPr>
            <w:tcW w:w="1560" w:type="dxa"/>
            <w:vMerge w:val="continue"/>
            <w:vAlign w:val="center"/>
          </w:tcPr>
          <w:p>
            <w:pPr>
              <w:rPr>
                <w:kern w:val="0"/>
                <w:sz w:val="18"/>
                <w:szCs w:val="18"/>
              </w:rPr>
            </w:pPr>
          </w:p>
        </w:tc>
        <w:tc>
          <w:tcPr>
            <w:tcW w:w="2693" w:type="dxa"/>
          </w:tcPr>
          <w:p>
            <w:pPr>
              <w:rPr>
                <w:rFonts w:asciiTheme="minorEastAsia" w:hAnsiTheme="minorEastAsia"/>
                <w:kern w:val="0"/>
                <w:sz w:val="18"/>
                <w:szCs w:val="18"/>
              </w:rPr>
            </w:pPr>
            <w:r>
              <w:rPr>
                <w:rFonts w:hint="eastAsia" w:asciiTheme="minorEastAsia" w:hAnsiTheme="minorEastAsia"/>
                <w:kern w:val="0"/>
                <w:sz w:val="18"/>
                <w:szCs w:val="18"/>
              </w:rPr>
              <w:t>3．危及“三安全一稳定”</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dxa"/>
            <w:vMerge w:val="continue"/>
          </w:tcPr>
          <w:p>
            <w:pPr>
              <w:rPr>
                <w:kern w:val="0"/>
                <w:sz w:val="20"/>
              </w:rPr>
            </w:pPr>
          </w:p>
        </w:tc>
        <w:tc>
          <w:tcPr>
            <w:tcW w:w="1560" w:type="dxa"/>
            <w:vMerge w:val="continue"/>
            <w:vAlign w:val="center"/>
          </w:tcPr>
          <w:p>
            <w:pPr>
              <w:rPr>
                <w:kern w:val="0"/>
                <w:sz w:val="18"/>
                <w:szCs w:val="18"/>
              </w:rPr>
            </w:pPr>
          </w:p>
        </w:tc>
        <w:tc>
          <w:tcPr>
            <w:tcW w:w="2693" w:type="dxa"/>
          </w:tcPr>
          <w:p>
            <w:pPr>
              <w:rPr>
                <w:rFonts w:asciiTheme="minorEastAsia" w:hAnsiTheme="minorEastAsia"/>
                <w:kern w:val="0"/>
                <w:sz w:val="18"/>
                <w:szCs w:val="18"/>
              </w:rPr>
            </w:pPr>
            <w:r>
              <w:rPr>
                <w:rFonts w:hint="eastAsia" w:asciiTheme="minorEastAsia" w:hAnsiTheme="minorEastAsia"/>
                <w:kern w:val="0"/>
                <w:sz w:val="18"/>
                <w:szCs w:val="18"/>
              </w:rPr>
              <w:t>4．保护第三方合法权益</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2</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67" w:type="dxa"/>
            <w:vMerge w:val="continue"/>
          </w:tcPr>
          <w:p>
            <w:pPr>
              <w:rPr>
                <w:kern w:val="0"/>
                <w:sz w:val="20"/>
              </w:rPr>
            </w:pPr>
          </w:p>
        </w:tc>
        <w:tc>
          <w:tcPr>
            <w:tcW w:w="1560" w:type="dxa"/>
            <w:vMerge w:val="continue"/>
            <w:vAlign w:val="center"/>
          </w:tcPr>
          <w:p>
            <w:pPr>
              <w:rPr>
                <w:kern w:val="0"/>
                <w:sz w:val="18"/>
                <w:szCs w:val="18"/>
              </w:rPr>
            </w:pPr>
          </w:p>
        </w:tc>
        <w:tc>
          <w:tcPr>
            <w:tcW w:w="2693" w:type="dxa"/>
          </w:tcPr>
          <w:p>
            <w:pPr>
              <w:rPr>
                <w:rFonts w:asciiTheme="minorEastAsia" w:hAnsiTheme="minorEastAsia"/>
                <w:kern w:val="0"/>
                <w:sz w:val="18"/>
                <w:szCs w:val="18"/>
              </w:rPr>
            </w:pPr>
            <w:r>
              <w:rPr>
                <w:rFonts w:hint="eastAsia" w:asciiTheme="minorEastAsia" w:hAnsiTheme="minorEastAsia"/>
                <w:kern w:val="0"/>
                <w:sz w:val="18"/>
                <w:szCs w:val="18"/>
              </w:rPr>
              <w:t>5．属于三类内部事务信息</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1</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567" w:type="dxa"/>
            <w:vMerge w:val="continue"/>
          </w:tcPr>
          <w:p>
            <w:pPr>
              <w:rPr>
                <w:kern w:val="0"/>
                <w:sz w:val="20"/>
              </w:rPr>
            </w:pPr>
          </w:p>
        </w:tc>
        <w:tc>
          <w:tcPr>
            <w:tcW w:w="1560" w:type="dxa"/>
            <w:vMerge w:val="continue"/>
            <w:vAlign w:val="center"/>
          </w:tcPr>
          <w:p>
            <w:pPr>
              <w:rPr>
                <w:kern w:val="0"/>
                <w:sz w:val="18"/>
                <w:szCs w:val="18"/>
              </w:rPr>
            </w:pPr>
          </w:p>
        </w:tc>
        <w:tc>
          <w:tcPr>
            <w:tcW w:w="2693" w:type="dxa"/>
          </w:tcPr>
          <w:p>
            <w:pPr>
              <w:rPr>
                <w:rFonts w:asciiTheme="minorEastAsia" w:hAnsiTheme="minorEastAsia"/>
                <w:kern w:val="0"/>
                <w:sz w:val="18"/>
                <w:szCs w:val="18"/>
              </w:rPr>
            </w:pPr>
            <w:r>
              <w:rPr>
                <w:rFonts w:hint="eastAsia" w:asciiTheme="minorEastAsia" w:hAnsiTheme="minorEastAsia"/>
                <w:kern w:val="0"/>
                <w:sz w:val="18"/>
                <w:szCs w:val="18"/>
              </w:rPr>
              <w:t>6．属于四类过程性信息</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7" w:type="dxa"/>
            <w:vMerge w:val="continue"/>
          </w:tcPr>
          <w:p>
            <w:pPr>
              <w:rPr>
                <w:kern w:val="0"/>
                <w:sz w:val="20"/>
              </w:rPr>
            </w:pPr>
          </w:p>
        </w:tc>
        <w:tc>
          <w:tcPr>
            <w:tcW w:w="1560" w:type="dxa"/>
            <w:vMerge w:val="continue"/>
            <w:vAlign w:val="center"/>
          </w:tcPr>
          <w:p>
            <w:pPr>
              <w:rPr>
                <w:kern w:val="0"/>
                <w:sz w:val="18"/>
                <w:szCs w:val="18"/>
              </w:rPr>
            </w:pPr>
          </w:p>
        </w:tc>
        <w:tc>
          <w:tcPr>
            <w:tcW w:w="2693" w:type="dxa"/>
          </w:tcPr>
          <w:p>
            <w:pPr>
              <w:rPr>
                <w:rFonts w:asciiTheme="minorEastAsia" w:hAnsiTheme="minorEastAsia"/>
                <w:kern w:val="0"/>
                <w:sz w:val="18"/>
                <w:szCs w:val="18"/>
              </w:rPr>
            </w:pPr>
            <w:r>
              <w:rPr>
                <w:rFonts w:hint="eastAsia" w:asciiTheme="minorEastAsia" w:hAnsiTheme="minorEastAsia"/>
                <w:kern w:val="0"/>
                <w:sz w:val="18"/>
                <w:szCs w:val="18"/>
              </w:rPr>
              <w:t>7．属于行政执法案卷</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67" w:type="dxa"/>
            <w:vMerge w:val="continue"/>
          </w:tcPr>
          <w:p>
            <w:pPr>
              <w:rPr>
                <w:kern w:val="0"/>
                <w:sz w:val="20"/>
              </w:rPr>
            </w:pPr>
          </w:p>
        </w:tc>
        <w:tc>
          <w:tcPr>
            <w:tcW w:w="1560" w:type="dxa"/>
            <w:vMerge w:val="continue"/>
            <w:vAlign w:val="center"/>
          </w:tcPr>
          <w:p>
            <w:pPr>
              <w:rPr>
                <w:kern w:val="0"/>
                <w:sz w:val="18"/>
                <w:szCs w:val="18"/>
              </w:rPr>
            </w:pPr>
          </w:p>
        </w:tc>
        <w:tc>
          <w:tcPr>
            <w:tcW w:w="2693" w:type="dxa"/>
          </w:tcPr>
          <w:p>
            <w:pPr>
              <w:rPr>
                <w:rFonts w:asciiTheme="minorEastAsia" w:hAnsiTheme="minorEastAsia"/>
                <w:kern w:val="0"/>
                <w:sz w:val="18"/>
                <w:szCs w:val="18"/>
              </w:rPr>
            </w:pPr>
            <w:r>
              <w:rPr>
                <w:rFonts w:hint="eastAsia" w:asciiTheme="minorEastAsia" w:hAnsiTheme="minorEastAsia"/>
                <w:kern w:val="0"/>
                <w:sz w:val="18"/>
                <w:szCs w:val="18"/>
              </w:rPr>
              <w:t>8．属于行政查询事项</w:t>
            </w:r>
          </w:p>
        </w:tc>
        <w:tc>
          <w:tcPr>
            <w:tcW w:w="567" w:type="dxa"/>
          </w:tcPr>
          <w:p>
            <w:pPr>
              <w:rPr>
                <w:kern w:val="0"/>
                <w:sz w:val="20"/>
              </w:rPr>
            </w:pPr>
            <w:r>
              <w:rPr>
                <w:rFonts w:hint="eastAsia"/>
                <w:kern w:val="0"/>
                <w:sz w:val="20"/>
              </w:rPr>
              <w:t>3</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67" w:type="dxa"/>
            <w:vMerge w:val="continue"/>
          </w:tcPr>
          <w:p>
            <w:pPr>
              <w:rPr>
                <w:kern w:val="0"/>
                <w:sz w:val="20"/>
              </w:rPr>
            </w:pPr>
          </w:p>
        </w:tc>
        <w:tc>
          <w:tcPr>
            <w:tcW w:w="1560" w:type="dxa"/>
            <w:vMerge w:val="restart"/>
            <w:vAlign w:val="center"/>
          </w:tcPr>
          <w:p>
            <w:pPr>
              <w:rPr>
                <w:kern w:val="0"/>
                <w:sz w:val="18"/>
                <w:szCs w:val="18"/>
              </w:rPr>
            </w:pPr>
            <w:r>
              <w:rPr>
                <w:rFonts w:hint="eastAsia"/>
                <w:kern w:val="0"/>
                <w:sz w:val="18"/>
                <w:szCs w:val="18"/>
              </w:rPr>
              <w:t>（四）无法提供</w:t>
            </w:r>
          </w:p>
        </w:tc>
        <w:tc>
          <w:tcPr>
            <w:tcW w:w="2693" w:type="dxa"/>
          </w:tcPr>
          <w:p>
            <w:pPr>
              <w:rPr>
                <w:rFonts w:asciiTheme="minorEastAsia" w:hAnsiTheme="minorEastAsia"/>
                <w:kern w:val="0"/>
                <w:sz w:val="18"/>
                <w:szCs w:val="18"/>
              </w:rPr>
            </w:pPr>
            <w:r>
              <w:rPr>
                <w:rFonts w:hint="eastAsia" w:asciiTheme="minorEastAsia" w:hAnsiTheme="minorEastAsia"/>
                <w:kern w:val="0"/>
                <w:sz w:val="18"/>
                <w:szCs w:val="18"/>
              </w:rPr>
              <w:t>1．本机关不掌握相关政府信息</w:t>
            </w:r>
          </w:p>
        </w:tc>
        <w:tc>
          <w:tcPr>
            <w:tcW w:w="567" w:type="dxa"/>
          </w:tcPr>
          <w:p>
            <w:pPr>
              <w:rPr>
                <w:kern w:val="0"/>
                <w:sz w:val="20"/>
              </w:rPr>
            </w:pPr>
            <w:r>
              <w:rPr>
                <w:rFonts w:hint="eastAsia"/>
                <w:kern w:val="0"/>
                <w:sz w:val="20"/>
              </w:rPr>
              <w:t>18</w:t>
            </w:r>
          </w:p>
        </w:tc>
        <w:tc>
          <w:tcPr>
            <w:tcW w:w="709" w:type="dxa"/>
          </w:tcPr>
          <w:p>
            <w:pPr>
              <w:rPr>
                <w:kern w:val="0"/>
                <w:sz w:val="20"/>
              </w:rPr>
            </w:pPr>
            <w:r>
              <w:rPr>
                <w:rFonts w:hint="eastAsia"/>
                <w:color w:val="000000" w:themeColor="text1"/>
                <w:kern w:val="0"/>
                <w:sz w:val="20"/>
                <w14:textFill>
                  <w14:solidFill>
                    <w14:schemeClr w14:val="tx1"/>
                  </w14:solidFill>
                </w14:textFill>
              </w:rPr>
              <w:t>16</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7" w:type="dxa"/>
            <w:vMerge w:val="continue"/>
          </w:tcPr>
          <w:p>
            <w:pPr>
              <w:rPr>
                <w:kern w:val="0"/>
                <w:sz w:val="20"/>
              </w:rPr>
            </w:pPr>
          </w:p>
        </w:tc>
        <w:tc>
          <w:tcPr>
            <w:tcW w:w="1560" w:type="dxa"/>
            <w:vMerge w:val="continue"/>
            <w:vAlign w:val="center"/>
          </w:tcPr>
          <w:p>
            <w:pPr>
              <w:rPr>
                <w:kern w:val="0"/>
                <w:sz w:val="18"/>
                <w:szCs w:val="18"/>
              </w:rPr>
            </w:pPr>
          </w:p>
        </w:tc>
        <w:tc>
          <w:tcPr>
            <w:tcW w:w="2693" w:type="dxa"/>
          </w:tcPr>
          <w:p>
            <w:pPr>
              <w:rPr>
                <w:rFonts w:asciiTheme="minorEastAsia" w:hAnsiTheme="minorEastAsia"/>
                <w:kern w:val="0"/>
                <w:sz w:val="18"/>
                <w:szCs w:val="18"/>
              </w:rPr>
            </w:pPr>
            <w:r>
              <w:rPr>
                <w:rFonts w:hint="eastAsia" w:asciiTheme="minorEastAsia" w:hAnsiTheme="minorEastAsia"/>
                <w:kern w:val="0"/>
                <w:sz w:val="18"/>
                <w:szCs w:val="18"/>
              </w:rPr>
              <w:t>2．没有现成信息需要另行制作</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pPr>
              <w:rPr>
                <w:kern w:val="0"/>
                <w:sz w:val="20"/>
              </w:rPr>
            </w:pPr>
          </w:p>
        </w:tc>
        <w:tc>
          <w:tcPr>
            <w:tcW w:w="1560" w:type="dxa"/>
            <w:vMerge w:val="continue"/>
            <w:vAlign w:val="center"/>
          </w:tcPr>
          <w:p>
            <w:pPr>
              <w:rPr>
                <w:kern w:val="0"/>
                <w:sz w:val="18"/>
                <w:szCs w:val="18"/>
              </w:rPr>
            </w:pPr>
          </w:p>
        </w:tc>
        <w:tc>
          <w:tcPr>
            <w:tcW w:w="2693" w:type="dxa"/>
          </w:tcPr>
          <w:p>
            <w:pPr>
              <w:rPr>
                <w:rFonts w:asciiTheme="minorEastAsia" w:hAnsiTheme="minorEastAsia"/>
                <w:kern w:val="0"/>
                <w:sz w:val="18"/>
                <w:szCs w:val="18"/>
              </w:rPr>
            </w:pPr>
            <w:r>
              <w:rPr>
                <w:rFonts w:hint="eastAsia" w:asciiTheme="minorEastAsia" w:hAnsiTheme="minorEastAsia"/>
                <w:kern w:val="0"/>
                <w:sz w:val="18"/>
                <w:szCs w:val="18"/>
              </w:rPr>
              <w:t>3．补正后申请内容仍不明确</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67" w:type="dxa"/>
            <w:vMerge w:val="continue"/>
          </w:tcPr>
          <w:p>
            <w:pPr>
              <w:rPr>
                <w:kern w:val="0"/>
                <w:sz w:val="20"/>
              </w:rPr>
            </w:pPr>
          </w:p>
        </w:tc>
        <w:tc>
          <w:tcPr>
            <w:tcW w:w="1560" w:type="dxa"/>
            <w:vMerge w:val="restart"/>
            <w:vAlign w:val="center"/>
          </w:tcPr>
          <w:p>
            <w:pPr>
              <w:rPr>
                <w:kern w:val="0"/>
                <w:sz w:val="18"/>
                <w:szCs w:val="18"/>
              </w:rPr>
            </w:pPr>
            <w:r>
              <w:rPr>
                <w:rFonts w:hint="eastAsia"/>
                <w:kern w:val="0"/>
                <w:sz w:val="18"/>
                <w:szCs w:val="18"/>
              </w:rPr>
              <w:t>（五）</w:t>
            </w:r>
            <w:r>
              <w:rPr>
                <w:rFonts w:hint="eastAsia" w:asciiTheme="minorEastAsia" w:hAnsiTheme="minorEastAsia"/>
                <w:kern w:val="0"/>
                <w:sz w:val="18"/>
                <w:szCs w:val="18"/>
              </w:rPr>
              <w:t>不予处理</w:t>
            </w:r>
          </w:p>
        </w:tc>
        <w:tc>
          <w:tcPr>
            <w:tcW w:w="2693" w:type="dxa"/>
          </w:tcPr>
          <w:p>
            <w:pPr>
              <w:rPr>
                <w:rFonts w:asciiTheme="minorEastAsia" w:hAnsiTheme="minorEastAsia"/>
                <w:kern w:val="0"/>
                <w:sz w:val="18"/>
                <w:szCs w:val="18"/>
              </w:rPr>
            </w:pPr>
            <w:r>
              <w:rPr>
                <w:rFonts w:hint="eastAsia" w:asciiTheme="minorEastAsia" w:hAnsiTheme="minorEastAsia"/>
                <w:kern w:val="0"/>
                <w:sz w:val="18"/>
                <w:szCs w:val="18"/>
              </w:rPr>
              <w:t>1．信访举报投诉类申请</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pPr>
              <w:rPr>
                <w:kern w:val="0"/>
                <w:sz w:val="20"/>
              </w:rPr>
            </w:pPr>
          </w:p>
        </w:tc>
        <w:tc>
          <w:tcPr>
            <w:tcW w:w="1560" w:type="dxa"/>
            <w:vMerge w:val="continue"/>
          </w:tcPr>
          <w:p>
            <w:pPr>
              <w:rPr>
                <w:kern w:val="0"/>
                <w:sz w:val="20"/>
              </w:rPr>
            </w:pPr>
          </w:p>
        </w:tc>
        <w:tc>
          <w:tcPr>
            <w:tcW w:w="2693" w:type="dxa"/>
          </w:tcPr>
          <w:p>
            <w:pPr>
              <w:rPr>
                <w:rFonts w:asciiTheme="minorEastAsia" w:hAnsiTheme="minorEastAsia"/>
                <w:kern w:val="0"/>
                <w:sz w:val="18"/>
                <w:szCs w:val="18"/>
              </w:rPr>
            </w:pPr>
            <w:r>
              <w:rPr>
                <w:rFonts w:hint="eastAsia" w:asciiTheme="minorEastAsia" w:hAnsiTheme="minorEastAsia"/>
                <w:kern w:val="0"/>
                <w:sz w:val="18"/>
                <w:szCs w:val="18"/>
              </w:rPr>
              <w:t>2．重复申请</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67" w:type="dxa"/>
            <w:vMerge w:val="continue"/>
          </w:tcPr>
          <w:p>
            <w:pPr>
              <w:rPr>
                <w:kern w:val="0"/>
                <w:sz w:val="20"/>
              </w:rPr>
            </w:pPr>
          </w:p>
        </w:tc>
        <w:tc>
          <w:tcPr>
            <w:tcW w:w="1560" w:type="dxa"/>
            <w:vMerge w:val="continue"/>
          </w:tcPr>
          <w:p>
            <w:pPr>
              <w:rPr>
                <w:kern w:val="0"/>
                <w:sz w:val="20"/>
              </w:rPr>
            </w:pPr>
          </w:p>
        </w:tc>
        <w:tc>
          <w:tcPr>
            <w:tcW w:w="2693" w:type="dxa"/>
          </w:tcPr>
          <w:p>
            <w:pPr>
              <w:rPr>
                <w:rFonts w:asciiTheme="minorEastAsia" w:hAnsiTheme="minorEastAsia"/>
                <w:kern w:val="0"/>
                <w:sz w:val="18"/>
                <w:szCs w:val="18"/>
              </w:rPr>
            </w:pPr>
            <w:r>
              <w:rPr>
                <w:rFonts w:asciiTheme="minorEastAsia" w:hAnsiTheme="minorEastAsia"/>
                <w:kern w:val="0"/>
                <w:sz w:val="18"/>
                <w:szCs w:val="18"/>
              </w:rPr>
              <w:t>3</w:t>
            </w:r>
            <w:r>
              <w:rPr>
                <w:rFonts w:hint="eastAsia" w:asciiTheme="minorEastAsia" w:hAnsiTheme="minorEastAsia"/>
                <w:kern w:val="0"/>
                <w:sz w:val="18"/>
                <w:szCs w:val="18"/>
              </w:rPr>
              <w:t>．要求提供公开出版物</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67" w:type="dxa"/>
            <w:vMerge w:val="continue"/>
          </w:tcPr>
          <w:p>
            <w:pPr>
              <w:rPr>
                <w:kern w:val="0"/>
                <w:sz w:val="20"/>
              </w:rPr>
            </w:pPr>
          </w:p>
        </w:tc>
        <w:tc>
          <w:tcPr>
            <w:tcW w:w="1560" w:type="dxa"/>
            <w:vMerge w:val="continue"/>
          </w:tcPr>
          <w:p>
            <w:pPr>
              <w:rPr>
                <w:kern w:val="0"/>
                <w:sz w:val="20"/>
              </w:rPr>
            </w:pPr>
          </w:p>
        </w:tc>
        <w:tc>
          <w:tcPr>
            <w:tcW w:w="2693" w:type="dxa"/>
          </w:tcPr>
          <w:p>
            <w:pPr>
              <w:rPr>
                <w:rFonts w:asciiTheme="minorEastAsia" w:hAnsiTheme="minorEastAsia"/>
                <w:kern w:val="0"/>
                <w:sz w:val="18"/>
                <w:szCs w:val="18"/>
              </w:rPr>
            </w:pPr>
            <w:r>
              <w:rPr>
                <w:rFonts w:hint="eastAsia" w:asciiTheme="minorEastAsia" w:hAnsiTheme="minorEastAsia"/>
                <w:kern w:val="0"/>
                <w:sz w:val="18"/>
                <w:szCs w:val="18"/>
              </w:rPr>
              <w:t>4．无正当理由大量反复申请</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pPr>
              <w:rPr>
                <w:kern w:val="0"/>
                <w:sz w:val="20"/>
              </w:rPr>
            </w:pPr>
          </w:p>
        </w:tc>
        <w:tc>
          <w:tcPr>
            <w:tcW w:w="1560" w:type="dxa"/>
            <w:vMerge w:val="continue"/>
          </w:tcPr>
          <w:p>
            <w:pPr>
              <w:rPr>
                <w:kern w:val="0"/>
                <w:sz w:val="20"/>
              </w:rPr>
            </w:pPr>
          </w:p>
        </w:tc>
        <w:tc>
          <w:tcPr>
            <w:tcW w:w="2693" w:type="dxa"/>
          </w:tcPr>
          <w:p>
            <w:pPr>
              <w:ind w:left="180" w:hanging="180" w:hangingChars="100"/>
              <w:rPr>
                <w:rFonts w:asciiTheme="minorEastAsia" w:hAnsiTheme="minorEastAsia"/>
                <w:kern w:val="0"/>
                <w:sz w:val="18"/>
                <w:szCs w:val="18"/>
              </w:rPr>
            </w:pPr>
            <w:r>
              <w:rPr>
                <w:rFonts w:hint="eastAsia" w:asciiTheme="minorEastAsia" w:hAnsiTheme="minorEastAsia"/>
                <w:kern w:val="0"/>
                <w:sz w:val="18"/>
                <w:szCs w:val="18"/>
              </w:rPr>
              <w:t>5．要求行政机关确认或重新出具已获取信息</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67" w:type="dxa"/>
            <w:vMerge w:val="continue"/>
          </w:tcPr>
          <w:p>
            <w:pPr>
              <w:rPr>
                <w:kern w:val="0"/>
                <w:sz w:val="20"/>
              </w:rPr>
            </w:pPr>
          </w:p>
        </w:tc>
        <w:tc>
          <w:tcPr>
            <w:tcW w:w="4253" w:type="dxa"/>
            <w:gridSpan w:val="2"/>
            <w:vAlign w:val="center"/>
          </w:tcPr>
          <w:p>
            <w:pPr>
              <w:rPr>
                <w:kern w:val="0"/>
                <w:sz w:val="18"/>
                <w:szCs w:val="18"/>
              </w:rPr>
            </w:pPr>
            <w:r>
              <w:rPr>
                <w:rFonts w:hint="eastAsia"/>
                <w:kern w:val="0"/>
                <w:sz w:val="18"/>
                <w:szCs w:val="18"/>
              </w:rPr>
              <w:t>（六）其他处理</w:t>
            </w:r>
          </w:p>
        </w:tc>
        <w:tc>
          <w:tcPr>
            <w:tcW w:w="567"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7" w:type="dxa"/>
            <w:vMerge w:val="continue"/>
          </w:tcPr>
          <w:p>
            <w:pPr>
              <w:rPr>
                <w:kern w:val="0"/>
                <w:sz w:val="20"/>
              </w:rPr>
            </w:pPr>
          </w:p>
        </w:tc>
        <w:tc>
          <w:tcPr>
            <w:tcW w:w="4253" w:type="dxa"/>
            <w:gridSpan w:val="2"/>
            <w:vAlign w:val="center"/>
          </w:tcPr>
          <w:p>
            <w:pPr>
              <w:rPr>
                <w:kern w:val="0"/>
                <w:sz w:val="18"/>
                <w:szCs w:val="18"/>
              </w:rPr>
            </w:pPr>
            <w:r>
              <w:rPr>
                <w:rFonts w:hint="eastAsia"/>
                <w:kern w:val="0"/>
                <w:sz w:val="18"/>
                <w:szCs w:val="18"/>
              </w:rPr>
              <w:t>（七）总计</w:t>
            </w:r>
          </w:p>
        </w:tc>
        <w:tc>
          <w:tcPr>
            <w:tcW w:w="567" w:type="dxa"/>
          </w:tcPr>
          <w:p>
            <w:pPr>
              <w:rPr>
                <w:kern w:val="0"/>
                <w:sz w:val="20"/>
              </w:rPr>
            </w:pPr>
            <w:r>
              <w:rPr>
                <w:rFonts w:hint="eastAsia"/>
                <w:kern w:val="0"/>
                <w:sz w:val="20"/>
              </w:rPr>
              <w:t>40</w:t>
            </w:r>
          </w:p>
        </w:tc>
        <w:tc>
          <w:tcPr>
            <w:tcW w:w="709" w:type="dxa"/>
          </w:tcPr>
          <w:p>
            <w:pPr>
              <w:rPr>
                <w:kern w:val="0"/>
                <w:sz w:val="20"/>
              </w:rPr>
            </w:pPr>
            <w:r>
              <w:rPr>
                <w:rFonts w:hint="eastAsia"/>
                <w:color w:val="000000" w:themeColor="text1"/>
                <w:kern w:val="0"/>
                <w:sz w:val="20"/>
                <w14:textFill>
                  <w14:solidFill>
                    <w14:schemeClr w14:val="tx1"/>
                  </w14:solidFill>
                </w14:textFill>
              </w:rPr>
              <w:t>19</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kern w:val="0"/>
                <w:sz w:val="20"/>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0" w:type="dxa"/>
            <w:gridSpan w:val="3"/>
            <w:vAlign w:val="center"/>
          </w:tcPr>
          <w:p>
            <w:pPr>
              <w:rPr>
                <w:kern w:val="0"/>
                <w:sz w:val="20"/>
              </w:rPr>
            </w:pPr>
            <w:r>
              <w:rPr>
                <w:rFonts w:hint="eastAsia"/>
                <w:kern w:val="0"/>
                <w:sz w:val="20"/>
              </w:rPr>
              <w:t>四、结转下年度继续办理</w:t>
            </w:r>
          </w:p>
        </w:tc>
        <w:tc>
          <w:tcPr>
            <w:tcW w:w="567" w:type="dxa"/>
          </w:tcPr>
          <w:p>
            <w:pPr>
              <w:rPr>
                <w:kern w:val="0"/>
                <w:sz w:val="20"/>
              </w:rPr>
            </w:pPr>
            <w:r>
              <w:rPr>
                <w:rFonts w:hint="eastAsia"/>
                <w:kern w:val="0"/>
                <w:sz w:val="20"/>
              </w:rPr>
              <w:t>3</w:t>
            </w:r>
          </w:p>
        </w:tc>
        <w:tc>
          <w:tcPr>
            <w:tcW w:w="709" w:type="dxa"/>
          </w:tcPr>
          <w:p>
            <w:pPr>
              <w:rPr>
                <w:kern w:val="0"/>
                <w:sz w:val="20"/>
              </w:rPr>
            </w:pPr>
            <w:r>
              <w:rPr>
                <w:rFonts w:hint="eastAsia"/>
                <w:color w:val="000000" w:themeColor="text1"/>
                <w:kern w:val="0"/>
                <w:sz w:val="20"/>
                <w14:textFill>
                  <w14:solidFill>
                    <w14:schemeClr w14:val="tx1"/>
                  </w14:solidFill>
                </w14:textFill>
              </w:rPr>
              <w:t>0</w:t>
            </w:r>
          </w:p>
        </w:tc>
        <w:tc>
          <w:tcPr>
            <w:tcW w:w="708"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709" w:type="dxa"/>
          </w:tcPr>
          <w:p>
            <w:pPr>
              <w:rPr>
                <w:kern w:val="0"/>
                <w:sz w:val="20"/>
              </w:rPr>
            </w:pPr>
            <w:r>
              <w:rPr>
                <w:rFonts w:hint="eastAsia"/>
                <w:kern w:val="0"/>
                <w:sz w:val="20"/>
              </w:rPr>
              <w:t>0</w:t>
            </w:r>
          </w:p>
        </w:tc>
        <w:tc>
          <w:tcPr>
            <w:tcW w:w="850" w:type="dxa"/>
          </w:tcPr>
          <w:p>
            <w:pPr>
              <w:rPr>
                <w:kern w:val="0"/>
                <w:sz w:val="20"/>
              </w:rPr>
            </w:pPr>
            <w:r>
              <w:rPr>
                <w:rFonts w:hint="eastAsia"/>
                <w:color w:val="000000" w:themeColor="text1"/>
                <w:kern w:val="0"/>
                <w:sz w:val="20"/>
                <w14:textFill>
                  <w14:solidFill>
                    <w14:schemeClr w14:val="tx1"/>
                  </w14:solidFill>
                </w14:textFill>
              </w:rPr>
              <w:t>3</w:t>
            </w:r>
          </w:p>
        </w:tc>
      </w:tr>
    </w:tbl>
    <w:p>
      <w:pPr>
        <w:pStyle w:val="8"/>
        <w:widowControl/>
        <w:spacing w:after="0"/>
        <w:ind w:firstLine="640" w:firstLineChars="200"/>
        <w:rPr>
          <w:rFonts w:ascii="仿宋_GB2312" w:hAnsi="仿宋" w:eastAsia="仿宋_GB2312" w:cs="仿宋"/>
          <w:color w:val="000000" w:themeColor="text1"/>
          <w:sz w:val="32"/>
          <w:szCs w:val="32"/>
          <w14:textFill>
            <w14:solidFill>
              <w14:schemeClr w14:val="tx1"/>
            </w14:solidFill>
          </w14:textFill>
        </w:rPr>
      </w:pPr>
    </w:p>
    <w:p>
      <w:pPr>
        <w:pStyle w:val="8"/>
        <w:widowControl/>
        <w:spacing w:after="0"/>
        <w:ind w:firstLine="640" w:firstLineChars="200"/>
        <w:rPr>
          <w:rFonts w:ascii="仿宋_GB2312" w:hAnsi="仿宋" w:eastAsia="仿宋_GB2312" w:cs="仿宋"/>
          <w:color w:val="000000" w:themeColor="text1"/>
          <w:sz w:val="32"/>
          <w:szCs w:val="32"/>
          <w14:textFill>
            <w14:solidFill>
              <w14:schemeClr w14:val="tx1"/>
            </w14:solidFill>
          </w14:textFill>
        </w:rPr>
      </w:pPr>
    </w:p>
    <w:p>
      <w:pPr>
        <w:pStyle w:val="8"/>
        <w:widowControl/>
        <w:spacing w:after="0"/>
        <w:ind w:firstLine="640" w:firstLineChars="200"/>
        <w:rPr>
          <w:rFonts w:ascii="黑体" w:hAnsi="黑体" w:eastAsia="黑体"/>
          <w:sz w:val="32"/>
          <w:szCs w:val="32"/>
        </w:rPr>
      </w:pPr>
      <w:r>
        <w:rPr>
          <w:rFonts w:hint="eastAsia" w:ascii="黑体" w:hAnsi="黑体" w:eastAsia="黑体" w:cs="仿宋"/>
          <w:color w:val="000000" w:themeColor="text1"/>
          <w:sz w:val="32"/>
          <w:szCs w:val="32"/>
          <w14:textFill>
            <w14:solidFill>
              <w14:schemeClr w14:val="tx1"/>
            </w14:solidFill>
          </w14:textFill>
        </w:rPr>
        <w:t>四、</w:t>
      </w:r>
      <w:r>
        <w:rPr>
          <w:rFonts w:hint="eastAsia" w:ascii="黑体" w:hAnsi="黑体" w:eastAsia="黑体"/>
          <w:sz w:val="32"/>
          <w:szCs w:val="32"/>
        </w:rPr>
        <w:t>政府信息公开行政复议、行政诉讼情况</w:t>
      </w:r>
    </w:p>
    <w:tbl>
      <w:tblPr>
        <w:tblStyle w:val="10"/>
        <w:tblW w:w="10319"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8"/>
        <w:gridCol w:w="709"/>
        <w:gridCol w:w="682"/>
        <w:gridCol w:w="594"/>
        <w:gridCol w:w="709"/>
        <w:gridCol w:w="709"/>
        <w:gridCol w:w="709"/>
        <w:gridCol w:w="708"/>
        <w:gridCol w:w="567"/>
        <w:gridCol w:w="851"/>
        <w:gridCol w:w="650"/>
        <w:gridCol w:w="767"/>
        <w:gridCol w:w="709"/>
        <w:gridCol w:w="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402" w:type="dxa"/>
            <w:gridSpan w:val="5"/>
            <w:vAlign w:val="center"/>
          </w:tcPr>
          <w:p>
            <w:pPr>
              <w:jc w:val="center"/>
              <w:rPr>
                <w:kern w:val="0"/>
                <w:sz w:val="20"/>
                <w:szCs w:val="21"/>
              </w:rPr>
            </w:pPr>
            <w:r>
              <w:rPr>
                <w:rFonts w:hint="eastAsia"/>
                <w:kern w:val="0"/>
                <w:sz w:val="20"/>
                <w:szCs w:val="21"/>
              </w:rPr>
              <w:t>行政复议</w:t>
            </w:r>
          </w:p>
        </w:tc>
        <w:tc>
          <w:tcPr>
            <w:tcW w:w="6917" w:type="dxa"/>
            <w:gridSpan w:val="10"/>
            <w:vAlign w:val="center"/>
          </w:tcPr>
          <w:p>
            <w:pPr>
              <w:jc w:val="center"/>
              <w:rPr>
                <w:kern w:val="0"/>
                <w:sz w:val="20"/>
                <w:szCs w:val="21"/>
              </w:rPr>
            </w:pPr>
            <w:r>
              <w:rPr>
                <w:rFonts w:hint="eastAsia"/>
                <w:kern w:val="0"/>
                <w:sz w:val="20"/>
                <w:szCs w:val="21"/>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09" w:type="dxa"/>
            <w:vMerge w:val="restart"/>
            <w:vAlign w:val="center"/>
          </w:tcPr>
          <w:p>
            <w:pPr>
              <w:jc w:val="center"/>
              <w:rPr>
                <w:kern w:val="0"/>
                <w:sz w:val="20"/>
                <w:szCs w:val="21"/>
              </w:rPr>
            </w:pPr>
            <w:r>
              <w:rPr>
                <w:rFonts w:hint="eastAsia"/>
                <w:kern w:val="0"/>
                <w:sz w:val="20"/>
                <w:szCs w:val="21"/>
              </w:rPr>
              <w:t>结果维持</w:t>
            </w:r>
          </w:p>
        </w:tc>
        <w:tc>
          <w:tcPr>
            <w:tcW w:w="708" w:type="dxa"/>
            <w:vMerge w:val="restart"/>
            <w:vAlign w:val="center"/>
          </w:tcPr>
          <w:p>
            <w:pPr>
              <w:jc w:val="center"/>
              <w:rPr>
                <w:kern w:val="0"/>
                <w:sz w:val="20"/>
                <w:szCs w:val="21"/>
              </w:rPr>
            </w:pPr>
            <w:r>
              <w:rPr>
                <w:rFonts w:hint="eastAsia"/>
                <w:kern w:val="0"/>
                <w:sz w:val="20"/>
                <w:szCs w:val="21"/>
              </w:rPr>
              <w:t>结果纠正</w:t>
            </w:r>
          </w:p>
        </w:tc>
        <w:tc>
          <w:tcPr>
            <w:tcW w:w="709" w:type="dxa"/>
            <w:vMerge w:val="restart"/>
            <w:vAlign w:val="center"/>
          </w:tcPr>
          <w:p>
            <w:pPr>
              <w:jc w:val="center"/>
              <w:rPr>
                <w:kern w:val="0"/>
                <w:sz w:val="20"/>
                <w:szCs w:val="21"/>
              </w:rPr>
            </w:pPr>
            <w:r>
              <w:rPr>
                <w:rFonts w:hint="eastAsia"/>
                <w:kern w:val="0"/>
                <w:sz w:val="20"/>
                <w:szCs w:val="21"/>
              </w:rPr>
              <w:t>其他结果</w:t>
            </w:r>
          </w:p>
        </w:tc>
        <w:tc>
          <w:tcPr>
            <w:tcW w:w="682" w:type="dxa"/>
            <w:vMerge w:val="restart"/>
            <w:vAlign w:val="center"/>
          </w:tcPr>
          <w:p>
            <w:pPr>
              <w:jc w:val="center"/>
              <w:rPr>
                <w:kern w:val="0"/>
                <w:sz w:val="20"/>
                <w:szCs w:val="21"/>
              </w:rPr>
            </w:pPr>
            <w:r>
              <w:rPr>
                <w:rFonts w:hint="eastAsia"/>
                <w:kern w:val="0"/>
                <w:sz w:val="20"/>
                <w:szCs w:val="21"/>
              </w:rPr>
              <w:t>尚未审结</w:t>
            </w:r>
          </w:p>
        </w:tc>
        <w:tc>
          <w:tcPr>
            <w:tcW w:w="594" w:type="dxa"/>
            <w:vMerge w:val="restart"/>
            <w:vAlign w:val="center"/>
          </w:tcPr>
          <w:p>
            <w:pPr>
              <w:jc w:val="center"/>
              <w:rPr>
                <w:kern w:val="0"/>
                <w:sz w:val="20"/>
                <w:szCs w:val="21"/>
              </w:rPr>
            </w:pPr>
            <w:r>
              <w:rPr>
                <w:rFonts w:hint="eastAsia"/>
                <w:kern w:val="0"/>
                <w:sz w:val="20"/>
                <w:szCs w:val="21"/>
              </w:rPr>
              <w:t>总计</w:t>
            </w:r>
          </w:p>
        </w:tc>
        <w:tc>
          <w:tcPr>
            <w:tcW w:w="3402" w:type="dxa"/>
            <w:gridSpan w:val="5"/>
            <w:vAlign w:val="center"/>
          </w:tcPr>
          <w:p>
            <w:pPr>
              <w:jc w:val="center"/>
              <w:rPr>
                <w:kern w:val="0"/>
                <w:sz w:val="20"/>
                <w:szCs w:val="21"/>
              </w:rPr>
            </w:pPr>
            <w:r>
              <w:rPr>
                <w:rFonts w:hint="eastAsia"/>
                <w:kern w:val="0"/>
                <w:sz w:val="20"/>
                <w:szCs w:val="21"/>
              </w:rPr>
              <w:t>未经复议直接起诉</w:t>
            </w:r>
          </w:p>
        </w:tc>
        <w:tc>
          <w:tcPr>
            <w:tcW w:w="3515" w:type="dxa"/>
            <w:gridSpan w:val="5"/>
            <w:vAlign w:val="center"/>
          </w:tcPr>
          <w:p>
            <w:pPr>
              <w:jc w:val="center"/>
              <w:rPr>
                <w:kern w:val="0"/>
                <w:sz w:val="20"/>
                <w:szCs w:val="21"/>
              </w:rPr>
            </w:pPr>
            <w:r>
              <w:rPr>
                <w:rFonts w:hint="eastAsia"/>
                <w:kern w:val="0"/>
                <w:sz w:val="20"/>
                <w:szCs w:val="21"/>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kern w:val="0"/>
                <w:sz w:val="18"/>
                <w:szCs w:val="18"/>
              </w:rPr>
            </w:pPr>
          </w:p>
        </w:tc>
        <w:tc>
          <w:tcPr>
            <w:tcW w:w="708" w:type="dxa"/>
            <w:vMerge w:val="continue"/>
            <w:vAlign w:val="center"/>
          </w:tcPr>
          <w:p>
            <w:pPr>
              <w:jc w:val="center"/>
              <w:rPr>
                <w:kern w:val="0"/>
                <w:sz w:val="18"/>
                <w:szCs w:val="18"/>
              </w:rPr>
            </w:pPr>
          </w:p>
        </w:tc>
        <w:tc>
          <w:tcPr>
            <w:tcW w:w="709" w:type="dxa"/>
            <w:vMerge w:val="continue"/>
            <w:vAlign w:val="center"/>
          </w:tcPr>
          <w:p>
            <w:pPr>
              <w:jc w:val="center"/>
              <w:rPr>
                <w:kern w:val="0"/>
                <w:sz w:val="18"/>
                <w:szCs w:val="18"/>
              </w:rPr>
            </w:pPr>
          </w:p>
        </w:tc>
        <w:tc>
          <w:tcPr>
            <w:tcW w:w="682" w:type="dxa"/>
            <w:vMerge w:val="continue"/>
            <w:vAlign w:val="center"/>
          </w:tcPr>
          <w:p>
            <w:pPr>
              <w:jc w:val="center"/>
              <w:rPr>
                <w:kern w:val="0"/>
                <w:sz w:val="20"/>
                <w:szCs w:val="21"/>
              </w:rPr>
            </w:pPr>
          </w:p>
        </w:tc>
        <w:tc>
          <w:tcPr>
            <w:tcW w:w="594" w:type="dxa"/>
            <w:vMerge w:val="continue"/>
            <w:vAlign w:val="center"/>
          </w:tcPr>
          <w:p>
            <w:pPr>
              <w:jc w:val="center"/>
              <w:rPr>
                <w:kern w:val="0"/>
                <w:sz w:val="20"/>
                <w:szCs w:val="21"/>
              </w:rPr>
            </w:pPr>
          </w:p>
        </w:tc>
        <w:tc>
          <w:tcPr>
            <w:tcW w:w="709" w:type="dxa"/>
            <w:vAlign w:val="center"/>
          </w:tcPr>
          <w:p>
            <w:pPr>
              <w:jc w:val="center"/>
              <w:rPr>
                <w:kern w:val="0"/>
                <w:sz w:val="20"/>
                <w:szCs w:val="21"/>
              </w:rPr>
            </w:pPr>
            <w:r>
              <w:rPr>
                <w:rFonts w:hint="eastAsia"/>
                <w:kern w:val="0"/>
                <w:sz w:val="20"/>
                <w:szCs w:val="21"/>
              </w:rPr>
              <w:t>结果维持</w:t>
            </w:r>
          </w:p>
        </w:tc>
        <w:tc>
          <w:tcPr>
            <w:tcW w:w="709" w:type="dxa"/>
            <w:vAlign w:val="center"/>
          </w:tcPr>
          <w:p>
            <w:pPr>
              <w:jc w:val="center"/>
              <w:rPr>
                <w:kern w:val="0"/>
                <w:sz w:val="20"/>
                <w:szCs w:val="21"/>
              </w:rPr>
            </w:pPr>
            <w:r>
              <w:rPr>
                <w:rFonts w:hint="eastAsia"/>
                <w:kern w:val="0"/>
                <w:sz w:val="20"/>
                <w:szCs w:val="21"/>
              </w:rPr>
              <w:t>结果纠正</w:t>
            </w:r>
          </w:p>
        </w:tc>
        <w:tc>
          <w:tcPr>
            <w:tcW w:w="709" w:type="dxa"/>
            <w:vAlign w:val="center"/>
          </w:tcPr>
          <w:p>
            <w:pPr>
              <w:jc w:val="center"/>
              <w:rPr>
                <w:kern w:val="0"/>
                <w:sz w:val="20"/>
                <w:szCs w:val="21"/>
              </w:rPr>
            </w:pPr>
            <w:r>
              <w:rPr>
                <w:rFonts w:hint="eastAsia"/>
                <w:kern w:val="0"/>
                <w:sz w:val="20"/>
                <w:szCs w:val="21"/>
              </w:rPr>
              <w:t>其他结果</w:t>
            </w:r>
          </w:p>
        </w:tc>
        <w:tc>
          <w:tcPr>
            <w:tcW w:w="708" w:type="dxa"/>
            <w:vAlign w:val="center"/>
          </w:tcPr>
          <w:p>
            <w:pPr>
              <w:jc w:val="center"/>
              <w:rPr>
                <w:kern w:val="0"/>
                <w:sz w:val="20"/>
                <w:szCs w:val="21"/>
              </w:rPr>
            </w:pPr>
            <w:r>
              <w:rPr>
                <w:rFonts w:hint="eastAsia"/>
                <w:kern w:val="0"/>
                <w:sz w:val="20"/>
                <w:szCs w:val="21"/>
              </w:rPr>
              <w:t>尚未审结</w:t>
            </w:r>
          </w:p>
        </w:tc>
        <w:tc>
          <w:tcPr>
            <w:tcW w:w="567" w:type="dxa"/>
            <w:vAlign w:val="center"/>
          </w:tcPr>
          <w:p>
            <w:pPr>
              <w:jc w:val="center"/>
              <w:rPr>
                <w:kern w:val="0"/>
                <w:sz w:val="20"/>
                <w:szCs w:val="21"/>
              </w:rPr>
            </w:pPr>
            <w:r>
              <w:rPr>
                <w:rFonts w:hint="eastAsia"/>
                <w:kern w:val="0"/>
                <w:sz w:val="20"/>
                <w:szCs w:val="21"/>
              </w:rPr>
              <w:t>总计</w:t>
            </w:r>
          </w:p>
        </w:tc>
        <w:tc>
          <w:tcPr>
            <w:tcW w:w="851" w:type="dxa"/>
            <w:vAlign w:val="center"/>
          </w:tcPr>
          <w:p>
            <w:pPr>
              <w:jc w:val="center"/>
              <w:rPr>
                <w:kern w:val="0"/>
                <w:sz w:val="20"/>
                <w:szCs w:val="21"/>
              </w:rPr>
            </w:pPr>
            <w:r>
              <w:rPr>
                <w:rFonts w:hint="eastAsia"/>
                <w:kern w:val="0"/>
                <w:sz w:val="20"/>
                <w:szCs w:val="21"/>
              </w:rPr>
              <w:t>结果维持</w:t>
            </w:r>
          </w:p>
        </w:tc>
        <w:tc>
          <w:tcPr>
            <w:tcW w:w="650" w:type="dxa"/>
            <w:vAlign w:val="center"/>
          </w:tcPr>
          <w:p>
            <w:pPr>
              <w:jc w:val="center"/>
              <w:rPr>
                <w:kern w:val="0"/>
                <w:sz w:val="20"/>
                <w:szCs w:val="21"/>
              </w:rPr>
            </w:pPr>
            <w:r>
              <w:rPr>
                <w:rFonts w:hint="eastAsia"/>
                <w:kern w:val="0"/>
                <w:sz w:val="20"/>
                <w:szCs w:val="21"/>
              </w:rPr>
              <w:t>结果纠正</w:t>
            </w:r>
          </w:p>
        </w:tc>
        <w:tc>
          <w:tcPr>
            <w:tcW w:w="767" w:type="dxa"/>
            <w:vAlign w:val="center"/>
          </w:tcPr>
          <w:p>
            <w:pPr>
              <w:jc w:val="center"/>
              <w:rPr>
                <w:kern w:val="0"/>
                <w:sz w:val="20"/>
                <w:szCs w:val="21"/>
              </w:rPr>
            </w:pPr>
            <w:r>
              <w:rPr>
                <w:rFonts w:hint="eastAsia"/>
                <w:kern w:val="0"/>
                <w:sz w:val="20"/>
                <w:szCs w:val="21"/>
              </w:rPr>
              <w:t>其他结果</w:t>
            </w:r>
          </w:p>
        </w:tc>
        <w:tc>
          <w:tcPr>
            <w:tcW w:w="709" w:type="dxa"/>
            <w:vAlign w:val="center"/>
          </w:tcPr>
          <w:p>
            <w:pPr>
              <w:jc w:val="center"/>
              <w:rPr>
                <w:kern w:val="0"/>
                <w:sz w:val="20"/>
                <w:szCs w:val="21"/>
              </w:rPr>
            </w:pPr>
            <w:r>
              <w:rPr>
                <w:rFonts w:hint="eastAsia"/>
                <w:kern w:val="0"/>
                <w:sz w:val="20"/>
                <w:szCs w:val="21"/>
              </w:rPr>
              <w:t>尚未审结</w:t>
            </w:r>
          </w:p>
        </w:tc>
        <w:tc>
          <w:tcPr>
            <w:tcW w:w="538" w:type="dxa"/>
            <w:vAlign w:val="center"/>
          </w:tcPr>
          <w:p>
            <w:pPr>
              <w:jc w:val="center"/>
              <w:rPr>
                <w:kern w:val="0"/>
                <w:sz w:val="20"/>
                <w:szCs w:val="21"/>
              </w:rPr>
            </w:pPr>
            <w:r>
              <w:rPr>
                <w:rFonts w:hint="eastAsia"/>
                <w:kern w:val="0"/>
                <w:sz w:val="20"/>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trPr>
        <w:tc>
          <w:tcPr>
            <w:tcW w:w="709" w:type="dxa"/>
            <w:vAlign w:val="center"/>
          </w:tcPr>
          <w:p>
            <w:pPr>
              <w:rPr>
                <w:kern w:val="0"/>
                <w:sz w:val="24"/>
              </w:rPr>
            </w:pPr>
            <w:r>
              <w:rPr>
                <w:rFonts w:hint="eastAsia"/>
                <w:kern w:val="0"/>
                <w:sz w:val="24"/>
              </w:rPr>
              <w:t>4</w:t>
            </w:r>
          </w:p>
        </w:tc>
        <w:tc>
          <w:tcPr>
            <w:tcW w:w="708" w:type="dxa"/>
            <w:vAlign w:val="center"/>
          </w:tcPr>
          <w:p>
            <w:pPr>
              <w:rPr>
                <w:kern w:val="0"/>
                <w:sz w:val="24"/>
              </w:rPr>
            </w:pPr>
            <w:r>
              <w:rPr>
                <w:rFonts w:hint="eastAsia"/>
                <w:kern w:val="0"/>
                <w:sz w:val="24"/>
              </w:rPr>
              <w:t>6</w:t>
            </w:r>
          </w:p>
        </w:tc>
        <w:tc>
          <w:tcPr>
            <w:tcW w:w="709" w:type="dxa"/>
            <w:vAlign w:val="center"/>
          </w:tcPr>
          <w:p>
            <w:pPr>
              <w:rPr>
                <w:kern w:val="0"/>
                <w:sz w:val="24"/>
              </w:rPr>
            </w:pPr>
            <w:r>
              <w:rPr>
                <w:rFonts w:hint="eastAsia"/>
                <w:kern w:val="0"/>
                <w:sz w:val="24"/>
              </w:rPr>
              <w:t>2</w:t>
            </w:r>
          </w:p>
        </w:tc>
        <w:tc>
          <w:tcPr>
            <w:tcW w:w="682" w:type="dxa"/>
            <w:vAlign w:val="center"/>
          </w:tcPr>
          <w:p>
            <w:pPr>
              <w:rPr>
                <w:kern w:val="0"/>
                <w:sz w:val="24"/>
              </w:rPr>
            </w:pPr>
            <w:r>
              <w:rPr>
                <w:rFonts w:hint="eastAsia"/>
                <w:kern w:val="0"/>
                <w:sz w:val="24"/>
              </w:rPr>
              <w:t>0</w:t>
            </w:r>
          </w:p>
        </w:tc>
        <w:tc>
          <w:tcPr>
            <w:tcW w:w="594" w:type="dxa"/>
            <w:vAlign w:val="center"/>
          </w:tcPr>
          <w:p>
            <w:pPr>
              <w:rPr>
                <w:kern w:val="0"/>
                <w:sz w:val="24"/>
              </w:rPr>
            </w:pPr>
            <w:r>
              <w:rPr>
                <w:rFonts w:hint="eastAsia"/>
                <w:kern w:val="0"/>
                <w:sz w:val="24"/>
              </w:rPr>
              <w:t>12</w:t>
            </w:r>
          </w:p>
        </w:tc>
        <w:tc>
          <w:tcPr>
            <w:tcW w:w="709" w:type="dxa"/>
            <w:vAlign w:val="center"/>
          </w:tcPr>
          <w:p>
            <w:pPr>
              <w:rPr>
                <w:kern w:val="0"/>
                <w:sz w:val="24"/>
              </w:rPr>
            </w:pPr>
            <w:r>
              <w:rPr>
                <w:rFonts w:hint="eastAsia"/>
                <w:kern w:val="0"/>
                <w:sz w:val="24"/>
              </w:rPr>
              <w:t>1</w:t>
            </w:r>
          </w:p>
        </w:tc>
        <w:tc>
          <w:tcPr>
            <w:tcW w:w="709" w:type="dxa"/>
            <w:vAlign w:val="center"/>
          </w:tcPr>
          <w:p>
            <w:pPr>
              <w:rPr>
                <w:kern w:val="0"/>
                <w:sz w:val="24"/>
              </w:rPr>
            </w:pPr>
            <w:r>
              <w:rPr>
                <w:rFonts w:hint="eastAsia"/>
                <w:kern w:val="0"/>
                <w:sz w:val="24"/>
              </w:rPr>
              <w:t>0</w:t>
            </w:r>
          </w:p>
        </w:tc>
        <w:tc>
          <w:tcPr>
            <w:tcW w:w="709" w:type="dxa"/>
            <w:vAlign w:val="center"/>
          </w:tcPr>
          <w:p>
            <w:pPr>
              <w:rPr>
                <w:kern w:val="0"/>
                <w:sz w:val="24"/>
              </w:rPr>
            </w:pPr>
            <w:r>
              <w:rPr>
                <w:rFonts w:hint="eastAsia"/>
                <w:kern w:val="0"/>
                <w:sz w:val="24"/>
              </w:rPr>
              <w:t>0</w:t>
            </w:r>
          </w:p>
        </w:tc>
        <w:tc>
          <w:tcPr>
            <w:tcW w:w="708" w:type="dxa"/>
            <w:vAlign w:val="center"/>
          </w:tcPr>
          <w:p>
            <w:pPr>
              <w:rPr>
                <w:kern w:val="0"/>
                <w:sz w:val="24"/>
              </w:rPr>
            </w:pPr>
            <w:r>
              <w:rPr>
                <w:rFonts w:hint="eastAsia"/>
                <w:kern w:val="0"/>
                <w:sz w:val="24"/>
              </w:rPr>
              <w:t>0</w:t>
            </w:r>
          </w:p>
        </w:tc>
        <w:tc>
          <w:tcPr>
            <w:tcW w:w="567" w:type="dxa"/>
            <w:vAlign w:val="center"/>
          </w:tcPr>
          <w:p>
            <w:pPr>
              <w:rPr>
                <w:kern w:val="0"/>
                <w:sz w:val="24"/>
              </w:rPr>
            </w:pPr>
            <w:r>
              <w:rPr>
                <w:rFonts w:hint="eastAsia"/>
                <w:kern w:val="0"/>
                <w:sz w:val="24"/>
              </w:rPr>
              <w:t>1</w:t>
            </w:r>
          </w:p>
        </w:tc>
        <w:tc>
          <w:tcPr>
            <w:tcW w:w="851" w:type="dxa"/>
            <w:vAlign w:val="center"/>
          </w:tcPr>
          <w:p>
            <w:pPr>
              <w:rPr>
                <w:kern w:val="0"/>
                <w:sz w:val="24"/>
              </w:rPr>
            </w:pPr>
            <w:r>
              <w:rPr>
                <w:rFonts w:hint="eastAsia"/>
                <w:kern w:val="0"/>
                <w:sz w:val="24"/>
              </w:rPr>
              <w:t>10</w:t>
            </w:r>
          </w:p>
        </w:tc>
        <w:tc>
          <w:tcPr>
            <w:tcW w:w="650" w:type="dxa"/>
            <w:vAlign w:val="center"/>
          </w:tcPr>
          <w:p>
            <w:pPr>
              <w:rPr>
                <w:kern w:val="0"/>
                <w:sz w:val="24"/>
              </w:rPr>
            </w:pPr>
            <w:r>
              <w:rPr>
                <w:rFonts w:hint="eastAsia"/>
                <w:kern w:val="0"/>
                <w:sz w:val="24"/>
              </w:rPr>
              <w:t>2</w:t>
            </w:r>
          </w:p>
        </w:tc>
        <w:tc>
          <w:tcPr>
            <w:tcW w:w="767" w:type="dxa"/>
            <w:vAlign w:val="center"/>
          </w:tcPr>
          <w:p>
            <w:pPr>
              <w:rPr>
                <w:kern w:val="0"/>
                <w:sz w:val="24"/>
              </w:rPr>
            </w:pPr>
            <w:r>
              <w:rPr>
                <w:rFonts w:hint="eastAsia"/>
                <w:kern w:val="0"/>
                <w:sz w:val="24"/>
              </w:rPr>
              <w:t>1</w:t>
            </w:r>
          </w:p>
        </w:tc>
        <w:tc>
          <w:tcPr>
            <w:tcW w:w="709" w:type="dxa"/>
            <w:vAlign w:val="center"/>
          </w:tcPr>
          <w:p>
            <w:pPr>
              <w:rPr>
                <w:kern w:val="0"/>
                <w:sz w:val="24"/>
              </w:rPr>
            </w:pPr>
            <w:r>
              <w:rPr>
                <w:rFonts w:hint="eastAsia"/>
                <w:kern w:val="0"/>
                <w:sz w:val="24"/>
              </w:rPr>
              <w:t>0</w:t>
            </w:r>
          </w:p>
        </w:tc>
        <w:tc>
          <w:tcPr>
            <w:tcW w:w="538" w:type="dxa"/>
            <w:vAlign w:val="center"/>
          </w:tcPr>
          <w:p>
            <w:pPr>
              <w:rPr>
                <w:kern w:val="0"/>
                <w:sz w:val="24"/>
              </w:rPr>
            </w:pPr>
            <w:r>
              <w:rPr>
                <w:rFonts w:hint="eastAsia"/>
                <w:kern w:val="0"/>
                <w:sz w:val="24"/>
              </w:rPr>
              <w:t>13</w:t>
            </w:r>
          </w:p>
        </w:tc>
      </w:tr>
    </w:tbl>
    <w:p>
      <w:pPr>
        <w:pStyle w:val="8"/>
        <w:widowControl/>
        <w:spacing w:after="0" w:line="560" w:lineRule="exact"/>
        <w:ind w:firstLine="640" w:firstLineChars="200"/>
        <w:jc w:val="both"/>
        <w:rPr>
          <w:rFonts w:ascii="黑体" w:hAnsi="黑体" w:eastAsia="黑体"/>
          <w:sz w:val="32"/>
          <w:szCs w:val="32"/>
        </w:rPr>
      </w:pPr>
      <w:r>
        <w:rPr>
          <w:rFonts w:hint="eastAsia" w:ascii="黑体" w:hAnsi="黑体" w:eastAsia="黑体" w:cs="仿宋"/>
          <w:color w:val="000000" w:themeColor="text1"/>
          <w:sz w:val="32"/>
          <w:szCs w:val="32"/>
          <w14:textFill>
            <w14:solidFill>
              <w14:schemeClr w14:val="tx1"/>
            </w14:solidFill>
          </w14:textFill>
        </w:rPr>
        <w:t>五、</w:t>
      </w:r>
      <w:r>
        <w:rPr>
          <w:rFonts w:hint="eastAsia" w:ascii="黑体" w:hAnsi="黑体" w:eastAsia="黑体"/>
          <w:sz w:val="32"/>
          <w:szCs w:val="32"/>
        </w:rPr>
        <w:t>存在的主要问题及改进情况</w:t>
      </w:r>
    </w:p>
    <w:p>
      <w:pPr>
        <w:pStyle w:val="8"/>
        <w:widowControl/>
        <w:spacing w:after="0" w:line="560" w:lineRule="exact"/>
        <w:ind w:firstLine="643" w:firstLineChars="200"/>
        <w:jc w:val="both"/>
        <w:rPr>
          <w:rFonts w:ascii="楷体_GB2312" w:hAnsi="黑体" w:eastAsia="楷体_GB2312" w:cs="仿宋"/>
          <w:b/>
          <w:color w:val="000000" w:themeColor="text1"/>
          <w:sz w:val="32"/>
          <w:szCs w:val="32"/>
          <w14:textFill>
            <w14:solidFill>
              <w14:schemeClr w14:val="tx1"/>
            </w14:solidFill>
          </w14:textFill>
        </w:rPr>
      </w:pPr>
      <w:r>
        <w:rPr>
          <w:rFonts w:hint="eastAsia" w:ascii="楷体_GB2312" w:hAnsi="黑体" w:eastAsia="楷体_GB2312"/>
          <w:b/>
          <w:sz w:val="32"/>
          <w:szCs w:val="32"/>
        </w:rPr>
        <w:t>（一）存在问题</w:t>
      </w:r>
    </w:p>
    <w:p>
      <w:pPr>
        <w:spacing w:line="560" w:lineRule="exact"/>
        <w:ind w:firstLine="640" w:firstLineChars="200"/>
        <w:jc w:val="left"/>
        <w:outlineLvl w:val="0"/>
        <w:rPr>
          <w:rFonts w:ascii="仿宋_GB2312" w:hAnsi="仿宋" w:eastAsia="仿宋_GB2312" w:cs="仿宋"/>
          <w:color w:val="000000" w:themeColor="text1"/>
          <w:kern w:val="0"/>
          <w:sz w:val="32"/>
          <w:szCs w:val="32"/>
          <w14:textFill>
            <w14:solidFill>
              <w14:schemeClr w14:val="tx1"/>
            </w14:solidFill>
          </w14:textFill>
        </w:rPr>
      </w:pPr>
      <w:r>
        <w:rPr>
          <w:rFonts w:hint="eastAsia" w:ascii="仿宋_GB2312" w:hAnsi="仿宋" w:eastAsia="仿宋_GB2312" w:cs="仿宋"/>
          <w:color w:val="000000" w:themeColor="text1"/>
          <w:kern w:val="0"/>
          <w:sz w:val="32"/>
          <w:szCs w:val="32"/>
          <w14:textFill>
            <w14:solidFill>
              <w14:schemeClr w14:val="tx1"/>
            </w14:solidFill>
          </w14:textFill>
        </w:rPr>
        <w:t>我县政府信息公开工作虽然取得了长足进步，但与国家、省、市日益提高的公开要求和人民群众日益增长的信息需求相比，还有很大差距，主要表现在：主动公开政府信息意识不强，个别部门、单位不愿公开政府信息，缺乏工作积极性和主动性；公开的广度深度有待拓展，决策公开、结果公开与社会公众的期望仍有一定差距；政策解读回应不到位，解读形式较为单一，回应和互动力度有待加强。上述问题需要今后重点加以改进。</w:t>
      </w:r>
    </w:p>
    <w:p>
      <w:pPr>
        <w:pStyle w:val="8"/>
        <w:widowControl/>
        <w:spacing w:after="0" w:line="560" w:lineRule="exact"/>
        <w:ind w:firstLine="643" w:firstLineChars="200"/>
        <w:jc w:val="both"/>
        <w:rPr>
          <w:rFonts w:ascii="楷体_GB2312" w:hAnsi="黑体" w:eastAsia="楷体_GB2312"/>
          <w:b/>
          <w:sz w:val="32"/>
          <w:szCs w:val="32"/>
        </w:rPr>
      </w:pPr>
      <w:r>
        <w:rPr>
          <w:rFonts w:hint="eastAsia" w:ascii="楷体_GB2312" w:hAnsi="黑体" w:eastAsia="楷体_GB2312"/>
          <w:b/>
          <w:sz w:val="32"/>
          <w:szCs w:val="32"/>
        </w:rPr>
        <w:t>（二）改进措施</w:t>
      </w:r>
    </w:p>
    <w:p>
      <w:pPr>
        <w:spacing w:line="560" w:lineRule="exact"/>
        <w:ind w:firstLine="640" w:firstLineChars="200"/>
        <w:jc w:val="left"/>
        <w:outlineLvl w:val="0"/>
        <w:rPr>
          <w:rFonts w:ascii="仿宋_GB2312" w:hAnsi="仿宋" w:eastAsia="仿宋_GB2312" w:cs="仿宋"/>
          <w:color w:val="000000" w:themeColor="text1"/>
          <w:kern w:val="0"/>
          <w:sz w:val="32"/>
          <w:szCs w:val="32"/>
          <w14:textFill>
            <w14:solidFill>
              <w14:schemeClr w14:val="tx1"/>
            </w14:solidFill>
          </w14:textFill>
        </w:rPr>
      </w:pPr>
      <w:r>
        <w:rPr>
          <w:rFonts w:hint="eastAsia" w:ascii="仿宋_GB2312" w:hAnsi="仿宋" w:eastAsia="仿宋_GB2312" w:cs="仿宋"/>
          <w:color w:val="000000" w:themeColor="text1"/>
          <w:kern w:val="0"/>
          <w:sz w:val="32"/>
          <w:szCs w:val="32"/>
          <w14:textFill>
            <w14:solidFill>
              <w14:schemeClr w14:val="tx1"/>
            </w14:solidFill>
          </w14:textFill>
        </w:rPr>
        <w:t>下一步，我县将认真贯彻落实《</w:t>
      </w:r>
      <w:r>
        <w:rPr>
          <w:rFonts w:hint="eastAsia" w:ascii="仿宋_GB2312" w:hAnsi="仿宋" w:eastAsia="仿宋_GB2312" w:cs="仿宋"/>
          <w:color w:val="000000" w:themeColor="text1"/>
          <w:sz w:val="32"/>
          <w:szCs w:val="32"/>
          <w14:textFill>
            <w14:solidFill>
              <w14:schemeClr w14:val="tx1"/>
            </w14:solidFill>
          </w14:textFill>
        </w:rPr>
        <w:t>中华人民共和国政府信息公开条例</w:t>
      </w:r>
      <w:r>
        <w:rPr>
          <w:rFonts w:hint="eastAsia" w:ascii="仿宋_GB2312" w:hAnsi="仿宋" w:eastAsia="仿宋_GB2312" w:cs="仿宋"/>
          <w:color w:val="000000" w:themeColor="text1"/>
          <w:kern w:val="0"/>
          <w:sz w:val="32"/>
          <w:szCs w:val="32"/>
          <w14:textFill>
            <w14:solidFill>
              <w14:schemeClr w14:val="tx1"/>
            </w14:solidFill>
          </w14:textFill>
        </w:rPr>
        <w:t>》等各项公开工作部署，坚持“公开为常态，不公开为例外”原则，扩大公开范围，拓展公开渠道，强化监督考核，提升公开质量和水平。</w:t>
      </w:r>
    </w:p>
    <w:p>
      <w:pPr>
        <w:spacing w:line="560" w:lineRule="exact"/>
        <w:ind w:firstLine="640" w:firstLineChars="200"/>
        <w:jc w:val="left"/>
        <w:outlineLvl w:val="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一是健全体制机制。根据政务公开新任务新要求新职责，加强政务公开机构建设、人员配备和经费保障，明确工作承担机构，配齐配强工作人员。二是规范政府信息公开。结合新修订的《中华人民共和国政府信息公开条例》，制定出台推进政务公开的具体方案，调整完善相关配套措施，严格落实新《条例》各项规定，梳理政务公开栏目内容，不断优化信息发布形式。三是加强日常督查考核。完善政务公开常态化督导体系，通过制定台账、电话调度、重点督查等形式，定期进行调度检查，强化激励约束，推动政务公开工作实现新突破。</w:t>
      </w:r>
    </w:p>
    <w:p>
      <w:pPr>
        <w:spacing w:line="560" w:lineRule="exact"/>
        <w:ind w:firstLine="640" w:firstLineChars="200"/>
        <w:jc w:val="left"/>
        <w:outlineLvl w:val="0"/>
        <w:rPr>
          <w:rFonts w:ascii="黑体" w:hAnsi="黑体" w:eastAsia="黑体"/>
          <w:sz w:val="32"/>
          <w:szCs w:val="32"/>
        </w:rPr>
      </w:pPr>
      <w:r>
        <w:rPr>
          <w:rFonts w:hint="eastAsia" w:ascii="黑体" w:hAnsi="黑体" w:eastAsia="黑体"/>
          <w:sz w:val="32"/>
          <w:szCs w:val="32"/>
        </w:rPr>
        <w:t>六、其他需要报告的事项</w:t>
      </w:r>
    </w:p>
    <w:p>
      <w:pPr>
        <w:spacing w:line="560" w:lineRule="exact"/>
        <w:ind w:firstLine="576" w:firstLineChars="180"/>
        <w:rPr>
          <w:rFonts w:ascii="仿宋_GB2312" w:eastAsia="仿宋_GB2312"/>
          <w:sz w:val="32"/>
          <w:szCs w:val="32"/>
        </w:rPr>
      </w:pPr>
      <w:r>
        <w:rPr>
          <w:rFonts w:hint="eastAsia" w:ascii="仿宋_GB2312" w:eastAsia="仿宋_GB2312"/>
          <w:sz w:val="32"/>
          <w:szCs w:val="32"/>
        </w:rPr>
        <w:t>本报告所列数据可能因四舍五入原因与数据直接相加之和存在尾数差异。</w:t>
      </w:r>
    </w:p>
    <w:p>
      <w:pPr>
        <w:pStyle w:val="8"/>
        <w:widowControl/>
        <w:spacing w:after="0" w:line="560" w:lineRule="exact"/>
        <w:ind w:firstLine="640" w:firstLineChars="200"/>
        <w:jc w:val="both"/>
        <w:rPr>
          <w:rFonts w:ascii="仿宋_GB2312" w:hAnsi="仿宋" w:eastAsia="仿宋_GB2312" w:cs="仿宋"/>
          <w:color w:val="000000" w:themeColor="text1"/>
          <w:sz w:val="32"/>
          <w:szCs w:val="32"/>
          <w14:textFill>
            <w14:solidFill>
              <w14:schemeClr w14:val="tx1"/>
            </w14:solidFill>
          </w14:textFill>
        </w:rPr>
      </w:pPr>
    </w:p>
    <w:p>
      <w:pPr>
        <w:pStyle w:val="8"/>
        <w:widowControl/>
        <w:spacing w:after="0" w:line="560" w:lineRule="exact"/>
        <w:ind w:firstLine="640" w:firstLineChars="200"/>
        <w:jc w:val="both"/>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 xml:space="preserve"> </w:t>
      </w:r>
    </w:p>
    <w:p>
      <w:pPr>
        <w:pStyle w:val="8"/>
        <w:widowControl/>
        <w:spacing w:after="0" w:line="560" w:lineRule="exact"/>
        <w:ind w:firstLine="640" w:firstLineChars="200"/>
        <w:jc w:val="both"/>
        <w:rPr>
          <w:rFonts w:ascii="仿宋_GB2312" w:hAnsi="仿宋" w:eastAsia="仿宋_GB2312" w:cs="仿宋"/>
          <w:color w:val="000000" w:themeColor="text1"/>
          <w:sz w:val="32"/>
          <w:szCs w:val="32"/>
          <w14:textFill>
            <w14:solidFill>
              <w14:schemeClr w14:val="tx1"/>
            </w14:solidFill>
          </w14:textFill>
        </w:rPr>
      </w:pPr>
    </w:p>
    <w:p>
      <w:pPr>
        <w:spacing w:line="560" w:lineRule="exact"/>
      </w:pPr>
      <w:bookmarkStart w:id="0" w:name="_GoBack"/>
      <w:bookmarkEnd w:id="0"/>
    </w:p>
    <w:p>
      <w:pPr>
        <w:pStyle w:val="8"/>
        <w:widowControl/>
        <w:spacing w:after="0" w:line="560" w:lineRule="exact"/>
        <w:ind w:firstLine="640" w:firstLineChars="200"/>
        <w:jc w:val="both"/>
        <w:rPr>
          <w:rFonts w:ascii="仿宋_GB2312" w:hAnsi="仿宋" w:eastAsia="仿宋_GB2312" w:cs="仿宋"/>
          <w:color w:val="000000" w:themeColor="text1"/>
          <w:sz w:val="32"/>
          <w:szCs w:val="32"/>
          <w14:textFill>
            <w14:solidFill>
              <w14:schemeClr w14:val="tx1"/>
            </w14:solidFill>
          </w14:textFill>
        </w:rPr>
      </w:pPr>
    </w:p>
    <w:p>
      <w:pPr>
        <w:pStyle w:val="8"/>
        <w:widowControl/>
        <w:spacing w:after="0" w:line="560" w:lineRule="exact"/>
        <w:ind w:firstLine="640" w:firstLineChars="200"/>
        <w:jc w:val="both"/>
        <w:rPr>
          <w:rFonts w:ascii="仿宋_GB2312" w:hAnsi="仿宋" w:eastAsia="仿宋_GB2312" w:cs="仿宋"/>
          <w:color w:val="000000" w:themeColor="text1"/>
          <w:sz w:val="32"/>
          <w:szCs w:val="32"/>
          <w14:textFill>
            <w14:solidFill>
              <w14:schemeClr w14:val="tx1"/>
            </w14:solidFill>
          </w14:textFill>
        </w:rPr>
      </w:pPr>
    </w:p>
    <w:p>
      <w:pPr>
        <w:pStyle w:val="8"/>
        <w:widowControl/>
        <w:spacing w:after="0" w:line="560" w:lineRule="exact"/>
        <w:ind w:firstLine="640" w:firstLineChars="200"/>
        <w:jc w:val="center"/>
        <w:rPr>
          <w:rFonts w:ascii="Times New Roman" w:hAnsi="Times New Roman" w:eastAsia="仿宋_GB2312"/>
          <w:kern w:val="22"/>
          <w:sz w:val="32"/>
          <w:szCs w:val="32"/>
        </w:rPr>
      </w:pPr>
    </w:p>
    <w:p>
      <w:pPr>
        <w:pStyle w:val="8"/>
        <w:widowControl/>
        <w:spacing w:after="0" w:line="560" w:lineRule="exact"/>
        <w:ind w:firstLine="640" w:firstLineChars="200"/>
        <w:jc w:val="both"/>
        <w:rPr>
          <w:rFonts w:ascii="仿宋_GB2312" w:hAnsi="仿宋" w:eastAsia="仿宋_GB2312" w:cs="仿宋"/>
          <w:color w:val="000000" w:themeColor="text1"/>
          <w:sz w:val="32"/>
          <w:szCs w:val="32"/>
          <w14:textFill>
            <w14:solidFill>
              <w14:schemeClr w14:val="tx1"/>
            </w14:solidFill>
          </w14:textFill>
        </w:rPr>
      </w:pPr>
    </w:p>
    <w:sectPr>
      <w:footerReference r:id="rId5"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Times New Roman"/>
    <w:panose1 w:val="00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62336" behindDoc="1" locked="0" layoutInCell="1" allowOverlap="1">
          <wp:simplePos x="0" y="0"/>
          <wp:positionH relativeFrom="page">
            <wp:align>right</wp:align>
          </wp:positionH>
          <wp:positionV relativeFrom="page">
            <wp:align>bottom</wp:align>
          </wp:positionV>
          <wp:extent cx="4041775" cy="1164590"/>
          <wp:effectExtent l="0" t="0" r="12065" b="889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
                  <a:stretch>
                    <a:fillRect/>
                  </a:stretch>
                </pic:blipFill>
                <pic:spPr>
                  <a:xfrm rot="10800000">
                    <a:off x="0" y="0"/>
                    <a:ext cx="4041775" cy="116459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ascii="仿宋_GB2312" w:hAnsi="仿宋_GB2312" w:eastAsia="仿宋_GB2312" w:cs="仿宋_GB2312"/>
                              <w:sz w:val="24"/>
                              <w:szCs w:val="24"/>
                            </w:rPr>
                            <w:t>- 15 -</w:t>
                          </w:r>
                          <w:r>
                            <w:rPr>
                              <w:rFonts w:hint="eastAsia" w:ascii="仿宋_GB2312" w:hAnsi="仿宋_GB2312" w:eastAsia="仿宋_GB2312" w:cs="仿宋_GB2312"/>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5"/>
                      <w:rPr>
                        <w:rFonts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ascii="仿宋_GB2312" w:hAnsi="仿宋_GB2312" w:eastAsia="仿宋_GB2312" w:cs="仿宋_GB2312"/>
                        <w:sz w:val="24"/>
                        <w:szCs w:val="24"/>
                      </w:rPr>
                      <w:t>- 15 -</w:t>
                    </w:r>
                    <w:r>
                      <w:rPr>
                        <w:rFonts w:hint="eastAsia" w:ascii="仿宋_GB2312" w:hAnsi="仿宋_GB2312" w:eastAsia="仿宋_GB2312" w:cs="仿宋_GB2312"/>
                        <w:sz w:val="24"/>
                        <w:szCs w:val="24"/>
                      </w:rPr>
                      <w:fldChar w:fldCharType="end"/>
                    </w:r>
                  </w:p>
                </w:txbxContent>
              </v:textbox>
            </v:shape>
          </w:pict>
        </mc:Fallback>
      </mc:AlternateConten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51660288" behindDoc="1" locked="0" layoutInCell="1" allowOverlap="1">
          <wp:simplePos x="0" y="0"/>
          <wp:positionH relativeFrom="page">
            <wp:align>left</wp:align>
          </wp:positionH>
          <wp:positionV relativeFrom="page">
            <wp:align>top</wp:align>
          </wp:positionV>
          <wp:extent cx="4041775" cy="1164590"/>
          <wp:effectExtent l="0" t="0" r="12065" b="889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
                  <a:stretch>
                    <a:fillRect/>
                  </a:stretch>
                </pic:blipFill>
                <pic:spPr>
                  <a:xfrm>
                    <a:off x="0" y="0"/>
                    <a:ext cx="4041775" cy="1164590"/>
                  </a:xfrm>
                  <a:prstGeom prst="rect">
                    <a:avLst/>
                  </a:prstGeom>
                  <a:noFill/>
                  <a:ln>
                    <a:noFill/>
                  </a:ln>
                </pic:spPr>
              </pic:pic>
            </a:graphicData>
          </a:graphic>
        </wp:anchor>
      </w:drawing>
    </w:r>
    <w:r>
      <w:rPr>
        <w:rFonts w:hint="eastAsia" w:ascii="仿宋_GB2312" w:hAnsi="仿宋_GB2312" w:eastAsia="仿宋_GB2312" w:cs="仿宋_GB2312"/>
        <w:sz w:val="24"/>
        <w:szCs w:val="24"/>
      </w:rPr>
      <w:t>高青县</w:t>
    </w:r>
    <w:r>
      <w:rPr>
        <w:rFonts w:hint="eastAsia" w:ascii="仿宋_GB2312" w:hAnsi="仿宋_GB2312" w:eastAsia="仿宋_GB2312" w:cs="仿宋_GB2312"/>
        <w:sz w:val="24"/>
        <w:szCs w:val="24"/>
        <w:lang w:val="en-US" w:eastAsia="zh-CN"/>
      </w:rPr>
      <w:t>人民政府</w:t>
    </w:r>
    <w:r>
      <w:rPr>
        <w:rFonts w:hint="eastAsia" w:ascii="仿宋_GB2312" w:hAnsi="仿宋_GB2312" w:eastAsia="仿宋_GB2312" w:cs="仿宋_GB2312"/>
        <w:sz w:val="24"/>
        <w:szCs w:val="24"/>
      </w:rPr>
      <w:t>2019年政府信息公开工作年度报告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0NDljNmFiMzFkY2ZjZmQ4N2MzMDQyM2Q3NzlkMzMifQ=="/>
  </w:docVars>
  <w:rsids>
    <w:rsidRoot w:val="00AB4557"/>
    <w:rsid w:val="00004CF5"/>
    <w:rsid w:val="0000725E"/>
    <w:rsid w:val="00010331"/>
    <w:rsid w:val="000212FD"/>
    <w:rsid w:val="00024E42"/>
    <w:rsid w:val="000345B4"/>
    <w:rsid w:val="00035216"/>
    <w:rsid w:val="00061B07"/>
    <w:rsid w:val="0006501F"/>
    <w:rsid w:val="00065C69"/>
    <w:rsid w:val="000672CE"/>
    <w:rsid w:val="00093F81"/>
    <w:rsid w:val="00094B75"/>
    <w:rsid w:val="000A057B"/>
    <w:rsid w:val="000B000A"/>
    <w:rsid w:val="000C43E2"/>
    <w:rsid w:val="000D1696"/>
    <w:rsid w:val="000D2527"/>
    <w:rsid w:val="000D3D1E"/>
    <w:rsid w:val="000D502C"/>
    <w:rsid w:val="000E3958"/>
    <w:rsid w:val="000F383D"/>
    <w:rsid w:val="000F7B6C"/>
    <w:rsid w:val="00103D8A"/>
    <w:rsid w:val="00104B97"/>
    <w:rsid w:val="00115736"/>
    <w:rsid w:val="001205A9"/>
    <w:rsid w:val="001215E4"/>
    <w:rsid w:val="001328B3"/>
    <w:rsid w:val="00136EBD"/>
    <w:rsid w:val="001375ED"/>
    <w:rsid w:val="0015335B"/>
    <w:rsid w:val="001551B9"/>
    <w:rsid w:val="00156800"/>
    <w:rsid w:val="00156AFE"/>
    <w:rsid w:val="0015752F"/>
    <w:rsid w:val="00164C2C"/>
    <w:rsid w:val="00165287"/>
    <w:rsid w:val="00172D61"/>
    <w:rsid w:val="00177AFC"/>
    <w:rsid w:val="00187E46"/>
    <w:rsid w:val="0019292B"/>
    <w:rsid w:val="00192EAC"/>
    <w:rsid w:val="00195276"/>
    <w:rsid w:val="00195C7C"/>
    <w:rsid w:val="001A052A"/>
    <w:rsid w:val="001A4452"/>
    <w:rsid w:val="001B463C"/>
    <w:rsid w:val="001C2DCD"/>
    <w:rsid w:val="001C6CB8"/>
    <w:rsid w:val="001D01BA"/>
    <w:rsid w:val="001E256B"/>
    <w:rsid w:val="001E3D4C"/>
    <w:rsid w:val="001E7B38"/>
    <w:rsid w:val="001F1D4F"/>
    <w:rsid w:val="001F3CA4"/>
    <w:rsid w:val="001F3D15"/>
    <w:rsid w:val="001F53D4"/>
    <w:rsid w:val="00203EC3"/>
    <w:rsid w:val="00213531"/>
    <w:rsid w:val="00213CFE"/>
    <w:rsid w:val="00216B90"/>
    <w:rsid w:val="00221CC4"/>
    <w:rsid w:val="00227902"/>
    <w:rsid w:val="00234602"/>
    <w:rsid w:val="00244E3E"/>
    <w:rsid w:val="00263708"/>
    <w:rsid w:val="00263B33"/>
    <w:rsid w:val="002834ED"/>
    <w:rsid w:val="00286C8A"/>
    <w:rsid w:val="0029336A"/>
    <w:rsid w:val="002A647C"/>
    <w:rsid w:val="002B625C"/>
    <w:rsid w:val="002C58DB"/>
    <w:rsid w:val="002D6EBB"/>
    <w:rsid w:val="002D74A7"/>
    <w:rsid w:val="002D7DB8"/>
    <w:rsid w:val="002E5D54"/>
    <w:rsid w:val="0030230A"/>
    <w:rsid w:val="0031159C"/>
    <w:rsid w:val="00326584"/>
    <w:rsid w:val="0033231B"/>
    <w:rsid w:val="003441BE"/>
    <w:rsid w:val="00346C4D"/>
    <w:rsid w:val="00361762"/>
    <w:rsid w:val="00363DDF"/>
    <w:rsid w:val="00370E69"/>
    <w:rsid w:val="00375878"/>
    <w:rsid w:val="00380933"/>
    <w:rsid w:val="0039205B"/>
    <w:rsid w:val="003938A3"/>
    <w:rsid w:val="003A230F"/>
    <w:rsid w:val="003A3153"/>
    <w:rsid w:val="003A473F"/>
    <w:rsid w:val="003A57D1"/>
    <w:rsid w:val="003B4B73"/>
    <w:rsid w:val="003C27DE"/>
    <w:rsid w:val="003C3846"/>
    <w:rsid w:val="003E2D20"/>
    <w:rsid w:val="003F52B2"/>
    <w:rsid w:val="003F6FE9"/>
    <w:rsid w:val="00406346"/>
    <w:rsid w:val="004076B3"/>
    <w:rsid w:val="00407BA9"/>
    <w:rsid w:val="004109E8"/>
    <w:rsid w:val="00410A4A"/>
    <w:rsid w:val="0041443C"/>
    <w:rsid w:val="004155DE"/>
    <w:rsid w:val="00436EA0"/>
    <w:rsid w:val="004373DC"/>
    <w:rsid w:val="004449B9"/>
    <w:rsid w:val="004479E3"/>
    <w:rsid w:val="00450790"/>
    <w:rsid w:val="004518C4"/>
    <w:rsid w:val="0045219A"/>
    <w:rsid w:val="0045733C"/>
    <w:rsid w:val="00462BD1"/>
    <w:rsid w:val="00463BD6"/>
    <w:rsid w:val="00464149"/>
    <w:rsid w:val="00470E57"/>
    <w:rsid w:val="00473B69"/>
    <w:rsid w:val="0048058E"/>
    <w:rsid w:val="0048124A"/>
    <w:rsid w:val="00481D4A"/>
    <w:rsid w:val="00494812"/>
    <w:rsid w:val="004A2D10"/>
    <w:rsid w:val="004C0559"/>
    <w:rsid w:val="004D3C26"/>
    <w:rsid w:val="004D460A"/>
    <w:rsid w:val="004D50F5"/>
    <w:rsid w:val="004E0762"/>
    <w:rsid w:val="004E1E7F"/>
    <w:rsid w:val="004E30D9"/>
    <w:rsid w:val="004F0C56"/>
    <w:rsid w:val="004F62DB"/>
    <w:rsid w:val="00505A1E"/>
    <w:rsid w:val="005064BA"/>
    <w:rsid w:val="00513D53"/>
    <w:rsid w:val="00514EF2"/>
    <w:rsid w:val="0051560E"/>
    <w:rsid w:val="005171BD"/>
    <w:rsid w:val="00530324"/>
    <w:rsid w:val="00530EFC"/>
    <w:rsid w:val="005354E1"/>
    <w:rsid w:val="005405CC"/>
    <w:rsid w:val="005419F2"/>
    <w:rsid w:val="00546499"/>
    <w:rsid w:val="0054791A"/>
    <w:rsid w:val="00555BD0"/>
    <w:rsid w:val="0058712D"/>
    <w:rsid w:val="00592243"/>
    <w:rsid w:val="005930D6"/>
    <w:rsid w:val="005B51C5"/>
    <w:rsid w:val="005B76E3"/>
    <w:rsid w:val="005C1AEC"/>
    <w:rsid w:val="005C48D2"/>
    <w:rsid w:val="005C79C4"/>
    <w:rsid w:val="005F2577"/>
    <w:rsid w:val="005F3E26"/>
    <w:rsid w:val="00605185"/>
    <w:rsid w:val="0062262B"/>
    <w:rsid w:val="00622752"/>
    <w:rsid w:val="00626C17"/>
    <w:rsid w:val="006373B2"/>
    <w:rsid w:val="00637DD1"/>
    <w:rsid w:val="00637F0D"/>
    <w:rsid w:val="006457E7"/>
    <w:rsid w:val="00650011"/>
    <w:rsid w:val="00653E08"/>
    <w:rsid w:val="006642C7"/>
    <w:rsid w:val="0066520B"/>
    <w:rsid w:val="00673AB3"/>
    <w:rsid w:val="006854F7"/>
    <w:rsid w:val="006933BA"/>
    <w:rsid w:val="006A1F8C"/>
    <w:rsid w:val="006B416F"/>
    <w:rsid w:val="006B7628"/>
    <w:rsid w:val="006C3A06"/>
    <w:rsid w:val="006D763F"/>
    <w:rsid w:val="006E0DFF"/>
    <w:rsid w:val="006F1821"/>
    <w:rsid w:val="006F1CA4"/>
    <w:rsid w:val="006F1D2B"/>
    <w:rsid w:val="006F770B"/>
    <w:rsid w:val="00712FC4"/>
    <w:rsid w:val="0071441F"/>
    <w:rsid w:val="00722C3E"/>
    <w:rsid w:val="00722E23"/>
    <w:rsid w:val="00732FAD"/>
    <w:rsid w:val="0073505F"/>
    <w:rsid w:val="007522A8"/>
    <w:rsid w:val="0075482D"/>
    <w:rsid w:val="00760D74"/>
    <w:rsid w:val="00761DD7"/>
    <w:rsid w:val="00762FB6"/>
    <w:rsid w:val="00773F1C"/>
    <w:rsid w:val="00776A6F"/>
    <w:rsid w:val="00783F8E"/>
    <w:rsid w:val="007A2408"/>
    <w:rsid w:val="007C3766"/>
    <w:rsid w:val="007D53E3"/>
    <w:rsid w:val="007D5E52"/>
    <w:rsid w:val="007E10E9"/>
    <w:rsid w:val="007F701A"/>
    <w:rsid w:val="008031F8"/>
    <w:rsid w:val="00806C7A"/>
    <w:rsid w:val="008074D5"/>
    <w:rsid w:val="00807FE9"/>
    <w:rsid w:val="008224B6"/>
    <w:rsid w:val="008226FB"/>
    <w:rsid w:val="00826BE4"/>
    <w:rsid w:val="00831B01"/>
    <w:rsid w:val="00841764"/>
    <w:rsid w:val="00843B00"/>
    <w:rsid w:val="00845A36"/>
    <w:rsid w:val="00850679"/>
    <w:rsid w:val="0085441B"/>
    <w:rsid w:val="008560C3"/>
    <w:rsid w:val="00890E5B"/>
    <w:rsid w:val="0089326A"/>
    <w:rsid w:val="008A1F1B"/>
    <w:rsid w:val="008A69B9"/>
    <w:rsid w:val="008A7057"/>
    <w:rsid w:val="008B1273"/>
    <w:rsid w:val="008C3881"/>
    <w:rsid w:val="008C7119"/>
    <w:rsid w:val="008D04B4"/>
    <w:rsid w:val="008D26C7"/>
    <w:rsid w:val="008D492B"/>
    <w:rsid w:val="008D51E4"/>
    <w:rsid w:val="008D6E8E"/>
    <w:rsid w:val="008E74CC"/>
    <w:rsid w:val="008E7927"/>
    <w:rsid w:val="008F15A5"/>
    <w:rsid w:val="008F7A5A"/>
    <w:rsid w:val="00904CA4"/>
    <w:rsid w:val="009102B2"/>
    <w:rsid w:val="0091387B"/>
    <w:rsid w:val="009160F6"/>
    <w:rsid w:val="009231FA"/>
    <w:rsid w:val="009413F6"/>
    <w:rsid w:val="009573F0"/>
    <w:rsid w:val="00961F0F"/>
    <w:rsid w:val="00973EB1"/>
    <w:rsid w:val="00976755"/>
    <w:rsid w:val="00981209"/>
    <w:rsid w:val="00996BFB"/>
    <w:rsid w:val="009A72A5"/>
    <w:rsid w:val="009B314C"/>
    <w:rsid w:val="009B6A99"/>
    <w:rsid w:val="009C1854"/>
    <w:rsid w:val="009C7FFB"/>
    <w:rsid w:val="009D23D6"/>
    <w:rsid w:val="009D399F"/>
    <w:rsid w:val="009D4EF4"/>
    <w:rsid w:val="009E6762"/>
    <w:rsid w:val="009F78F1"/>
    <w:rsid w:val="009F7AC8"/>
    <w:rsid w:val="00A00FA5"/>
    <w:rsid w:val="00A17F65"/>
    <w:rsid w:val="00A254D8"/>
    <w:rsid w:val="00A313A7"/>
    <w:rsid w:val="00A43397"/>
    <w:rsid w:val="00A4468D"/>
    <w:rsid w:val="00A77CA1"/>
    <w:rsid w:val="00A81B6C"/>
    <w:rsid w:val="00A9180A"/>
    <w:rsid w:val="00AA1919"/>
    <w:rsid w:val="00AA2CFC"/>
    <w:rsid w:val="00AB176E"/>
    <w:rsid w:val="00AB4557"/>
    <w:rsid w:val="00AE0624"/>
    <w:rsid w:val="00AE06D9"/>
    <w:rsid w:val="00AE4342"/>
    <w:rsid w:val="00AF0A0B"/>
    <w:rsid w:val="00AF6913"/>
    <w:rsid w:val="00B03267"/>
    <w:rsid w:val="00B11FB3"/>
    <w:rsid w:val="00B20805"/>
    <w:rsid w:val="00B23B66"/>
    <w:rsid w:val="00B25577"/>
    <w:rsid w:val="00B400F3"/>
    <w:rsid w:val="00B4577F"/>
    <w:rsid w:val="00B52341"/>
    <w:rsid w:val="00B53A4F"/>
    <w:rsid w:val="00B65017"/>
    <w:rsid w:val="00B731B9"/>
    <w:rsid w:val="00B76FE3"/>
    <w:rsid w:val="00BA1897"/>
    <w:rsid w:val="00BA3E56"/>
    <w:rsid w:val="00BB08FE"/>
    <w:rsid w:val="00BD2243"/>
    <w:rsid w:val="00BD7155"/>
    <w:rsid w:val="00BE00D7"/>
    <w:rsid w:val="00BE0203"/>
    <w:rsid w:val="00BE509B"/>
    <w:rsid w:val="00BE618C"/>
    <w:rsid w:val="00BE6B75"/>
    <w:rsid w:val="00C00A2D"/>
    <w:rsid w:val="00C02A79"/>
    <w:rsid w:val="00C048E7"/>
    <w:rsid w:val="00C0791E"/>
    <w:rsid w:val="00C2096B"/>
    <w:rsid w:val="00C24168"/>
    <w:rsid w:val="00C27137"/>
    <w:rsid w:val="00C32825"/>
    <w:rsid w:val="00C34FCB"/>
    <w:rsid w:val="00C35E2F"/>
    <w:rsid w:val="00C45260"/>
    <w:rsid w:val="00C60144"/>
    <w:rsid w:val="00C6017A"/>
    <w:rsid w:val="00C727B3"/>
    <w:rsid w:val="00C76D2E"/>
    <w:rsid w:val="00C81116"/>
    <w:rsid w:val="00C91587"/>
    <w:rsid w:val="00C95677"/>
    <w:rsid w:val="00CA1054"/>
    <w:rsid w:val="00CA1A71"/>
    <w:rsid w:val="00CA1FCF"/>
    <w:rsid w:val="00CA3057"/>
    <w:rsid w:val="00CB1438"/>
    <w:rsid w:val="00CB2E2A"/>
    <w:rsid w:val="00CB7F25"/>
    <w:rsid w:val="00CC518B"/>
    <w:rsid w:val="00CC7C0B"/>
    <w:rsid w:val="00CE03CA"/>
    <w:rsid w:val="00CE2166"/>
    <w:rsid w:val="00D017A8"/>
    <w:rsid w:val="00D22310"/>
    <w:rsid w:val="00D23448"/>
    <w:rsid w:val="00D24292"/>
    <w:rsid w:val="00D33970"/>
    <w:rsid w:val="00D40D23"/>
    <w:rsid w:val="00D45D0C"/>
    <w:rsid w:val="00D54B8B"/>
    <w:rsid w:val="00D62C9A"/>
    <w:rsid w:val="00D6313B"/>
    <w:rsid w:val="00D63AE0"/>
    <w:rsid w:val="00D744EE"/>
    <w:rsid w:val="00D75309"/>
    <w:rsid w:val="00D75948"/>
    <w:rsid w:val="00D77BF0"/>
    <w:rsid w:val="00DA48B9"/>
    <w:rsid w:val="00DB58B6"/>
    <w:rsid w:val="00DC10F2"/>
    <w:rsid w:val="00DC7B85"/>
    <w:rsid w:val="00DD059C"/>
    <w:rsid w:val="00DD3FEE"/>
    <w:rsid w:val="00DD499D"/>
    <w:rsid w:val="00DE1483"/>
    <w:rsid w:val="00DE5064"/>
    <w:rsid w:val="00DE563C"/>
    <w:rsid w:val="00DE7F16"/>
    <w:rsid w:val="00DF2952"/>
    <w:rsid w:val="00DF3350"/>
    <w:rsid w:val="00E00C8D"/>
    <w:rsid w:val="00E06EF1"/>
    <w:rsid w:val="00E12972"/>
    <w:rsid w:val="00E151D4"/>
    <w:rsid w:val="00E21966"/>
    <w:rsid w:val="00E27EC9"/>
    <w:rsid w:val="00E322B9"/>
    <w:rsid w:val="00E43625"/>
    <w:rsid w:val="00E5216B"/>
    <w:rsid w:val="00E653F7"/>
    <w:rsid w:val="00E66665"/>
    <w:rsid w:val="00E66F54"/>
    <w:rsid w:val="00EA387C"/>
    <w:rsid w:val="00EB5170"/>
    <w:rsid w:val="00EC0864"/>
    <w:rsid w:val="00EC5ACD"/>
    <w:rsid w:val="00ED48D7"/>
    <w:rsid w:val="00ED6409"/>
    <w:rsid w:val="00EE2917"/>
    <w:rsid w:val="00EE6BCA"/>
    <w:rsid w:val="00EE7323"/>
    <w:rsid w:val="00EE7AD5"/>
    <w:rsid w:val="00F11A19"/>
    <w:rsid w:val="00F151FB"/>
    <w:rsid w:val="00F21073"/>
    <w:rsid w:val="00F2143F"/>
    <w:rsid w:val="00F40E98"/>
    <w:rsid w:val="00F43D52"/>
    <w:rsid w:val="00F462FC"/>
    <w:rsid w:val="00F537A3"/>
    <w:rsid w:val="00F65EEC"/>
    <w:rsid w:val="00F74FA4"/>
    <w:rsid w:val="00F75B1D"/>
    <w:rsid w:val="00F84453"/>
    <w:rsid w:val="00F939D0"/>
    <w:rsid w:val="00FA50B3"/>
    <w:rsid w:val="00FB073B"/>
    <w:rsid w:val="00FB5EF6"/>
    <w:rsid w:val="00FC101F"/>
    <w:rsid w:val="00FC2F58"/>
    <w:rsid w:val="00FC4EF6"/>
    <w:rsid w:val="00FC53FA"/>
    <w:rsid w:val="00FD2FA1"/>
    <w:rsid w:val="00FD4423"/>
    <w:rsid w:val="00FD4664"/>
    <w:rsid w:val="00FD78B7"/>
    <w:rsid w:val="00FE0A2A"/>
    <w:rsid w:val="00FE0F1E"/>
    <w:rsid w:val="00FE729E"/>
    <w:rsid w:val="00FF041C"/>
    <w:rsid w:val="14520B90"/>
    <w:rsid w:val="18DE5F3B"/>
    <w:rsid w:val="5D2A481A"/>
    <w:rsid w:val="6DB906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link w:val="14"/>
    <w:qFormat/>
    <w:uiPriority w:val="99"/>
    <w:pPr>
      <w:keepNext/>
      <w:keepLines/>
      <w:spacing w:before="260" w:after="260" w:line="416" w:lineRule="auto"/>
      <w:outlineLvl w:val="2"/>
    </w:pPr>
    <w:rPr>
      <w:rFonts w:ascii="??" w:hAnsi="??" w:cs="??"/>
      <w:b/>
      <w:bCs/>
      <w:sz w:val="32"/>
      <w:szCs w:val="32"/>
    </w:rPr>
  </w:style>
  <w:style w:type="character" w:default="1" w:styleId="11">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w:basedOn w:val="1"/>
    <w:link w:val="18"/>
    <w:qFormat/>
    <w:uiPriority w:val="0"/>
    <w:pPr>
      <w:spacing w:after="120"/>
    </w:pPr>
    <w:rPr>
      <w:rFonts w:ascii="Times New Roman" w:hAnsi="Times New Roman" w:eastAsia="仿宋_GB2312" w:cs="仿宋_GB2312"/>
      <w:bCs/>
      <w:sz w:val="32"/>
      <w:szCs w:val="32"/>
    </w:rPr>
  </w:style>
  <w:style w:type="paragraph" w:styleId="4">
    <w:name w:val="Balloon Text"/>
    <w:basedOn w:val="1"/>
    <w:link w:val="16"/>
    <w:semiHidden/>
    <w:unhideWhenUsed/>
    <w:qFormat/>
    <w:uiPriority w:val="99"/>
    <w:rPr>
      <w:sz w:val="18"/>
      <w:szCs w:val="18"/>
    </w:rPr>
  </w:style>
  <w:style w:type="paragraph" w:styleId="5">
    <w:name w:val="footer"/>
    <w:basedOn w:val="1"/>
    <w:link w:val="13"/>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7">
    <w:name w:val="footnote text"/>
    <w:basedOn w:val="1"/>
    <w:link w:val="17"/>
    <w:qFormat/>
    <w:uiPriority w:val="99"/>
    <w:pPr>
      <w:snapToGrid w:val="0"/>
      <w:jc w:val="left"/>
    </w:pPr>
    <w:rPr>
      <w:sz w:val="18"/>
      <w:szCs w:val="18"/>
    </w:rPr>
  </w:style>
  <w:style w:type="paragraph" w:styleId="8">
    <w:name w:val="Normal (Web)"/>
    <w:basedOn w:val="1"/>
    <w:qFormat/>
    <w:uiPriority w:val="0"/>
    <w:pPr>
      <w:spacing w:after="150"/>
      <w:jc w:val="left"/>
    </w:pPr>
    <w:rPr>
      <w:kern w:val="0"/>
      <w:sz w:val="24"/>
    </w:rPr>
  </w:style>
  <w:style w:type="table" w:styleId="10">
    <w:name w:val="Table Grid"/>
    <w:basedOn w:val="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页眉 Char"/>
    <w:basedOn w:val="11"/>
    <w:link w:val="6"/>
    <w:uiPriority w:val="99"/>
    <w:rPr>
      <w:sz w:val="18"/>
      <w:szCs w:val="18"/>
    </w:rPr>
  </w:style>
  <w:style w:type="character" w:customStyle="1" w:styleId="13">
    <w:name w:val="页脚 Char"/>
    <w:basedOn w:val="11"/>
    <w:link w:val="5"/>
    <w:qFormat/>
    <w:uiPriority w:val="99"/>
    <w:rPr>
      <w:sz w:val="18"/>
      <w:szCs w:val="18"/>
    </w:rPr>
  </w:style>
  <w:style w:type="character" w:customStyle="1" w:styleId="14">
    <w:name w:val="标题 3 Char"/>
    <w:basedOn w:val="11"/>
    <w:link w:val="2"/>
    <w:qFormat/>
    <w:uiPriority w:val="99"/>
    <w:rPr>
      <w:rFonts w:ascii="??" w:hAnsi="??" w:eastAsia="宋体" w:cs="??"/>
      <w:b/>
      <w:bCs/>
      <w:sz w:val="32"/>
      <w:szCs w:val="32"/>
    </w:rPr>
  </w:style>
  <w:style w:type="paragraph" w:customStyle="1" w:styleId="15">
    <w:name w:val="正文 New"/>
    <w:uiPriority w:val="0"/>
    <w:pPr>
      <w:widowControl w:val="0"/>
      <w:jc w:val="both"/>
    </w:pPr>
    <w:rPr>
      <w:rFonts w:ascii="Times New Roman" w:hAnsi="Times New Roman" w:eastAsia="宋体" w:cs="Times New Roman"/>
      <w:kern w:val="2"/>
      <w:sz w:val="21"/>
      <w:lang w:val="en-US" w:eastAsia="zh-CN" w:bidi="ar-SA"/>
    </w:rPr>
  </w:style>
  <w:style w:type="character" w:customStyle="1" w:styleId="16">
    <w:name w:val="批注框文本 Char"/>
    <w:basedOn w:val="11"/>
    <w:link w:val="4"/>
    <w:semiHidden/>
    <w:uiPriority w:val="99"/>
    <w:rPr>
      <w:rFonts w:ascii="Calibri" w:hAnsi="Calibri" w:eastAsia="宋体" w:cs="Times New Roman"/>
      <w:sz w:val="18"/>
      <w:szCs w:val="18"/>
    </w:rPr>
  </w:style>
  <w:style w:type="character" w:customStyle="1" w:styleId="17">
    <w:name w:val="脚注文本 Char"/>
    <w:basedOn w:val="11"/>
    <w:link w:val="7"/>
    <w:uiPriority w:val="99"/>
    <w:rPr>
      <w:rFonts w:ascii="Calibri" w:hAnsi="Calibri" w:eastAsia="宋体" w:cs="Times New Roman"/>
      <w:sz w:val="18"/>
      <w:szCs w:val="18"/>
    </w:rPr>
  </w:style>
  <w:style w:type="character" w:customStyle="1" w:styleId="18">
    <w:name w:val="正文文本 Char"/>
    <w:basedOn w:val="11"/>
    <w:link w:val="3"/>
    <w:uiPriority w:val="0"/>
    <w:rPr>
      <w:rFonts w:ascii="Times New Roman" w:hAnsi="Times New Roman" w:eastAsia="仿宋_GB2312" w:cs="仿宋_GB2312"/>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依申请公开办理结果统计</a:t>
            </a:r>
            <a:endParaRPr lang="zh-CN" altLang="en-US"/>
          </a:p>
        </c:rich>
      </c:tx>
      <c:layout/>
      <c:overlay val="0"/>
    </c:title>
    <c:autoTitleDeleted val="0"/>
    <c:plotArea>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Lbls>
            <c:dLbl>
              <c:idx val="0"/>
              <c:layout>
                <c:manualLayout>
                  <c:x val="0.0573561347857173"/>
                  <c:y val="0.13962111923563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62403166320717"/>
                  <c:y val="0.0077132474858809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17220487013728"/>
                  <c:y val="0.079525255541226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07186122806617"/>
                  <c:y val="0.15281810038688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35233852008171"/>
                  <c:y val="-0.0038205716246005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168186208540162"/>
                  <c:y val="0.0052559859222036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4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Sheet1!$G$10:$G$15</c:f>
              <c:strCache>
                <c:ptCount val="6"/>
                <c:pt idx="0">
                  <c:v>予以公开</c:v>
                </c:pt>
                <c:pt idx="1">
                  <c:v>部分公开</c:v>
                </c:pt>
                <c:pt idx="2">
                  <c:v>不予公开</c:v>
                </c:pt>
                <c:pt idx="3">
                  <c:v>无法提供</c:v>
                </c:pt>
                <c:pt idx="4">
                  <c:v>不予处理</c:v>
                </c:pt>
                <c:pt idx="5">
                  <c:v>其他处理</c:v>
                </c:pt>
              </c:strCache>
            </c:strRef>
          </c:cat>
          <c:val>
            <c:numRef>
              <c:f>Sheet1!$H$10:$H$15</c:f>
              <c:numCache>
                <c:formatCode>0.00%</c:formatCode>
                <c:ptCount val="6"/>
                <c:pt idx="0">
                  <c:v>0.2542</c:v>
                </c:pt>
                <c:pt idx="1">
                  <c:v>0.0678</c:v>
                </c:pt>
                <c:pt idx="2">
                  <c:v>0.1017</c:v>
                </c:pt>
                <c:pt idx="3">
                  <c:v>0.5763</c:v>
                </c:pt>
                <c:pt idx="4" c:formatCode="0%">
                  <c:v>0</c:v>
                </c:pt>
                <c:pt idx="5" c:formatCode="0%">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96344378325157"/>
          <c:y val="0.465461793867509"/>
          <c:w val="0.176826749234206"/>
          <c:h val="0.47693857186006"/>
        </c:manualLayout>
      </c:layout>
      <c:overlay val="0"/>
      <c:txPr>
        <a:bodyPr rot="0" spcFirstLastPara="0" vertOverflow="ellipsis" vert="horz" wrap="square" anchor="ctr" anchorCtr="1"/>
        <a:lstStyle/>
        <a:p>
          <a:pPr>
            <a:defRPr lang="zh-CN" sz="1400" b="0" i="0" u="none" strike="noStrike" kern="1200" baseline="0">
              <a:solidFill>
                <a:schemeClr val="tx1"/>
              </a:solidFill>
              <a:latin typeface="+mn-lt"/>
              <a:ea typeface="+mn-ea"/>
              <a:cs typeface="+mn-cs"/>
            </a:defRPr>
          </a:pPr>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被提起行政复议结果统计</a:t>
            </a:r>
            <a:endParaRPr lang="zh-CN" altLang="en-US"/>
          </a:p>
        </c:rich>
      </c:tx>
      <c:layout/>
      <c:overlay val="0"/>
    </c:title>
    <c:autoTitleDeleted val="0"/>
    <c:plotArea>
      <c:layout/>
      <c:pieChart>
        <c:varyColors val="1"/>
        <c:ser>
          <c:idx val="0"/>
          <c:order val="0"/>
          <c:explosion val="0"/>
          <c:dPt>
            <c:idx val="0"/>
            <c:bubble3D val="0"/>
          </c:dPt>
          <c:dPt>
            <c:idx val="1"/>
            <c:bubble3D val="0"/>
          </c:dPt>
          <c:dPt>
            <c:idx val="2"/>
            <c:bubble3D val="0"/>
          </c:dPt>
          <c:dLbls>
            <c:dLbl>
              <c:idx val="0"/>
              <c:layout>
                <c:manualLayout>
                  <c:x val="0.0725165135608049"/>
                  <c:y val="0.03896689997083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711938976377953"/>
                  <c:y val="-0.020666739574219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810598206474191"/>
                  <c:y val="-0.0050648877223680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Sheet1!$D$39:$D$41</c:f>
              <c:strCache>
                <c:ptCount val="3"/>
                <c:pt idx="0">
                  <c:v>结果维持</c:v>
                </c:pt>
                <c:pt idx="1">
                  <c:v>结果纠正</c:v>
                </c:pt>
                <c:pt idx="2">
                  <c:v>其他结果</c:v>
                </c:pt>
              </c:strCache>
            </c:strRef>
          </c:cat>
          <c:val>
            <c:numRef>
              <c:f>Sheet1!$E$39:$E$41</c:f>
              <c:numCache>
                <c:formatCode>0.00%</c:formatCode>
                <c:ptCount val="3"/>
                <c:pt idx="0">
                  <c:v>0.333</c:v>
                </c:pt>
                <c:pt idx="1">
                  <c:v>0.5</c:v>
                </c:pt>
                <c:pt idx="2">
                  <c:v>0.167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80041557305337"/>
          <c:y val="0.650206692913386"/>
          <c:w val="0.180106781740171"/>
          <c:h val="0.271741470321601"/>
        </c:manualLayout>
      </c:layout>
      <c:overlay val="0"/>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1AB150-F72E-4BF1-A270-0311FB4E5AD3}">
  <ds:schemaRefs/>
</ds:datastoreItem>
</file>

<file path=docProps/app.xml><?xml version="1.0" encoding="utf-8"?>
<Properties xmlns="http://schemas.openxmlformats.org/officeDocument/2006/extended-properties" xmlns:vt="http://schemas.openxmlformats.org/officeDocument/2006/docPropsVTypes">
  <Template>Normal</Template>
  <Company>gq</Company>
  <Pages>19</Pages>
  <Words>6662</Words>
  <Characters>7045</Characters>
  <Lines>53</Lines>
  <Paragraphs>15</Paragraphs>
  <TotalTime>87</TotalTime>
  <ScaleCrop>false</ScaleCrop>
  <LinksUpToDate>false</LinksUpToDate>
  <CharactersWithSpaces>7048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2020-06-13T07:36:00Z</dcterms:created>
  <dc:creator>xiaofei li</dc:creator>
  <cp:lastModifiedBy>Administrator</cp:lastModifiedBy>
  <cp:lastPrinted>2022-01-16T08:14:00Z</cp:lastPrinted>
  <dcterms:modified xsi:type="dcterms:W3CDTF">2023-02-21T02:37:53Z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02E0EFCEF0F5423883C4A6D120F99AE6</vt:lpwstr>
  </property>
</Properties>
</file>