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int="default" w:ascii="方正小标宋简体" w:eastAsia="方正小标宋简体"/>
          <w:sz w:val="44"/>
          <w:szCs w:val="44"/>
          <w:lang w:val="en-US" w:eastAsia="zh-CN"/>
        </w:rPr>
      </w:pPr>
      <w:r>
        <w:rPr>
          <w:rFonts w:hint="eastAsia" w:ascii="方正小标宋简体" w:eastAsia="方正小标宋简体"/>
          <w:sz w:val="44"/>
          <w:szCs w:val="44"/>
        </w:rPr>
        <w:t>高青县</w:t>
      </w:r>
      <w:r>
        <w:rPr>
          <w:rFonts w:hint="eastAsia" w:ascii="方正小标宋简体" w:eastAsia="方正小标宋简体"/>
          <w:sz w:val="44"/>
          <w:szCs w:val="44"/>
          <w:lang w:val="en-US" w:eastAsia="zh-CN"/>
        </w:rPr>
        <w:t>人民政府</w:t>
      </w:r>
    </w:p>
    <w:p>
      <w:pPr>
        <w:spacing w:line="560" w:lineRule="exact"/>
        <w:jc w:val="center"/>
        <w:rPr>
          <w:rFonts w:ascii="方正小标宋简体" w:eastAsia="方正小标宋简体"/>
          <w:sz w:val="44"/>
          <w:szCs w:val="44"/>
        </w:rPr>
      </w:pPr>
      <w:r>
        <w:rPr>
          <w:rFonts w:hint="eastAsia" w:ascii="方正小标宋简体" w:eastAsia="方正小标宋简体"/>
          <w:sz w:val="44"/>
          <w:szCs w:val="44"/>
        </w:rPr>
        <w:t>2020年政府信息公开工作年度报告</w:t>
      </w: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r>
        <w:rPr>
          <w:rFonts w:hint="eastAsia" w:ascii="仿宋_GB2312" w:eastAsia="仿宋_GB2312"/>
          <w:sz w:val="32"/>
          <w:szCs w:val="32"/>
        </w:rPr>
        <w:t>本报告根据《中华人民共和国政府信息公开条例》（国务院令第711号，以下简称《条例》）要求，由高青县人民政府办公室综合各镇人民政府、各街道办事处，经济开发区管委会及县政府各有关部门、单位政府信息公开工作情况编制。</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报告全文由总体情况、主动公开政府信息情况、收到和处理政府信息公开申请情况、政府信息公开行政复议行政诉讼情况、存在的主要问题及改进情况、其他需要报告的事项6个部分组成。</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报告中所列数据统计期限自2020年1月1日始，至2020年12月31日止。报告电子版可在高青县人民政府门户网站（www.gaoqing.gov.cn）查阅和下载。如对报告内容有疑问，请与高青县人民政府办公室联系（地址：高青县黄河路81号；邮编：256300；电话：0533-6967090；传真：0533-6967065）。</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一、总体情况</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2020年，高青县以习近平新时代中国特色社会主义思想为指导，全面完成国家、省、市政务公开年度工作要点部署的各项任务，突出做好政务公开标准化规范化工作，规范政府信息全链条管理，强化公开、解读、发布、互动全流程联动，打造政府网站、政务新媒体、政府公报等全渠道平台，全面提升政务公开质量和实效，有力促进了法治政府、创新政府、廉洁政府和服务型政府建设。</w:t>
      </w:r>
    </w:p>
    <w:p>
      <w:pPr>
        <w:spacing w:line="560" w:lineRule="exact"/>
        <w:ind w:firstLine="640" w:firstLineChars="200"/>
        <w:rPr>
          <w:rFonts w:ascii="楷体_GB2312" w:eastAsia="楷体_GB2312"/>
          <w:sz w:val="32"/>
          <w:szCs w:val="32"/>
        </w:rPr>
      </w:pPr>
      <w:r>
        <w:rPr>
          <w:rFonts w:hint="eastAsia" w:ascii="楷体_GB2312" w:eastAsia="楷体_GB2312"/>
          <w:sz w:val="32"/>
          <w:szCs w:val="32"/>
        </w:rPr>
        <w:t>（一）主动公开</w:t>
      </w:r>
    </w:p>
    <w:p>
      <w:pPr>
        <w:spacing w:line="560" w:lineRule="exact"/>
        <w:ind w:firstLine="643" w:firstLineChars="200"/>
        <w:rPr>
          <w:rFonts w:ascii="仿宋_GB2312" w:eastAsia="仿宋_GB2312"/>
          <w:b/>
          <w:sz w:val="32"/>
          <w:szCs w:val="32"/>
        </w:rPr>
      </w:pPr>
      <w:r>
        <w:rPr>
          <w:rFonts w:hint="eastAsia" w:ascii="仿宋_GB2312" w:eastAsia="仿宋_GB2312"/>
          <w:b/>
          <w:sz w:val="32"/>
          <w:szCs w:val="32"/>
        </w:rPr>
        <w:t>一是推进决策、执行、管理、服务和结果全过程公开。</w:t>
      </w:r>
    </w:p>
    <w:p>
      <w:pPr>
        <w:spacing w:line="560" w:lineRule="exact"/>
        <w:ind w:firstLine="643" w:firstLineChars="200"/>
        <w:rPr>
          <w:rFonts w:ascii="仿宋_GB2312" w:eastAsia="仿宋_GB2312"/>
          <w:b/>
          <w:sz w:val="32"/>
          <w:szCs w:val="32"/>
        </w:rPr>
      </w:pPr>
      <w:r>
        <w:rPr>
          <w:rFonts w:hint="eastAsia" w:ascii="仿宋_GB2312" w:eastAsia="仿宋_GB2312"/>
          <w:b/>
          <w:sz w:val="32"/>
          <w:szCs w:val="32"/>
        </w:rPr>
        <w:t>1.推进决策公开。</w:t>
      </w:r>
    </w:p>
    <w:p>
      <w:pPr>
        <w:spacing w:line="560" w:lineRule="exact"/>
        <w:ind w:firstLine="643" w:firstLineChars="200"/>
        <w:rPr>
          <w:rFonts w:ascii="仿宋_GB2312" w:eastAsia="仿宋_GB2312"/>
          <w:sz w:val="32"/>
          <w:szCs w:val="32"/>
        </w:rPr>
      </w:pPr>
      <w:r>
        <w:rPr>
          <w:rFonts w:ascii="仿宋_GB2312" w:eastAsia="仿宋_GB2312"/>
          <w:b/>
          <w:sz w:val="32"/>
          <w:szCs w:val="32"/>
        </w:rPr>
        <w:drawing>
          <wp:anchor distT="0" distB="0" distL="114300" distR="114300" simplePos="0" relativeHeight="251660288" behindDoc="0" locked="0" layoutInCell="1" allowOverlap="1">
            <wp:simplePos x="0" y="0"/>
            <wp:positionH relativeFrom="margin">
              <wp:posOffset>1459230</wp:posOffset>
            </wp:positionH>
            <wp:positionV relativeFrom="margin">
              <wp:posOffset>2442210</wp:posOffset>
            </wp:positionV>
            <wp:extent cx="4264025" cy="2853690"/>
            <wp:effectExtent l="0" t="0" r="3175" b="3810"/>
            <wp:wrapSquare wrapText="bothSides"/>
            <wp:docPr id="4" name="图片 4" descr="E:\信息中心\政府信息公开\信息公开年报\年报\图片\副本\决策与公开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信息中心\政府信息公开\信息公开年报\年报\图片\副本\决策与公开_副本.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4264025" cy="2853690"/>
                    </a:xfrm>
                    <a:prstGeom prst="rect">
                      <a:avLst/>
                    </a:prstGeom>
                    <a:noFill/>
                    <a:ln>
                      <a:noFill/>
                    </a:ln>
                  </pic:spPr>
                </pic:pic>
              </a:graphicData>
            </a:graphic>
          </wp:anchor>
        </w:drawing>
      </w:r>
      <w:r>
        <w:rPr>
          <w:rFonts w:hint="eastAsia" w:ascii="仿宋_GB2312" w:eastAsia="仿宋_GB2312"/>
          <w:b/>
          <w:sz w:val="32"/>
          <w:szCs w:val="32"/>
        </w:rPr>
        <w:t>继续实行重大行政决策预公开。</w:t>
      </w:r>
      <w:r>
        <w:rPr>
          <w:rFonts w:hint="eastAsia" w:ascii="仿宋_GB2312" w:eastAsia="仿宋_GB2312"/>
          <w:sz w:val="32"/>
          <w:szCs w:val="32"/>
        </w:rPr>
        <w:t>在政府门户网站设立“重大决策预公开”专栏，公开了“2020年度高青县重大行政决策事项目录、标准”，高青县国民经济和社会发展第十四个五年规划纲要、高青县国土空间总体规划（2020-2035年）、高青县四街改造建设项目、县精神卫生中心新院区建设项目4个事项被列入2020年重大行政决策事项；每一项重大行政决策均公开了公告内容、草案全文、背景介绍、公众意见及建议、意见采纳情况反馈和决策定稿。</w:t>
      </w:r>
    </w:p>
    <w:p>
      <w:pPr>
        <w:spacing w:line="560" w:lineRule="exact"/>
        <w:ind w:firstLine="643" w:firstLineChars="200"/>
        <w:rPr>
          <w:rFonts w:ascii="仿宋_GB2312" w:eastAsia="仿宋_GB2312"/>
          <w:b/>
          <w:sz w:val="32"/>
          <w:szCs w:val="32"/>
        </w:rPr>
      </w:pPr>
      <w:r>
        <w:rPr>
          <w:rFonts w:hint="eastAsia" w:ascii="仿宋_GB2312" w:eastAsia="仿宋_GB2312"/>
          <w:b/>
          <w:sz w:val="32"/>
          <w:szCs w:val="32"/>
        </w:rPr>
        <w:t>2.推进管理和服务公开。</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（1）做好规范性文件清理和公开。</w:t>
      </w:r>
      <w:r>
        <w:rPr>
          <w:rFonts w:hint="eastAsia" w:ascii="仿宋_GB2312" w:eastAsia="仿宋_GB2312"/>
          <w:sz w:val="32"/>
          <w:szCs w:val="32"/>
        </w:rPr>
        <w:t>2020年度发布县政府、县政府办公室制发的规范性文件6件，公开规范性文件制发主体清单，按季度公布规范性文件备案信息，公开了《高青县关于对有违公平的行政规范性文件清理活动的公示》《关于公布民法典涉及行政规范性文件清理结果的通知》等文件清理结果信息。</w:t>
      </w:r>
    </w:p>
    <w:p>
      <w:pPr>
        <w:spacing w:line="560" w:lineRule="exact"/>
        <w:ind w:firstLine="643" w:firstLineChars="200"/>
        <w:rPr>
          <w:rFonts w:ascii="仿宋_GB2312" w:eastAsia="仿宋_GB2312"/>
          <w:sz w:val="32"/>
          <w:szCs w:val="32"/>
        </w:rPr>
      </w:pPr>
      <w:r>
        <w:rPr>
          <w:rFonts w:ascii="仿宋_GB2312" w:eastAsia="仿宋_GB2312"/>
          <w:b/>
          <w:sz w:val="32"/>
          <w:szCs w:val="32"/>
        </w:rPr>
        <w:drawing>
          <wp:anchor distT="0" distB="0" distL="114300" distR="114300" simplePos="0" relativeHeight="251661312" behindDoc="0" locked="0" layoutInCell="1" allowOverlap="1">
            <wp:simplePos x="0" y="0"/>
            <wp:positionH relativeFrom="margin">
              <wp:posOffset>1029970</wp:posOffset>
            </wp:positionH>
            <wp:positionV relativeFrom="margin">
              <wp:posOffset>1588770</wp:posOffset>
            </wp:positionV>
            <wp:extent cx="4565015" cy="2990850"/>
            <wp:effectExtent l="0" t="0" r="6985" b="0"/>
            <wp:wrapSquare wrapText="bothSides"/>
            <wp:docPr id="12" name="图片 12" descr="E:\信息中心\政府信息公开\信息公开年报\年报\图片\副本\行政执法公示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信息中心\政府信息公开\信息公开年报\年报\图片\副本\行政执法公示_副本.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565015" cy="2990850"/>
                    </a:xfrm>
                    <a:prstGeom prst="rect">
                      <a:avLst/>
                    </a:prstGeom>
                    <a:noFill/>
                    <a:ln>
                      <a:noFill/>
                    </a:ln>
                  </pic:spPr>
                </pic:pic>
              </a:graphicData>
            </a:graphic>
          </wp:anchor>
        </w:drawing>
      </w:r>
      <w:r>
        <w:rPr>
          <w:rFonts w:hint="eastAsia" w:ascii="仿宋_GB2312" w:eastAsia="仿宋_GB2312"/>
          <w:b/>
          <w:sz w:val="32"/>
          <w:szCs w:val="32"/>
        </w:rPr>
        <w:t>（2）做好行政执法信息公开。</w:t>
      </w:r>
      <w:r>
        <w:rPr>
          <w:rFonts w:hint="eastAsia" w:ascii="仿宋_GB2312" w:eastAsia="仿宋_GB2312"/>
          <w:sz w:val="32"/>
          <w:szCs w:val="32"/>
        </w:rPr>
        <w:t>实行行政执法公示制度，在政府门户网站设立“行政执法公示”专栏，全面公开各部门行政执法事项清单、行政执法服务指南、行政执法流程图、行政执法人员资格清单、执法结果。</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（3）做好“双随机、一公开”监管信息公开。</w:t>
      </w:r>
      <w:r>
        <w:rPr>
          <w:rFonts w:hint="eastAsia" w:ascii="仿宋_GB2312" w:eastAsia="仿宋_GB2312"/>
          <w:sz w:val="32"/>
          <w:szCs w:val="32"/>
        </w:rPr>
        <w:t>在政府门户网站设立“双随机、一公开”专栏，公开年度抽查工作计划、随机抽查事项清单、抽查情况和查处结果。县市场监督管理局制定了《关于印发&lt;高青县市场监管系统2020年度“双随机、一公开”抽查工作计划&gt;的通知》，明确抽查类别、抽查事项、抽查对象，实现全县市场监管系统“双随机、一公开”监管工作全覆盖。</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（4）做好国资国企监管信息公开。</w:t>
      </w:r>
      <w:r>
        <w:rPr>
          <w:rFonts w:hint="eastAsia" w:ascii="仿宋_GB2312" w:eastAsia="仿宋_GB2312"/>
          <w:sz w:val="32"/>
          <w:szCs w:val="32"/>
        </w:rPr>
        <w:t>公开县政府国有资产监督管理局出资企业名录、高青县县属企业基本情况及主要经济效益指标，定期公开高青县县管企业信息及县政府国有资产监督管理局监管企业经营情况，并对僵尸企业处置情况做出明确说明。</w:t>
      </w:r>
    </w:p>
    <w:p>
      <w:pPr>
        <w:spacing w:line="560" w:lineRule="exact"/>
        <w:ind w:firstLine="643" w:firstLineChars="200"/>
        <w:rPr>
          <w:rFonts w:ascii="仿宋_GB2312" w:eastAsia="仿宋_GB2312"/>
          <w:b/>
          <w:sz w:val="32"/>
          <w:szCs w:val="32"/>
        </w:rPr>
      </w:pPr>
      <w:r>
        <w:rPr>
          <w:rFonts w:hint="eastAsia" w:ascii="仿宋_GB2312" w:eastAsia="仿宋_GB2312"/>
          <w:b/>
          <w:sz w:val="32"/>
          <w:szCs w:val="32"/>
        </w:rPr>
        <w:t>3.推进执行和结果公开。</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（1）做好建议提案办理结果公开。</w:t>
      </w:r>
      <w:r>
        <w:rPr>
          <w:rFonts w:hint="eastAsia" w:ascii="仿宋_GB2312" w:eastAsia="仿宋_GB2312"/>
          <w:sz w:val="32"/>
          <w:szCs w:val="32"/>
        </w:rPr>
        <w:t>在政府网站设立建议提案办理专栏，已办结的除按照相关规定不宜公开的外均全文公开办理答复书和办理总体情况。2020年主动公开60件县人大代表建议、88件县政协委员提案办理答复书，真正做到了件件有着落、事事有回音，满意和基本满意率达到100%。</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（2）做好重要部署执行公开。</w:t>
      </w:r>
      <w:r>
        <w:rPr>
          <w:rFonts w:hint="eastAsia" w:ascii="仿宋_GB2312" w:eastAsia="仿宋_GB2312"/>
          <w:sz w:val="32"/>
          <w:szCs w:val="32"/>
        </w:rPr>
        <w:t>每季度公开政府工作报告重点任务执行情况，定期公开民生实事项目、年度重点工作执行情况。2020年公开相关信息187条。</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（3）做好执行效果评估信息公开。</w:t>
      </w:r>
      <w:r>
        <w:rPr>
          <w:rFonts w:hint="eastAsia" w:ascii="仿宋_GB2312" w:eastAsia="仿宋_GB2312"/>
          <w:sz w:val="32"/>
          <w:szCs w:val="32"/>
        </w:rPr>
        <w:t>建立重大决策执行效果跟踪反馈和后评估机制。2020年对高青县老城区雨污分流工程、智慧高青项目、精神卫生中心新院区项目、县道赵班路高青段改建工程等重大行政决策进行了评估，并公开了评估报告。</w:t>
      </w:r>
    </w:p>
    <w:p>
      <w:pPr>
        <w:spacing w:line="560" w:lineRule="exact"/>
        <w:ind w:firstLine="643" w:firstLineChars="200"/>
        <w:rPr>
          <w:rFonts w:ascii="仿宋_GB2312" w:eastAsia="仿宋_GB2312"/>
          <w:b/>
          <w:sz w:val="32"/>
          <w:szCs w:val="32"/>
        </w:rPr>
      </w:pPr>
      <w:r>
        <w:rPr>
          <w:rFonts w:hint="eastAsia" w:ascii="仿宋_GB2312" w:eastAsia="仿宋_GB2312"/>
          <w:b/>
          <w:sz w:val="32"/>
          <w:szCs w:val="32"/>
        </w:rPr>
        <w:t>二是聚焦中心工作和重点领域加强信息公开。</w:t>
      </w:r>
    </w:p>
    <w:p>
      <w:pPr>
        <w:spacing w:line="560" w:lineRule="exact"/>
        <w:ind w:firstLine="643" w:firstLineChars="200"/>
        <w:rPr>
          <w:rFonts w:ascii="仿宋_GB2312" w:eastAsia="仿宋_GB2312"/>
          <w:b/>
          <w:sz w:val="32"/>
          <w:szCs w:val="32"/>
        </w:rPr>
      </w:pPr>
      <w:r>
        <w:rPr>
          <w:rFonts w:hint="eastAsia" w:ascii="仿宋_GB2312" w:eastAsia="仿宋_GB2312"/>
          <w:b/>
          <w:sz w:val="32"/>
          <w:szCs w:val="32"/>
        </w:rPr>
        <w:t>1.聚焦中心工作加强信息公开。</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（1）做好财政预决算信息公开。</w:t>
      </w:r>
      <w:r>
        <w:rPr>
          <w:rFonts w:hint="eastAsia" w:ascii="仿宋_GB2312" w:eastAsia="仿宋_GB2312"/>
          <w:sz w:val="32"/>
          <w:szCs w:val="32"/>
        </w:rPr>
        <w:t>除涉密单位和涉密信息外，将全县一级预算单位及所有镇办的“全口径”2020年政府预算、部门预算、“三公”经费预算和2019年政府决算、部门决算、“三公”经费决算信息全部公开，并对县级“三公”经费增减变化原因进行了说明。每月定期公开财政收支信息，并对下一步形势进行预判。</w:t>
      </w:r>
    </w:p>
    <w:p>
      <w:pPr>
        <w:spacing w:line="560" w:lineRule="exact"/>
        <w:ind w:firstLine="643" w:firstLineChars="200"/>
        <w:rPr>
          <w:rFonts w:ascii="仿宋_GB2312" w:eastAsia="仿宋_GB2312"/>
          <w:sz w:val="32"/>
          <w:szCs w:val="32"/>
        </w:rPr>
      </w:pPr>
      <w:r>
        <w:rPr>
          <w:rFonts w:ascii="仿宋_GB2312" w:eastAsia="仿宋_GB2312"/>
          <w:b/>
          <w:sz w:val="32"/>
          <w:szCs w:val="32"/>
        </w:rPr>
        <w:drawing>
          <wp:anchor distT="0" distB="0" distL="114300" distR="114300" simplePos="0" relativeHeight="251662336" behindDoc="0" locked="0" layoutInCell="1" allowOverlap="1">
            <wp:simplePos x="0" y="0"/>
            <wp:positionH relativeFrom="margin">
              <wp:posOffset>903605</wp:posOffset>
            </wp:positionH>
            <wp:positionV relativeFrom="margin">
              <wp:posOffset>890270</wp:posOffset>
            </wp:positionV>
            <wp:extent cx="4699635" cy="3158490"/>
            <wp:effectExtent l="0" t="0" r="5715" b="3810"/>
            <wp:wrapSquare wrapText="bothSides"/>
            <wp:docPr id="15" name="图片 15" descr="E:\信息中心\政府信息公开\信息公开年报\年报\图片\副本\公共资源交易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信息中心\政府信息公开\信息公开年报\年报\图片\副本\公共资源交易_副本.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699635" cy="3158490"/>
                    </a:xfrm>
                    <a:prstGeom prst="rect">
                      <a:avLst/>
                    </a:prstGeom>
                    <a:noFill/>
                    <a:ln>
                      <a:noFill/>
                    </a:ln>
                  </pic:spPr>
                </pic:pic>
              </a:graphicData>
            </a:graphic>
          </wp:anchor>
        </w:drawing>
      </w:r>
      <w:r>
        <w:rPr>
          <w:rFonts w:hint="eastAsia" w:ascii="仿宋_GB2312" w:eastAsia="仿宋_GB2312"/>
          <w:b/>
          <w:sz w:val="32"/>
          <w:szCs w:val="32"/>
        </w:rPr>
        <w:t>（2）做好公共资源配置信息公开。</w:t>
      </w:r>
      <w:r>
        <w:rPr>
          <w:rFonts w:hint="eastAsia" w:ascii="仿宋_GB2312" w:eastAsia="仿宋_GB2312"/>
          <w:sz w:val="32"/>
          <w:szCs w:val="32"/>
        </w:rPr>
        <w:t>土地供应方面，通过高青县人民政府网、中国土地市场网、淄博市公共资源交易网以及市级报刊等新闻媒体发布土地出让公告20次，成交公示29次。土地供应计划均通过高青县人民政府网、中国土地市场网等媒体实现了信息公开。土地征收方面，根据高青县城镇建设用地的需要，2020年征收土地共计16个批次，涉及24个村，并通过高青县人民政府网进行公开征地批复。住房保障方面，公开《2020年度城镇保障性安居工程规划建设方案》《2020年高青县人才公寓建设实施方案》，对保障性住房的计划完成情况、分配情况进行了公开。政府采购、工程建设项目、国有产权交易投投标信息等信息也通过“淄博市公共资源交易网”及时公开。</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（3）做好重大建设项目信息公开。</w:t>
      </w:r>
      <w:r>
        <w:rPr>
          <w:rFonts w:hint="eastAsia" w:ascii="仿宋_GB2312" w:eastAsia="仿宋_GB2312"/>
          <w:sz w:val="32"/>
          <w:szCs w:val="32"/>
        </w:rPr>
        <w:t>公开2020年高青县重大建设项目清单，以及批准服务、批准结果、招投标、征收土地、重大设计变更、施工、质量安全监督、竣工等信息。</w:t>
      </w:r>
    </w:p>
    <w:p>
      <w:pPr>
        <w:spacing w:line="560" w:lineRule="exact"/>
        <w:ind w:firstLine="643" w:firstLineChars="200"/>
        <w:rPr>
          <w:rFonts w:ascii="仿宋_GB2312" w:eastAsia="仿宋_GB2312"/>
          <w:sz w:val="32"/>
          <w:szCs w:val="32"/>
        </w:rPr>
      </w:pPr>
      <w:r>
        <w:rPr>
          <w:rFonts w:ascii="仿宋_GB2312" w:eastAsia="仿宋_GB2312"/>
          <w:b/>
          <w:sz w:val="32"/>
          <w:szCs w:val="32"/>
        </w:rPr>
        <w:drawing>
          <wp:anchor distT="0" distB="0" distL="114300" distR="114300" simplePos="0" relativeHeight="251663360" behindDoc="0" locked="0" layoutInCell="1" allowOverlap="1">
            <wp:simplePos x="0" y="0"/>
            <wp:positionH relativeFrom="margin">
              <wp:posOffset>-165735</wp:posOffset>
            </wp:positionH>
            <wp:positionV relativeFrom="margin">
              <wp:posOffset>4314825</wp:posOffset>
            </wp:positionV>
            <wp:extent cx="4253865" cy="3392170"/>
            <wp:effectExtent l="0" t="0" r="0" b="0"/>
            <wp:wrapSquare wrapText="bothSides"/>
            <wp:docPr id="16" name="图片 16" descr="E:\信息中心\政府信息公开\信息公开年报\年报\图片\副本\社会救助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信息中心\政府信息公开\信息公开年报\年报\图片\副本\社会救助_副本.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253865" cy="3392170"/>
                    </a:xfrm>
                    <a:prstGeom prst="rect">
                      <a:avLst/>
                    </a:prstGeom>
                    <a:noFill/>
                    <a:ln>
                      <a:noFill/>
                    </a:ln>
                  </pic:spPr>
                </pic:pic>
              </a:graphicData>
            </a:graphic>
          </wp:anchor>
        </w:drawing>
      </w:r>
      <w:r>
        <w:rPr>
          <w:rFonts w:hint="eastAsia" w:ascii="仿宋_GB2312" w:eastAsia="仿宋_GB2312"/>
          <w:b/>
          <w:sz w:val="32"/>
          <w:szCs w:val="32"/>
        </w:rPr>
        <w:t>（4）做好社会公益事业信息公开。</w:t>
      </w:r>
      <w:r>
        <w:rPr>
          <w:rFonts w:hint="eastAsia" w:ascii="仿宋_GB2312" w:eastAsia="仿宋_GB2312"/>
          <w:sz w:val="32"/>
          <w:szCs w:val="32"/>
        </w:rPr>
        <w:t>社会救助方面，通过政府门户网站公开城乡低保、特困人员供养、医疗救助、临时救助的救助标准和申报指南，每月公开各项资金发放信息，2020年公开社会救助类信息54条。社会福利方面，通过政府门户网站公开老年人福利、残疾人福利、儿童福利申报指南，每月公开各项资金发放信息，2020年公开社会福利类信息60条。教育信息方面，公开《高青县幼儿园2020年招生工作指导意见》《</w:t>
      </w:r>
      <w:r>
        <w:fldChar w:fldCharType="begin"/>
      </w:r>
      <w:r>
        <w:instrText xml:space="preserve"> HYPERLINK "http://www.gaoqing.gov.cn/gongkai/site_gqxjyhtyj/channel_5fbc71f19d48cdef5c92cb06/doc_5fb428b299d584448a0dbc3e.html" \t "http://www.gaoqing.gov.cn/gongkai/site_gqxjyhtyj/channel_5fbc71f19d48cdef5c92cb06/_blank" </w:instrText>
      </w:r>
      <w:r>
        <w:fldChar w:fldCharType="separate"/>
      </w:r>
      <w:r>
        <w:rPr>
          <w:rFonts w:hint="eastAsia" w:ascii="仿宋_GB2312" w:eastAsia="仿宋_GB2312"/>
          <w:sz w:val="32"/>
          <w:szCs w:val="32"/>
        </w:rPr>
        <w:t>高青县2020年义务教育段学校招生工作实施意见（方案）</w:t>
      </w:r>
      <w:r>
        <w:rPr>
          <w:rFonts w:hint="eastAsia" w:ascii="仿宋_GB2312" w:eastAsia="仿宋_GB2312"/>
          <w:sz w:val="32"/>
          <w:szCs w:val="32"/>
        </w:rPr>
        <w:fldChar w:fldCharType="end"/>
      </w:r>
      <w:r>
        <w:rPr>
          <w:rFonts w:hint="eastAsia" w:ascii="仿宋_GB2312" w:eastAsia="仿宋_GB2312"/>
          <w:sz w:val="32"/>
          <w:szCs w:val="32"/>
        </w:rPr>
        <w:t>》以及2020年普惠性民办幼儿园认定结果</w:t>
      </w:r>
      <w:r>
        <w:fldChar w:fldCharType="begin"/>
      </w:r>
      <w:r>
        <w:instrText xml:space="preserve"> HYPERLINK "http://www.gaoqing.gov.cn/gongkai/site_gqxjyhtyj/channel_5fbc71f19d48cdef5c92cb06/doc_5fbf93032343b493d39a1162.html" \t "http://www.gaoqing.gov.cn/gongkai/site_gqxjyhtyj/channel_5fbc71f19d48cdef5c92cb06/_blank" </w:instrText>
      </w:r>
      <w:r>
        <w:fldChar w:fldCharType="separate"/>
      </w:r>
      <w:r>
        <w:rPr>
          <w:rFonts w:hint="eastAsia" w:ascii="仿宋_GB2312" w:eastAsia="仿宋_GB2312"/>
          <w:sz w:val="32"/>
          <w:szCs w:val="32"/>
        </w:rPr>
        <w:t>、义务教育段招生结果</w:t>
      </w:r>
      <w:r>
        <w:rPr>
          <w:rFonts w:hint="eastAsia" w:ascii="仿宋_GB2312" w:eastAsia="仿宋_GB2312"/>
          <w:sz w:val="32"/>
          <w:szCs w:val="32"/>
        </w:rPr>
        <w:fldChar w:fldCharType="end"/>
      </w:r>
      <w:r>
        <w:rPr>
          <w:rFonts w:hint="eastAsia" w:ascii="仿宋_GB2312" w:eastAsia="仿宋_GB2312"/>
          <w:sz w:val="32"/>
          <w:szCs w:val="32"/>
        </w:rPr>
        <w:t>等信息；推进中小学信息公开，公开10所县属义务教育学校相关信息，包括学校基本情况、学校发展规划、年度工作计划及其执行情况、课程设置方案与教学计划及执行情况、学生学籍管理规定和评优奖励办法、招生结果等信息116条。医疗卫生方面，公开县域内公立医疗机构的名称、地址、联系方式及大型设备配备情况；推进医疗单位信息公开，组织辖区内4家县直医院、9家乡镇（社区街道）卫生院（卫生服务中心）对医疗机构的机构设置、服务流程、坐诊专家、服务时间、应急管理等信息在政府门户网站进行集中统一公开，共公开信息155条。</w:t>
      </w:r>
    </w:p>
    <w:p>
      <w:pPr>
        <w:spacing w:line="560" w:lineRule="exact"/>
        <w:ind w:firstLine="643" w:firstLineChars="200"/>
        <w:rPr>
          <w:rFonts w:ascii="仿宋_GB2312" w:eastAsia="仿宋_GB2312"/>
          <w:b/>
          <w:sz w:val="32"/>
          <w:szCs w:val="32"/>
        </w:rPr>
      </w:pPr>
      <w:r>
        <w:rPr>
          <w:rFonts w:hint="eastAsia" w:ascii="仿宋_GB2312" w:eastAsia="仿宋_GB2312"/>
          <w:b/>
          <w:sz w:val="32"/>
          <w:szCs w:val="32"/>
        </w:rPr>
        <w:t>2.聚焦优化营商环境加强信息公开。</w:t>
      </w:r>
    </w:p>
    <w:p>
      <w:pPr>
        <w:spacing w:line="560" w:lineRule="exact"/>
        <w:ind w:firstLine="640" w:firstLineChars="200"/>
        <w:rPr>
          <w:rFonts w:ascii="仿宋_GB2312" w:eastAsia="仿宋_GB2312"/>
          <w:sz w:val="32"/>
          <w:szCs w:val="32"/>
        </w:rPr>
      </w:pPr>
      <w:r>
        <w:rPr>
          <w:rFonts w:ascii="仿宋_GB2312" w:eastAsia="仿宋_GB2312"/>
          <w:sz w:val="32"/>
          <w:szCs w:val="32"/>
        </w:rPr>
        <w:drawing>
          <wp:anchor distT="0" distB="0" distL="114300" distR="114300" simplePos="0" relativeHeight="251664384" behindDoc="0" locked="0" layoutInCell="1" allowOverlap="1">
            <wp:simplePos x="0" y="0"/>
            <wp:positionH relativeFrom="margin">
              <wp:posOffset>1108710</wp:posOffset>
            </wp:positionH>
            <wp:positionV relativeFrom="margin">
              <wp:posOffset>3674110</wp:posOffset>
            </wp:positionV>
            <wp:extent cx="4494530" cy="3255645"/>
            <wp:effectExtent l="0" t="0" r="1270" b="1905"/>
            <wp:wrapSquare wrapText="bothSides"/>
            <wp:docPr id="17" name="图片 17" descr="E:\信息中心\政府信息公开\信息公开年报\年报\图片\副本\政务服务好差评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信息中心\政府信息公开\信息公开年报\年报\图片\副本\政务服务好差评_副本.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494530" cy="3255645"/>
                    </a:xfrm>
                    <a:prstGeom prst="rect">
                      <a:avLst/>
                    </a:prstGeom>
                    <a:noFill/>
                    <a:ln>
                      <a:noFill/>
                    </a:ln>
                  </pic:spPr>
                </pic:pic>
              </a:graphicData>
            </a:graphic>
          </wp:anchor>
        </w:drawing>
      </w:r>
      <w:r>
        <w:rPr>
          <w:rFonts w:hint="eastAsia" w:ascii="仿宋_GB2312" w:eastAsia="仿宋_GB2312"/>
          <w:b/>
          <w:sz w:val="32"/>
          <w:szCs w:val="32"/>
        </w:rPr>
        <w:t>（1）做好优化服务信息公开。</w:t>
      </w:r>
      <w:r>
        <w:rPr>
          <w:rFonts w:hint="eastAsia" w:ascii="仿宋_GB2312" w:eastAsia="仿宋_GB2312"/>
          <w:sz w:val="32"/>
          <w:szCs w:val="32"/>
        </w:rPr>
        <w:t>公开事项划转清单、告知承诺服务事项清单、政务服务事项目录、依申请“六办”事项清单等，按月公开政务服务“好差评”情况；对全县依申请政务服务事项进行分类梳理，形成“马上办、网上办、就近办、一次办、承诺办、预约办”“六办”事项清单。其中，马上办事项527项，占比40.9%；网上办事项1192项，占比92.5%；就近办事项191项；一次办事项1208项，占比93.7%;承诺办事项685项，占比53.1%；预约办事项827项，占比64.2%。制定印发《高青县好差评制度实施方案》，政务服务事项纳入“好差评”系统1249项，覆盖率达100%。</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（2）做好市场监管信息公开。</w:t>
      </w:r>
      <w:r>
        <w:rPr>
          <w:rFonts w:hint="eastAsia" w:ascii="仿宋_GB2312" w:eastAsia="仿宋_GB2312"/>
          <w:sz w:val="32"/>
          <w:szCs w:val="32"/>
        </w:rPr>
        <w:t>在高青市场监管官方微信公众号针对各种节假日、“双十一”“双十二”等网购节发布消费警示、提醒告诫函12条。通过政府门户网站公开食品生产、流通、餐饮服务单位等信息以及食品产品抽检信息，2020年公开高青县食品安全监督抽检信息通告15期，公开食品抽检样品信息1523批次，其中合格1460批次，不合格63批次，合格率95.86%。</w:t>
      </w:r>
    </w:p>
    <w:p>
      <w:pPr>
        <w:spacing w:line="560" w:lineRule="exact"/>
        <w:ind w:firstLine="643" w:firstLineChars="200"/>
        <w:rPr>
          <w:rFonts w:ascii="仿宋_GB2312" w:eastAsia="仿宋_GB2312"/>
          <w:b/>
          <w:sz w:val="32"/>
          <w:szCs w:val="32"/>
        </w:rPr>
      </w:pPr>
      <w:r>
        <w:rPr>
          <w:rFonts w:hint="eastAsia" w:ascii="仿宋_GB2312" w:eastAsia="仿宋_GB2312"/>
          <w:b/>
          <w:sz w:val="32"/>
          <w:szCs w:val="32"/>
        </w:rPr>
        <w:t>3.聚焦疫情防控加强信息公开。</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（1）做好疫情防控信息公开。</w:t>
      </w:r>
      <w:r>
        <w:rPr>
          <w:rFonts w:hint="eastAsia" w:ascii="仿宋_GB2312" w:eastAsia="仿宋_GB2312"/>
          <w:sz w:val="32"/>
          <w:szCs w:val="32"/>
        </w:rPr>
        <w:t>通过政府门户网站公开《商场、超市等场所新冠肺炎防控技术方案》《办公场所和公共场所新冠肺炎防控技术方案》《客运场站及交通运输工具新冠肺炎防控技术方案》，对抗击新型冠状病毒肺炎疫情高青县红十字会接收社会捐赠款物进行公示。县教体局、县人社局、县住建局等部门发布复工复查复学相关信息，统筹做好疫情防控和经济社会发展。</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（2）做好应急管理信息公开。</w:t>
      </w:r>
      <w:r>
        <w:rPr>
          <w:rFonts w:hint="eastAsia" w:ascii="仿宋_GB2312" w:eastAsia="仿宋_GB2312"/>
          <w:sz w:val="32"/>
          <w:szCs w:val="32"/>
        </w:rPr>
        <w:t>公开应急预案、应急演练及应对情况等信息，2020年公开《高青县安全生产事故应急预案》《高青县突发环境事件应急预案》《高青县危险化学品安全事故应急救援预案》等应急预案信息15条，公开农业重大有害生物灾害应对、不明来源新型冠状病毒肺炎应急处置演练、防汛抢险演练等信息10余条。按月公开安全生产执法检查信息，包括企业名称、检车内容、检查结果等。</w:t>
      </w:r>
    </w:p>
    <w:p>
      <w:pPr>
        <w:spacing w:line="560" w:lineRule="exact"/>
        <w:ind w:firstLine="640" w:firstLineChars="200"/>
        <w:rPr>
          <w:rFonts w:ascii="仿宋_GB2312" w:eastAsia="仿宋_GB2312"/>
          <w:b/>
          <w:sz w:val="32"/>
          <w:szCs w:val="32"/>
        </w:rPr>
      </w:pPr>
      <w:r>
        <w:rPr>
          <w:rFonts w:ascii="仿宋_GB2312" w:eastAsia="仿宋_GB2312"/>
          <w:sz w:val="32"/>
          <w:szCs w:val="32"/>
        </w:rPr>
        <w:drawing>
          <wp:anchor distT="0" distB="0" distL="114300" distR="114300" simplePos="0" relativeHeight="251665408" behindDoc="0" locked="0" layoutInCell="1" allowOverlap="1">
            <wp:simplePos x="0" y="0"/>
            <wp:positionH relativeFrom="margin">
              <wp:posOffset>2764155</wp:posOffset>
            </wp:positionH>
            <wp:positionV relativeFrom="margin">
              <wp:posOffset>58420</wp:posOffset>
            </wp:positionV>
            <wp:extent cx="3025140" cy="3995420"/>
            <wp:effectExtent l="0" t="0" r="3810" b="5080"/>
            <wp:wrapSquare wrapText="bothSides"/>
            <wp:docPr id="18" name="图片 18" descr="E:\信息中心\政府信息公开\信息公开年报\年报\图片\副本\图文解读2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信息中心\政府信息公开\信息公开年报\年报\图片\副本\图文解读2_副本.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025140" cy="3995420"/>
                    </a:xfrm>
                    <a:prstGeom prst="rect">
                      <a:avLst/>
                    </a:prstGeom>
                    <a:noFill/>
                    <a:ln>
                      <a:noFill/>
                    </a:ln>
                  </pic:spPr>
                </pic:pic>
              </a:graphicData>
            </a:graphic>
          </wp:anchor>
        </w:drawing>
      </w:r>
      <w:r>
        <w:rPr>
          <w:rFonts w:hint="eastAsia" w:ascii="仿宋_GB2312" w:eastAsia="仿宋_GB2312"/>
          <w:b/>
          <w:sz w:val="32"/>
          <w:szCs w:val="32"/>
        </w:rPr>
        <w:t>4.聚焦“六稳”“六保”工作加强政策解读回应。</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在政府门户网站设立“政策解读”专栏，通过文稿解读、简明问答、视频解读、图文解读、领导干部解读等多种形式展现解读内容，2020年共发布文稿解读38条，简明问答7条，视频解读1条，图文解读12条，领导干部解读7条。</w:t>
      </w:r>
    </w:p>
    <w:p>
      <w:pPr>
        <w:spacing w:line="560" w:lineRule="exact"/>
        <w:ind w:firstLine="643" w:firstLineChars="200"/>
        <w:rPr>
          <w:rFonts w:ascii="仿宋_GB2312" w:eastAsia="仿宋_GB2312"/>
          <w:b/>
          <w:sz w:val="32"/>
          <w:szCs w:val="32"/>
        </w:rPr>
      </w:pPr>
      <w:r>
        <w:rPr>
          <w:rFonts w:hint="eastAsia" w:ascii="仿宋_GB2312" w:eastAsia="仿宋_GB2312"/>
          <w:b/>
          <w:sz w:val="32"/>
          <w:szCs w:val="32"/>
        </w:rPr>
        <w:t>三是推进基层政务公开标准化规范化全覆盖。</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1.编制完成26个试点领域标准目录。</w:t>
      </w:r>
      <w:r>
        <w:rPr>
          <w:rFonts w:hint="eastAsia" w:ascii="仿宋_GB2312" w:eastAsia="仿宋_GB2312"/>
          <w:sz w:val="32"/>
          <w:szCs w:val="32"/>
        </w:rPr>
        <w:t>出台了《高青县人民政府办公室关于印发&lt;高青县全面推进基层政务公开标准化规范化工作实施方案&gt;的通知》（高政办字〔2020〕34号）。编制完成县级重大建设项目、公共资源交易、财政预决算、农村危房改造等26个试点领域政务公开事项标准目录，并通过政府门户网站公开。各镇办也编制并公开了26个试点领域政务公开事项标准目录。</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2.规范政府信息公开专栏。</w:t>
      </w:r>
      <w:r>
        <w:rPr>
          <w:rFonts w:hint="eastAsia" w:ascii="仿宋_GB2312" w:eastAsia="仿宋_GB2312"/>
          <w:sz w:val="32"/>
          <w:szCs w:val="32"/>
        </w:rPr>
        <w:t>政府门户网站政府信息公开专栏命名为“政府信息公开”，专栏涵盖政府信息公开指南、政府信息公开制度、法定主动公开内容和政府信息公开工作年度报告4部分，同时，根据规定动态调整法定主动公开内容。</w:t>
      </w:r>
    </w:p>
    <w:p>
      <w:pPr>
        <w:spacing w:line="560" w:lineRule="exact"/>
        <w:ind w:firstLine="640" w:firstLineChars="200"/>
        <w:rPr>
          <w:rFonts w:ascii="仿宋_GB2312" w:eastAsia="仿宋_GB2312"/>
          <w:sz w:val="32"/>
          <w:szCs w:val="32"/>
        </w:rPr>
      </w:pPr>
      <w:r>
        <w:rPr>
          <w:rFonts w:ascii="仿宋_GB2312" w:eastAsia="仿宋_GB2312"/>
          <w:sz w:val="32"/>
          <w:szCs w:val="32"/>
        </w:rPr>
        <w:drawing>
          <wp:anchor distT="0" distB="0" distL="114300" distR="114300" simplePos="0" relativeHeight="251659264" behindDoc="0" locked="0" layoutInCell="1" allowOverlap="1">
            <wp:simplePos x="0" y="0"/>
            <wp:positionH relativeFrom="margin">
              <wp:posOffset>1699260</wp:posOffset>
            </wp:positionH>
            <wp:positionV relativeFrom="margin">
              <wp:posOffset>1296035</wp:posOffset>
            </wp:positionV>
            <wp:extent cx="3921125" cy="2939415"/>
            <wp:effectExtent l="0" t="0" r="3175" b="0"/>
            <wp:wrapSquare wrapText="bothSides"/>
            <wp:docPr id="11" name="图片 11" descr="E:\信息中心\政府信息公开\信息公开年报\年报\图片\政务公开便民服务专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信息中心\政府信息公开\信息公开年报\年报\图片\政务公开便民服务专区.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921125" cy="2939415"/>
                    </a:xfrm>
                    <a:prstGeom prst="rect">
                      <a:avLst/>
                    </a:prstGeom>
                    <a:noFill/>
                    <a:ln>
                      <a:noFill/>
                    </a:ln>
                  </pic:spPr>
                </pic:pic>
              </a:graphicData>
            </a:graphic>
          </wp:anchor>
        </w:drawing>
      </w:r>
      <w:r>
        <w:rPr>
          <w:rFonts w:hint="eastAsia" w:ascii="仿宋_GB2312" w:eastAsia="仿宋_GB2312"/>
          <w:b/>
          <w:sz w:val="32"/>
          <w:szCs w:val="32"/>
        </w:rPr>
        <w:t>3.建立政务公开便民服务专区。</w:t>
      </w:r>
      <w:r>
        <w:rPr>
          <w:rFonts w:hint="eastAsia" w:ascii="仿宋_GB2312" w:eastAsia="仿宋_GB2312"/>
          <w:sz w:val="32"/>
          <w:szCs w:val="32"/>
        </w:rPr>
        <w:t>在政务服务大厅设立政务公开便民服务专区，提供政府信息查询、信息公开申请、办事咨询、政府信息打印复印等相关服务。</w:t>
      </w:r>
    </w:p>
    <w:p>
      <w:pPr>
        <w:spacing w:line="540" w:lineRule="exact"/>
        <w:ind w:firstLine="643" w:firstLineChars="200"/>
        <w:rPr>
          <w:rFonts w:ascii="仿宋_GB2312" w:eastAsia="仿宋_GB2312"/>
          <w:sz w:val="32"/>
          <w:szCs w:val="32"/>
        </w:rPr>
      </w:pPr>
      <w:r>
        <w:rPr>
          <w:rFonts w:hint="eastAsia" w:ascii="仿宋_GB2312" w:eastAsia="仿宋_GB2312"/>
          <w:b/>
          <w:sz w:val="32"/>
          <w:szCs w:val="32"/>
        </w:rPr>
        <w:t>4.开展“政府开放日”活动。</w:t>
      </w:r>
      <w:r>
        <w:rPr>
          <w:rFonts w:hint="eastAsia" w:ascii="仿宋_GB2312" w:eastAsia="仿宋_GB2312"/>
          <w:sz w:val="32"/>
          <w:szCs w:val="32"/>
        </w:rPr>
        <w:t>2020年，全县共开展12次“政府开放日”活动。县级组织开展了“政府开放日”暨“市民代表看城市新变化”活动，邀请部分市民群众代表、政协委员代表、人大代表等，分“文旅新风貌”“城市管理新变化”“交通建设新成果”3条线路观摩体验，让群众切身感受城市发展变化。县卫健局组织开展“政府开放日”暨“市民代表看医疗卫生变化”活动，邀请人大代表、政协委员、党代表、企业及教师代表参观了解了县级医院及基层医疗卫生机构，“零距离”感受医疗卫生发展成果。县发改局、县行政审批局、县应急局等单位也组织了不同形式的政府开放日活动。</w:t>
      </w:r>
    </w:p>
    <w:p>
      <w:pPr>
        <w:spacing w:line="540" w:lineRule="exact"/>
        <w:ind w:firstLine="640" w:firstLineChars="200"/>
        <w:rPr>
          <w:rFonts w:ascii="楷体_GB2312" w:eastAsia="楷体_GB2312"/>
          <w:sz w:val="32"/>
          <w:szCs w:val="32"/>
        </w:rPr>
      </w:pPr>
      <w:r>
        <w:rPr>
          <w:rFonts w:hint="eastAsia" w:ascii="楷体_GB2312" w:eastAsia="楷体_GB2312"/>
          <w:sz w:val="32"/>
          <w:szCs w:val="32"/>
        </w:rPr>
        <w:t>（二）依申请公开</w:t>
      </w:r>
    </w:p>
    <w:p>
      <w:pPr>
        <w:spacing w:line="560" w:lineRule="exact"/>
        <w:ind w:firstLine="643" w:firstLineChars="200"/>
        <w:rPr>
          <w:rFonts w:ascii="仿宋_GB2312" w:eastAsia="仿宋_GB2312"/>
          <w:b/>
          <w:sz w:val="32"/>
          <w:szCs w:val="32"/>
        </w:rPr>
      </w:pPr>
      <w:r>
        <w:rPr>
          <w:rFonts w:hint="eastAsia" w:ascii="仿宋_GB2312" w:eastAsia="仿宋_GB2312"/>
          <w:b/>
          <w:sz w:val="32"/>
          <w:szCs w:val="32"/>
        </w:rPr>
        <w:t>1.收到和处理政府信息公开申请情况。</w:t>
      </w:r>
    </w:p>
    <w:p>
      <w:pPr>
        <w:spacing w:line="540" w:lineRule="exact"/>
        <w:ind w:firstLine="420" w:firstLineChars="200"/>
        <w:rPr>
          <w:rFonts w:ascii="仿宋_GB2312" w:eastAsia="仿宋_GB2312"/>
          <w:b/>
          <w:sz w:val="32"/>
          <w:szCs w:val="32"/>
        </w:rPr>
      </w:pPr>
      <w:r>
        <w:drawing>
          <wp:anchor distT="0" distB="0" distL="114300" distR="114300" simplePos="0" relativeHeight="251666432" behindDoc="0" locked="0" layoutInCell="1" allowOverlap="1">
            <wp:simplePos x="0" y="0"/>
            <wp:positionH relativeFrom="margin">
              <wp:posOffset>25400</wp:posOffset>
            </wp:positionH>
            <wp:positionV relativeFrom="margin">
              <wp:posOffset>2473960</wp:posOffset>
            </wp:positionV>
            <wp:extent cx="5486400" cy="3468370"/>
            <wp:effectExtent l="0" t="0" r="19050" b="17780"/>
            <wp:wrapSquare wrapText="bothSides"/>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Pr>
          <w:rFonts w:hint="eastAsia" w:ascii="仿宋_GB2312" w:eastAsia="仿宋_GB2312"/>
          <w:sz w:val="32"/>
          <w:szCs w:val="32"/>
        </w:rPr>
        <w:t>2020年，县政府及各镇办、各部门共收到政府信息公开申请109件，申请办结数112件（含上年结转3件）。在办结的申请中：予以公开26件，占23.2%；部分公开33件，占29.5%；不予公开8件，占7.1%；无法提供45件，占40.2%；不予处理0件，占0%；其他处理0件，占0%。</w:t>
      </w:r>
      <w:r>
        <w:rPr>
          <w:rFonts w:ascii="仿宋_GB2312" w:eastAsia="仿宋_GB2312"/>
          <w:b/>
          <w:sz w:val="32"/>
          <w:szCs w:val="32"/>
        </w:rPr>
        <w:br w:type="textWrapping" w:clear="all"/>
      </w:r>
      <w:r>
        <w:rPr>
          <w:rFonts w:hint="eastAsia" w:ascii="仿宋_GB2312" w:eastAsia="仿宋_GB2312"/>
          <w:b/>
          <w:sz w:val="32"/>
          <w:szCs w:val="32"/>
        </w:rPr>
        <w:t xml:space="preserve">    2. 收费和减免情况。</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2020年度，县政府及各镇办、各部门在政府信息公开申请办理过程中，未收取任何费用。</w:t>
      </w:r>
    </w:p>
    <w:p>
      <w:pPr>
        <w:spacing w:line="560" w:lineRule="exact"/>
        <w:ind w:firstLine="643" w:firstLineChars="200"/>
        <w:rPr>
          <w:rFonts w:ascii="仿宋_GB2312" w:eastAsia="仿宋_GB2312"/>
          <w:b/>
          <w:sz w:val="32"/>
          <w:szCs w:val="32"/>
        </w:rPr>
      </w:pPr>
      <w:r>
        <w:rPr>
          <w:rFonts w:hint="eastAsia" w:ascii="仿宋_GB2312" w:eastAsia="仿宋_GB2312"/>
          <w:b/>
          <w:sz w:val="32"/>
          <w:szCs w:val="32"/>
        </w:rPr>
        <w:t>3.政府信息公开行政复议、行政诉讼情况。</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2020年，县政府及各镇办、各部门因政府信息公开被申请行政复议23件。其中，结果维持22件、结果纠正1件，其他结果数0件，尚未审结数0件，分别占95.7%、4.3%、0%、0%。</w:t>
      </w:r>
    </w:p>
    <w:p>
      <w:pPr>
        <w:spacing w:line="540" w:lineRule="exact"/>
        <w:ind w:firstLine="640" w:firstLineChars="200"/>
        <w:rPr>
          <w:rFonts w:ascii="仿宋_GB2312" w:eastAsia="仿宋_GB2312"/>
          <w:sz w:val="32"/>
          <w:szCs w:val="32"/>
        </w:rPr>
      </w:pPr>
      <w:r>
        <w:rPr>
          <w:rFonts w:hint="eastAsia" w:ascii="仿宋_GB2312" w:eastAsia="仿宋_GB2312"/>
          <w:sz w:val="32"/>
          <w:szCs w:val="32"/>
        </w:rPr>
        <w:t>因政府信息公开被提起行政诉讼16件。其中，未经复议直接起诉12件，复议后起诉4件，分别占75%和25%。在行政诉讼案件中，结果维持数14件，结果纠正数0件，尚未审结数2件，其他结果数0件，分别占87.5%、0%、12.5%、0%。</w:t>
      </w:r>
    </w:p>
    <w:p>
      <w:pPr>
        <w:jc w:val="center"/>
        <w:rPr>
          <w:rFonts w:ascii="楷体_GB2312" w:eastAsia="楷体_GB2312"/>
          <w:sz w:val="32"/>
          <w:szCs w:val="32"/>
        </w:rPr>
      </w:pPr>
      <w:r>
        <w:drawing>
          <wp:anchor distT="0" distB="0" distL="114300" distR="114300" simplePos="0" relativeHeight="251667456" behindDoc="0" locked="0" layoutInCell="1" allowOverlap="1">
            <wp:simplePos x="0" y="0"/>
            <wp:positionH relativeFrom="margin">
              <wp:posOffset>264795</wp:posOffset>
            </wp:positionH>
            <wp:positionV relativeFrom="margin">
              <wp:posOffset>5008245</wp:posOffset>
            </wp:positionV>
            <wp:extent cx="5059045" cy="3289935"/>
            <wp:effectExtent l="0" t="0" r="27305" b="24765"/>
            <wp:wrapSquare wrapText="bothSides"/>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drawing>
          <wp:inline distT="0" distB="0" distL="0" distR="0">
            <wp:extent cx="5059045" cy="3101975"/>
            <wp:effectExtent l="0" t="0" r="27305" b="2222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spacing w:line="560" w:lineRule="exact"/>
        <w:ind w:firstLine="640" w:firstLineChars="200"/>
        <w:rPr>
          <w:rFonts w:ascii="楷体_GB2312" w:eastAsia="楷体_GB2312"/>
          <w:sz w:val="32"/>
          <w:szCs w:val="32"/>
        </w:rPr>
      </w:pPr>
      <w:r>
        <w:rPr>
          <w:rFonts w:hint="eastAsia" w:ascii="楷体_GB2312" w:eastAsia="楷体_GB2312"/>
          <w:sz w:val="32"/>
          <w:szCs w:val="32"/>
        </w:rPr>
        <w:t>（三）政府信息管理</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实行政府信息全生命周期管理，健全政府信息管理动态调整机制，及时更新信息内容，定期对不予公开的政府信息进行评估，对因形势变化可以公开的及时予以公开，对失效、废止的政府信息定期清理，及时公开清理结果。2020年9月，开展民法典涉及行政规范性文件清理工作，清理范围为现行有效的34件县政府行政规范性文件；经制定部门对照清理，34件行政规范性文件没发现有与民法典的精神、原则和规定不一致的规定，继续保留，并通过政府网站对继续有效的政府行政规范性文件目录进行了公开。</w:t>
      </w:r>
    </w:p>
    <w:p>
      <w:pPr>
        <w:spacing w:line="560" w:lineRule="exact"/>
        <w:ind w:firstLine="640" w:firstLineChars="200"/>
        <w:rPr>
          <w:rFonts w:ascii="楷体_GB2312" w:eastAsia="楷体_GB2312"/>
          <w:sz w:val="32"/>
          <w:szCs w:val="32"/>
        </w:rPr>
      </w:pPr>
      <w:r>
        <w:rPr>
          <w:rFonts w:hint="eastAsia" w:ascii="楷体_GB2312" w:eastAsia="楷体_GB2312"/>
          <w:sz w:val="32"/>
          <w:szCs w:val="32"/>
        </w:rPr>
        <w:t>（四）平台建设</w:t>
      </w:r>
    </w:p>
    <w:p>
      <w:pPr>
        <w:spacing w:line="560" w:lineRule="exact"/>
        <w:ind w:firstLine="643" w:firstLineChars="200"/>
        <w:rPr>
          <w:rFonts w:ascii="仿宋_GB2312" w:eastAsia="仿宋_GB2312"/>
          <w:b/>
          <w:sz w:val="32"/>
          <w:szCs w:val="32"/>
        </w:rPr>
      </w:pPr>
      <w:r>
        <w:rPr>
          <w:rFonts w:hint="eastAsia" w:ascii="仿宋_GB2312" w:eastAsia="仿宋_GB2312"/>
          <w:b/>
          <w:sz w:val="32"/>
          <w:szCs w:val="32"/>
        </w:rPr>
        <w:t>1.政府门户网站。</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发挥政府门户网站“第一公开平台”作用，全面改版政府信息公开版块，优化栏目设置，突出专题公开模式，对政策文件、双随机一公开、行政执法公示、财政信息、重大行政决策、规范性文件、政策解读、建议提案办理等进行分级分类展示。</w:t>
      </w:r>
    </w:p>
    <w:p>
      <w:pPr>
        <w:spacing w:line="560" w:lineRule="exact"/>
        <w:ind w:firstLine="643" w:firstLineChars="200"/>
        <w:rPr>
          <w:rFonts w:ascii="仿宋_GB2312" w:eastAsia="仿宋_GB2312"/>
          <w:b/>
          <w:sz w:val="32"/>
          <w:szCs w:val="32"/>
        </w:rPr>
      </w:pPr>
      <w:r>
        <w:rPr>
          <w:rFonts w:hint="eastAsia" w:ascii="仿宋_GB2312" w:eastAsia="仿宋_GB2312"/>
          <w:b/>
          <w:sz w:val="32"/>
          <w:szCs w:val="32"/>
        </w:rPr>
        <w:t>2.政务新媒体。</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加大政务微博、微信、客户端等新媒体平台的政府信息公开力度，扩大政府信息受众面。</w:t>
      </w:r>
    </w:p>
    <w:p>
      <w:pPr>
        <w:spacing w:line="560" w:lineRule="exact"/>
        <w:ind w:left="105" w:leftChars="50" w:firstLine="482" w:firstLineChars="150"/>
        <w:rPr>
          <w:rFonts w:ascii="仿宋_GB2312" w:eastAsia="仿宋_GB2312"/>
          <w:b/>
          <w:sz w:val="32"/>
          <w:szCs w:val="32"/>
        </w:rPr>
      </w:pPr>
      <w:r>
        <w:rPr>
          <w:rFonts w:hint="eastAsia" w:ascii="仿宋_GB2312" w:eastAsia="仿宋_GB2312"/>
          <w:b/>
          <w:sz w:val="32"/>
          <w:szCs w:val="32"/>
        </w:rPr>
        <w:t>3.政府公报。</w:t>
      </w:r>
    </w:p>
    <w:p>
      <w:pPr>
        <w:spacing w:line="560" w:lineRule="exact"/>
        <w:ind w:left="105" w:leftChars="50" w:firstLine="480" w:firstLineChars="150"/>
        <w:rPr>
          <w:rFonts w:ascii="仿宋_GB2312" w:eastAsia="仿宋_GB2312"/>
          <w:sz w:val="32"/>
          <w:szCs w:val="32"/>
        </w:rPr>
      </w:pPr>
      <w:r>
        <w:rPr>
          <w:rFonts w:hint="eastAsia" w:ascii="仿宋_GB2312" w:eastAsia="仿宋_GB2312"/>
          <w:sz w:val="32"/>
          <w:szCs w:val="32"/>
        </w:rPr>
        <w:t>持续做好政府公报出版发行，2020年《高青县人民政府公报》出刊4期，赠阅范围覆盖全县党政机关、基层村（居、社区）委员会，县图书馆、档案馆、政务服务大厅等公共场所，政府公报电子版全部通过政府网站公开，方便公众查阅下载和保存。</w:t>
      </w:r>
    </w:p>
    <w:p>
      <w:pPr>
        <w:spacing w:line="560" w:lineRule="exact"/>
        <w:ind w:firstLine="640" w:firstLineChars="200"/>
        <w:rPr>
          <w:rFonts w:ascii="楷体_GB2312" w:eastAsia="楷体_GB2312"/>
          <w:sz w:val="32"/>
          <w:szCs w:val="32"/>
        </w:rPr>
      </w:pPr>
      <w:r>
        <w:rPr>
          <w:rFonts w:hint="eastAsia" w:ascii="楷体_GB2312" w:eastAsia="楷体_GB2312"/>
          <w:sz w:val="32"/>
          <w:szCs w:val="32"/>
        </w:rPr>
        <w:t>（五）监督保障</w:t>
      </w:r>
    </w:p>
    <w:p>
      <w:pPr>
        <w:spacing w:line="560" w:lineRule="exact"/>
        <w:ind w:firstLine="643" w:firstLineChars="200"/>
        <w:rPr>
          <w:rFonts w:ascii="仿宋_GB2312" w:eastAsia="仿宋_GB2312"/>
          <w:b/>
          <w:sz w:val="32"/>
          <w:szCs w:val="32"/>
        </w:rPr>
      </w:pPr>
      <w:r>
        <w:rPr>
          <w:rFonts w:hint="eastAsia" w:ascii="仿宋_GB2312" w:eastAsia="仿宋_GB2312"/>
          <w:b/>
          <w:sz w:val="32"/>
          <w:szCs w:val="32"/>
        </w:rPr>
        <w:t>1.体制机制。</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加强组织领导。明确县委常委、副县长分管政务公开工作，并通过政府网站对外公开。制定了《高青县人民政府办公室关于调整部分县政府议事协调机构组成人员的通知》（高政办字〔2020〕47号），调整了高青县政务公开领导小组，由分管政府公开工作的县委常委、副县长任组长，县政府工作部门分管负责同志任成员，领导小组办公室设在县政府办公室，承担政务公开领导小组日常工作。</w:t>
      </w:r>
    </w:p>
    <w:p>
      <w:pPr>
        <w:spacing w:line="560" w:lineRule="exact"/>
        <w:ind w:firstLine="640" w:firstLineChars="200"/>
        <w:rPr>
          <w:rFonts w:ascii="仿宋_GB2312" w:eastAsia="仿宋_GB2312"/>
          <w:sz w:val="32"/>
          <w:szCs w:val="32"/>
        </w:rPr>
      </w:pPr>
      <w:r>
        <w:rPr>
          <w:rFonts w:ascii="仿宋_GB2312" w:eastAsia="仿宋_GB2312"/>
          <w:sz w:val="32"/>
          <w:szCs w:val="32"/>
        </w:rPr>
        <w:drawing>
          <wp:anchor distT="0" distB="0" distL="114300" distR="114300" simplePos="0" relativeHeight="251668480" behindDoc="0" locked="0" layoutInCell="1" allowOverlap="1">
            <wp:simplePos x="0" y="0"/>
            <wp:positionH relativeFrom="margin">
              <wp:posOffset>2797175</wp:posOffset>
            </wp:positionH>
            <wp:positionV relativeFrom="margin">
              <wp:posOffset>4179570</wp:posOffset>
            </wp:positionV>
            <wp:extent cx="2831465" cy="3640455"/>
            <wp:effectExtent l="0" t="0" r="6985" b="0"/>
            <wp:wrapSquare wrapText="bothSides"/>
            <wp:docPr id="2" name="图片 2" descr="E:\信息中心\政府信息公开\信息公开年报\年报\图片\副本\2020要点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信息中心\政府信息公开\信息公开年报\年报\图片\副本\2020要点_副本.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831465" cy="3640455"/>
                    </a:xfrm>
                    <a:prstGeom prst="rect">
                      <a:avLst/>
                    </a:prstGeom>
                    <a:noFill/>
                    <a:ln>
                      <a:noFill/>
                    </a:ln>
                  </pic:spPr>
                </pic:pic>
              </a:graphicData>
            </a:graphic>
          </wp:anchor>
        </w:drawing>
      </w:r>
      <w:r>
        <w:rPr>
          <w:rFonts w:hint="eastAsia" w:ascii="仿宋_GB2312" w:eastAsia="仿宋_GB2312"/>
          <w:sz w:val="32"/>
          <w:szCs w:val="32"/>
        </w:rPr>
        <w:t>完善制度建设。出台了《高青县人民政府办公室关于印发高青县2020年政务公开工作要点的通知》（高政办字〔2020〕32号），围绕行政权力运行、中心工作和重点领域、政策解读、政务公开标准化规范化等做好公开，明确具体牵头落实单位，为各项任务的落实提供了依据。出台了《高青县人民政府办公室关于印发&lt;高青县全面推进基层政务公开标准化规范化工作实施方案&gt;的通知》（高政办字〔2020〕34号），对落实试点领域标准指引、加强政务公开平台规范化、优化政务公开制度体系进行部署，全面推进我县基层政务公开标准化规范化工作。</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配齐公开机构和人员。高青县人民政府办公室作为全县政府信息公开工作主管部门，负责推进、指导、协调、监督全县政府信息公开和政务公开工作，承担县政务公开领导小组的日常工作。县政府办公室政府信息公开工作机构和申请受理机构为：高青县人民政府办公室信息调研科。信息调研科2人负责政务公开工作，其中1人专职，1人兼职。各镇办、各部门办公室负责政府信息公开工作，全县政府信息公开工作机构数量为42个，工作人员数量为60余人。</w:t>
      </w:r>
    </w:p>
    <w:p>
      <w:pPr>
        <w:spacing w:line="560" w:lineRule="exact"/>
        <w:ind w:firstLine="643" w:firstLineChars="200"/>
        <w:rPr>
          <w:rFonts w:ascii="仿宋_GB2312" w:eastAsia="仿宋_GB2312"/>
          <w:b/>
          <w:sz w:val="32"/>
          <w:szCs w:val="32"/>
        </w:rPr>
      </w:pPr>
      <w:r>
        <w:rPr>
          <w:rFonts w:hint="eastAsia" w:ascii="仿宋_GB2312" w:eastAsia="仿宋_GB2312"/>
          <w:b/>
          <w:sz w:val="32"/>
          <w:szCs w:val="32"/>
        </w:rPr>
        <w:t>2.工作考核。</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出台了《关于印发&lt;2020年度镇（街道、部门单位和园区经济社会发展综合考核实施办法）&gt;的通知》（高考发</w:t>
      </w:r>
      <w:r>
        <w:rPr>
          <w:rFonts w:hint="eastAsia" w:ascii="仿宋_GB2312" w:eastAsia="仿宋_GB2312" w:hAnsiTheme="minorEastAsia"/>
          <w:sz w:val="32"/>
          <w:szCs w:val="32"/>
        </w:rPr>
        <w:t>〔</w:t>
      </w:r>
      <w:r>
        <w:rPr>
          <w:rFonts w:hint="eastAsia" w:ascii="仿宋_GB2312" w:eastAsia="仿宋_GB2312"/>
          <w:sz w:val="32"/>
          <w:szCs w:val="32"/>
        </w:rPr>
        <w:t>2020</w:t>
      </w:r>
      <w:r>
        <w:rPr>
          <w:rFonts w:hint="eastAsia" w:ascii="仿宋_GB2312" w:hAnsi="宋体" w:eastAsia="仿宋_GB2312"/>
          <w:sz w:val="32"/>
          <w:szCs w:val="32"/>
        </w:rPr>
        <w:t>〕</w:t>
      </w:r>
      <w:r>
        <w:rPr>
          <w:rFonts w:hint="eastAsia" w:ascii="仿宋_GB2312" w:eastAsia="仿宋_GB2312"/>
          <w:sz w:val="32"/>
          <w:szCs w:val="32"/>
        </w:rPr>
        <w:t>2号），把政务公开纳入全县经济社会发展综合考核指标体系。制定了《高青县政务公开考核细则》，重点对政府信息公开内容、公开质量、公开时限等进行考核，规范政府信息发布。</w:t>
      </w:r>
    </w:p>
    <w:p>
      <w:pPr>
        <w:spacing w:line="560" w:lineRule="exact"/>
        <w:ind w:firstLine="643" w:firstLineChars="200"/>
        <w:rPr>
          <w:rFonts w:ascii="仿宋_GB2312" w:eastAsia="仿宋_GB2312"/>
          <w:b/>
          <w:sz w:val="32"/>
          <w:szCs w:val="32"/>
        </w:rPr>
      </w:pPr>
      <w:r>
        <w:rPr>
          <w:rFonts w:hint="eastAsia" w:ascii="仿宋_GB2312" w:eastAsia="仿宋_GB2312"/>
          <w:b/>
          <w:sz w:val="32"/>
          <w:szCs w:val="32"/>
        </w:rPr>
        <w:t>3.社会评议。</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在政府门户网站政务公开版块，开设“政府信息公开评议”栏目，群众可以在线评议，对全县政府信息公开的公开内容、范围、规范性表述自己的意见建议。</w:t>
      </w:r>
    </w:p>
    <w:p>
      <w:pPr>
        <w:spacing w:line="560" w:lineRule="exact"/>
        <w:ind w:firstLine="643" w:firstLineChars="200"/>
        <w:rPr>
          <w:rFonts w:ascii="仿宋_GB2312" w:eastAsia="仿宋_GB2312"/>
          <w:b/>
          <w:sz w:val="32"/>
          <w:szCs w:val="32"/>
        </w:rPr>
      </w:pPr>
      <w:r>
        <w:rPr>
          <w:rFonts w:hint="eastAsia" w:ascii="仿宋_GB2312" w:eastAsia="仿宋_GB2312"/>
          <w:b/>
          <w:sz w:val="32"/>
          <w:szCs w:val="32"/>
        </w:rPr>
        <w:t>4.业务培训。</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通过政府门户网站发布政府信息公开培训计划。2020年度，共组织县级培训4次，对政务公开工作要点、基层政务公开标准化规范化、政务公开政策解读与操作实务等内容进行了培训。</w:t>
      </w:r>
    </w:p>
    <w:p>
      <w:pPr>
        <w:spacing w:line="560" w:lineRule="exact"/>
        <w:ind w:firstLine="643" w:firstLineChars="200"/>
        <w:rPr>
          <w:rFonts w:ascii="仿宋_GB2312" w:eastAsia="仿宋_GB2312"/>
          <w:b/>
          <w:sz w:val="32"/>
          <w:szCs w:val="32"/>
        </w:rPr>
      </w:pPr>
      <w:r>
        <w:rPr>
          <w:rFonts w:hint="eastAsia" w:ascii="仿宋_GB2312" w:eastAsia="仿宋_GB2312"/>
          <w:b/>
          <w:sz w:val="32"/>
          <w:szCs w:val="32"/>
        </w:rPr>
        <w:t>5.责任追究。</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严格落实政府信息公开保密审查制度。坚持“先审查后审核”原则，在公开政府信息前，按照相关法律法规和政策规定，对拟公开政府信息是否涉密进行审核把关。持续加强对各单位政府信息公开工作监督检查，对存在问题单位及时反馈问题清单并抓好整改。</w:t>
      </w: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rPr>
          <w:rFonts w:ascii="仿宋_GB2312" w:eastAsia="仿宋_GB2312"/>
          <w:sz w:val="32"/>
          <w:szCs w:val="32"/>
        </w:rPr>
      </w:pPr>
      <w:bookmarkStart w:id="0" w:name="_GoBack"/>
      <w:bookmarkEnd w:id="0"/>
    </w:p>
    <w:p>
      <w:pPr>
        <w:spacing w:line="560" w:lineRule="exact"/>
        <w:ind w:firstLine="640" w:firstLineChars="200"/>
        <w:rPr>
          <w:rFonts w:ascii="黑体" w:hAnsi="黑体" w:eastAsia="黑体"/>
          <w:sz w:val="32"/>
          <w:szCs w:val="32"/>
        </w:rPr>
      </w:pPr>
      <w:r>
        <w:rPr>
          <w:rFonts w:hint="eastAsia" w:ascii="黑体" w:hAnsi="黑体" w:eastAsia="黑体"/>
          <w:sz w:val="32"/>
          <w:szCs w:val="32"/>
        </w:rPr>
        <w:t>二、主动公开政府信息情况</w:t>
      </w:r>
    </w:p>
    <w:tbl>
      <w:tblPr>
        <w:tblStyle w:val="7"/>
        <w:tblW w:w="8705" w:type="dxa"/>
        <w:jc w:val="center"/>
        <w:tblLayout w:type="autofit"/>
        <w:tblCellMar>
          <w:top w:w="0" w:type="dxa"/>
          <w:left w:w="108" w:type="dxa"/>
          <w:bottom w:w="0" w:type="dxa"/>
          <w:right w:w="108" w:type="dxa"/>
        </w:tblCellMar>
      </w:tblPr>
      <w:tblGrid>
        <w:gridCol w:w="2752"/>
        <w:gridCol w:w="1984"/>
        <w:gridCol w:w="1985"/>
        <w:gridCol w:w="1984"/>
      </w:tblGrid>
      <w:tr>
        <w:tblPrEx>
          <w:tblCellMar>
            <w:top w:w="0" w:type="dxa"/>
            <w:left w:w="108" w:type="dxa"/>
            <w:bottom w:w="0" w:type="dxa"/>
            <w:right w:w="108" w:type="dxa"/>
          </w:tblCellMar>
        </w:tblPrEx>
        <w:trPr>
          <w:trHeight w:val="495" w:hRule="atLeast"/>
          <w:jc w:val="center"/>
        </w:trPr>
        <w:tc>
          <w:tcPr>
            <w:tcW w:w="8705"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宋体" w:hAnsi="宋体" w:eastAsia="宋体" w:cs="宋体"/>
                <w:b/>
                <w:color w:val="333333"/>
                <w:kern w:val="0"/>
                <w:sz w:val="24"/>
                <w:szCs w:val="24"/>
              </w:rPr>
            </w:pPr>
            <w:r>
              <w:rPr>
                <w:rFonts w:hint="eastAsia" w:ascii="宋体" w:hAnsi="宋体" w:eastAsia="宋体" w:cs="宋体"/>
                <w:b/>
                <w:color w:val="333333"/>
                <w:kern w:val="0"/>
                <w:sz w:val="24"/>
                <w:szCs w:val="24"/>
              </w:rPr>
              <w:t>第二十条第（一）项</w:t>
            </w:r>
          </w:p>
        </w:tc>
      </w:tr>
      <w:tr>
        <w:tblPrEx>
          <w:tblCellMar>
            <w:top w:w="0" w:type="dxa"/>
            <w:left w:w="108" w:type="dxa"/>
            <w:bottom w:w="0" w:type="dxa"/>
            <w:right w:w="108" w:type="dxa"/>
          </w:tblCellMar>
        </w:tblPrEx>
        <w:trPr>
          <w:trHeight w:val="882" w:hRule="atLeast"/>
          <w:jc w:val="center"/>
        </w:trPr>
        <w:tc>
          <w:tcPr>
            <w:tcW w:w="2752" w:type="dxa"/>
            <w:tcBorders>
              <w:top w:val="nil"/>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eastAsia="宋体" w:cs="宋体"/>
                <w:color w:val="333333"/>
                <w:kern w:val="0"/>
                <w:sz w:val="24"/>
                <w:szCs w:val="24"/>
              </w:rPr>
            </w:pPr>
            <w:r>
              <w:rPr>
                <w:rFonts w:hint="eastAsia" w:ascii="宋体" w:hAnsi="宋体" w:eastAsia="宋体" w:cs="宋体"/>
                <w:color w:val="000000"/>
                <w:kern w:val="0"/>
                <w:sz w:val="24"/>
                <w:szCs w:val="24"/>
              </w:rPr>
              <w:t>信息内容</w:t>
            </w:r>
          </w:p>
        </w:tc>
        <w:tc>
          <w:tcPr>
            <w:tcW w:w="1984" w:type="dxa"/>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eastAsia="宋体" w:cs="宋体"/>
                <w:color w:val="333333"/>
                <w:kern w:val="0"/>
                <w:sz w:val="24"/>
                <w:szCs w:val="24"/>
              </w:rPr>
            </w:pPr>
            <w:r>
              <w:rPr>
                <w:rFonts w:hint="eastAsia" w:ascii="宋体" w:hAnsi="宋体" w:eastAsia="宋体" w:cs="宋体"/>
                <w:color w:val="000000"/>
                <w:kern w:val="0"/>
                <w:sz w:val="24"/>
                <w:szCs w:val="24"/>
              </w:rPr>
              <w:t>本年新</w:t>
            </w:r>
            <w:r>
              <w:rPr>
                <w:rFonts w:ascii="宋体" w:hAnsi="宋体" w:eastAsia="宋体" w:cs="宋体"/>
                <w:color w:val="333333"/>
                <w:kern w:val="0"/>
                <w:sz w:val="24"/>
                <w:szCs w:val="24"/>
              </w:rPr>
              <w:t>制作数量</w:t>
            </w:r>
          </w:p>
        </w:tc>
        <w:tc>
          <w:tcPr>
            <w:tcW w:w="1985" w:type="dxa"/>
            <w:tcBorders>
              <w:top w:val="single" w:color="auto" w:sz="4" w:space="0"/>
              <w:left w:val="nil"/>
              <w:bottom w:val="single" w:color="auto" w:sz="4" w:space="0"/>
              <w:right w:val="single" w:color="auto" w:sz="4" w:space="0"/>
            </w:tcBorders>
            <w:vAlign w:val="center"/>
          </w:tcPr>
          <w:p>
            <w:pPr>
              <w:widowControl/>
              <w:spacing w:line="360" w:lineRule="auto"/>
              <w:jc w:val="center"/>
              <w:rPr>
                <w:rFonts w:ascii="宋体" w:hAnsi="宋体" w:eastAsia="宋体" w:cs="宋体"/>
                <w:color w:val="333333"/>
                <w:kern w:val="0"/>
                <w:sz w:val="24"/>
                <w:szCs w:val="24"/>
              </w:rPr>
            </w:pPr>
            <w:r>
              <w:rPr>
                <w:rFonts w:hint="eastAsia" w:ascii="宋体" w:hAnsi="宋体" w:eastAsia="宋体" w:cs="宋体"/>
                <w:color w:val="000000"/>
                <w:kern w:val="0"/>
                <w:sz w:val="24"/>
                <w:szCs w:val="24"/>
              </w:rPr>
              <w:t>本年新</w:t>
            </w:r>
            <w:r>
              <w:rPr>
                <w:rFonts w:ascii="宋体" w:hAnsi="宋体" w:eastAsia="宋体" w:cs="宋体"/>
                <w:color w:val="333333"/>
                <w:kern w:val="0"/>
                <w:sz w:val="24"/>
                <w:szCs w:val="24"/>
              </w:rPr>
              <w:t>公开数量</w:t>
            </w:r>
          </w:p>
        </w:tc>
        <w:tc>
          <w:tcPr>
            <w:tcW w:w="1984"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eastAsia="宋体" w:cs="宋体"/>
                <w:color w:val="333333"/>
                <w:kern w:val="0"/>
                <w:sz w:val="24"/>
                <w:szCs w:val="24"/>
              </w:rPr>
            </w:pPr>
            <w:r>
              <w:rPr>
                <w:rFonts w:hint="eastAsia" w:ascii="宋体" w:hAnsi="宋体" w:eastAsia="宋体" w:cs="宋体"/>
                <w:color w:val="000000"/>
                <w:kern w:val="0"/>
                <w:sz w:val="24"/>
                <w:szCs w:val="24"/>
              </w:rPr>
              <w:t>对外公开总数量</w:t>
            </w:r>
          </w:p>
        </w:tc>
      </w:tr>
      <w:tr>
        <w:tblPrEx>
          <w:tblCellMar>
            <w:top w:w="0" w:type="dxa"/>
            <w:left w:w="108" w:type="dxa"/>
            <w:bottom w:w="0" w:type="dxa"/>
            <w:right w:w="108" w:type="dxa"/>
          </w:tblCellMar>
        </w:tblPrEx>
        <w:trPr>
          <w:trHeight w:val="692" w:hRule="atLeast"/>
          <w:jc w:val="center"/>
        </w:trPr>
        <w:tc>
          <w:tcPr>
            <w:tcW w:w="2752" w:type="dxa"/>
            <w:tcBorders>
              <w:top w:val="nil"/>
              <w:left w:val="single" w:color="auto" w:sz="4" w:space="0"/>
              <w:bottom w:val="single" w:color="auto" w:sz="4" w:space="0"/>
              <w:right w:val="single" w:color="auto" w:sz="4" w:space="0"/>
            </w:tcBorders>
            <w:noWrap/>
            <w:vAlign w:val="center"/>
          </w:tcPr>
          <w:p>
            <w:pPr>
              <w:widowControl/>
              <w:spacing w:line="360" w:lineRule="auto"/>
              <w:jc w:val="left"/>
              <w:rPr>
                <w:rFonts w:ascii="宋体" w:hAnsi="宋体" w:eastAsia="宋体" w:cs="宋体"/>
                <w:color w:val="333333"/>
                <w:kern w:val="0"/>
                <w:sz w:val="24"/>
                <w:szCs w:val="24"/>
              </w:rPr>
            </w:pPr>
            <w:r>
              <w:rPr>
                <w:rFonts w:hint="eastAsia" w:ascii="宋体" w:hAnsi="宋体" w:eastAsia="宋体" w:cs="宋体"/>
                <w:color w:val="000000"/>
                <w:kern w:val="0"/>
                <w:sz w:val="24"/>
                <w:szCs w:val="24"/>
              </w:rPr>
              <w:t>规章</w:t>
            </w:r>
          </w:p>
        </w:tc>
        <w:tc>
          <w:tcPr>
            <w:tcW w:w="1984" w:type="dxa"/>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eastAsia="宋体" w:cs="宋体"/>
                <w:color w:val="333333"/>
                <w:kern w:val="0"/>
                <w:sz w:val="24"/>
                <w:szCs w:val="24"/>
              </w:rPr>
            </w:pPr>
            <w:r>
              <w:rPr>
                <w:rFonts w:hint="eastAsia" w:ascii="宋体" w:hAnsi="宋体" w:eastAsia="宋体" w:cs="宋体"/>
                <w:color w:val="000000"/>
                <w:kern w:val="0"/>
                <w:sz w:val="24"/>
                <w:szCs w:val="24"/>
              </w:rPr>
              <w:t>0</w:t>
            </w:r>
          </w:p>
        </w:tc>
        <w:tc>
          <w:tcPr>
            <w:tcW w:w="1985" w:type="dxa"/>
            <w:tcBorders>
              <w:top w:val="single" w:color="auto" w:sz="4" w:space="0"/>
              <w:left w:val="nil"/>
              <w:bottom w:val="single" w:color="auto" w:sz="4" w:space="0"/>
              <w:right w:val="single" w:color="auto" w:sz="4" w:space="0"/>
            </w:tcBorders>
            <w:vAlign w:val="center"/>
          </w:tcPr>
          <w:p>
            <w:pPr>
              <w:widowControl/>
              <w:spacing w:line="360" w:lineRule="auto"/>
              <w:jc w:val="center"/>
              <w:rPr>
                <w:rFonts w:ascii="宋体" w:hAnsi="宋体" w:eastAsia="宋体" w:cs="宋体"/>
                <w:color w:val="333333"/>
                <w:kern w:val="0"/>
                <w:sz w:val="24"/>
                <w:szCs w:val="24"/>
              </w:rPr>
            </w:pPr>
            <w:r>
              <w:rPr>
                <w:rFonts w:hint="eastAsia" w:ascii="宋体" w:hAnsi="Calibri" w:eastAsia="宋体" w:cs="Times New Roman"/>
                <w:color w:val="000000"/>
                <w:kern w:val="0"/>
                <w:sz w:val="24"/>
                <w:szCs w:val="24"/>
              </w:rPr>
              <w:t>0</w:t>
            </w:r>
          </w:p>
        </w:tc>
        <w:tc>
          <w:tcPr>
            <w:tcW w:w="1984"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eastAsia="宋体" w:cs="宋体"/>
                <w:color w:val="333333"/>
                <w:kern w:val="0"/>
                <w:sz w:val="24"/>
                <w:szCs w:val="24"/>
              </w:rPr>
            </w:pPr>
            <w:r>
              <w:rPr>
                <w:rFonts w:hint="eastAsia" w:ascii="宋体" w:hAnsi="宋体" w:eastAsia="宋体" w:cs="宋体"/>
                <w:color w:val="000000"/>
                <w:kern w:val="0"/>
                <w:sz w:val="24"/>
                <w:szCs w:val="24"/>
              </w:rPr>
              <w:t>0</w:t>
            </w:r>
          </w:p>
        </w:tc>
      </w:tr>
      <w:tr>
        <w:tblPrEx>
          <w:tblCellMar>
            <w:top w:w="0" w:type="dxa"/>
            <w:left w:w="108" w:type="dxa"/>
            <w:bottom w:w="0" w:type="dxa"/>
            <w:right w:w="108" w:type="dxa"/>
          </w:tblCellMar>
        </w:tblPrEx>
        <w:trPr>
          <w:trHeight w:val="572" w:hRule="atLeast"/>
          <w:jc w:val="center"/>
        </w:trPr>
        <w:tc>
          <w:tcPr>
            <w:tcW w:w="2752" w:type="dxa"/>
            <w:tcBorders>
              <w:top w:val="nil"/>
              <w:left w:val="single" w:color="auto" w:sz="4" w:space="0"/>
              <w:bottom w:val="single" w:color="auto" w:sz="4" w:space="0"/>
              <w:right w:val="single" w:color="auto" w:sz="4" w:space="0"/>
            </w:tcBorders>
            <w:noWrap/>
            <w:vAlign w:val="center"/>
          </w:tcPr>
          <w:p>
            <w:pPr>
              <w:widowControl/>
              <w:spacing w:line="360" w:lineRule="auto"/>
              <w:jc w:val="left"/>
              <w:rPr>
                <w:rFonts w:ascii="宋体" w:hAnsi="宋体" w:eastAsia="宋体" w:cs="宋体"/>
                <w:color w:val="333333"/>
                <w:kern w:val="0"/>
                <w:sz w:val="24"/>
                <w:szCs w:val="24"/>
              </w:rPr>
            </w:pPr>
            <w:r>
              <w:rPr>
                <w:rFonts w:hint="eastAsia" w:ascii="宋体" w:hAnsi="宋体" w:eastAsia="宋体" w:cs="宋体"/>
                <w:color w:val="000000"/>
                <w:kern w:val="0"/>
                <w:sz w:val="24"/>
                <w:szCs w:val="24"/>
              </w:rPr>
              <w:t>规范性文件</w:t>
            </w:r>
          </w:p>
        </w:tc>
        <w:tc>
          <w:tcPr>
            <w:tcW w:w="1984"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eastAsia="宋体" w:cs="宋体"/>
                <w:color w:val="333333"/>
                <w:kern w:val="0"/>
                <w:sz w:val="24"/>
                <w:szCs w:val="24"/>
              </w:rPr>
            </w:pPr>
            <w:r>
              <w:rPr>
                <w:rFonts w:hint="eastAsia" w:ascii="宋体" w:hAnsi="宋体" w:eastAsia="宋体" w:cs="宋体"/>
                <w:color w:val="000000"/>
                <w:kern w:val="0"/>
                <w:sz w:val="24"/>
                <w:szCs w:val="24"/>
              </w:rPr>
              <w:t>10</w:t>
            </w:r>
          </w:p>
        </w:tc>
        <w:tc>
          <w:tcPr>
            <w:tcW w:w="1985" w:type="dxa"/>
            <w:tcBorders>
              <w:top w:val="nil"/>
              <w:left w:val="nil"/>
              <w:bottom w:val="single" w:color="auto" w:sz="4" w:space="0"/>
              <w:right w:val="single" w:color="auto" w:sz="4" w:space="0"/>
            </w:tcBorders>
            <w:vAlign w:val="center"/>
          </w:tcPr>
          <w:p>
            <w:pPr>
              <w:widowControl/>
              <w:spacing w:line="360" w:lineRule="auto"/>
              <w:jc w:val="center"/>
              <w:rPr>
                <w:rFonts w:ascii="宋体" w:hAnsi="宋体" w:eastAsia="宋体" w:cs="宋体"/>
                <w:color w:val="333333"/>
                <w:kern w:val="0"/>
                <w:sz w:val="24"/>
                <w:szCs w:val="24"/>
              </w:rPr>
            </w:pPr>
            <w:r>
              <w:rPr>
                <w:rFonts w:hint="eastAsia" w:ascii="宋体" w:hAnsi="Calibri" w:eastAsia="宋体" w:cs="Times New Roman"/>
                <w:color w:val="000000"/>
                <w:kern w:val="0"/>
                <w:sz w:val="24"/>
                <w:szCs w:val="24"/>
              </w:rPr>
              <w:t>10</w:t>
            </w:r>
          </w:p>
        </w:tc>
        <w:tc>
          <w:tcPr>
            <w:tcW w:w="1984"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eastAsia="宋体" w:cs="宋体"/>
                <w:color w:val="333333"/>
                <w:kern w:val="0"/>
                <w:sz w:val="24"/>
                <w:szCs w:val="24"/>
              </w:rPr>
            </w:pPr>
            <w:r>
              <w:rPr>
                <w:rFonts w:hint="eastAsia" w:ascii="宋体" w:hAnsi="宋体" w:eastAsia="宋体" w:cs="宋体"/>
                <w:color w:val="000000"/>
                <w:kern w:val="0"/>
                <w:sz w:val="24"/>
                <w:szCs w:val="24"/>
              </w:rPr>
              <w:t>26</w:t>
            </w:r>
          </w:p>
        </w:tc>
      </w:tr>
      <w:tr>
        <w:tblPrEx>
          <w:tblCellMar>
            <w:top w:w="0" w:type="dxa"/>
            <w:left w:w="108" w:type="dxa"/>
            <w:bottom w:w="0" w:type="dxa"/>
            <w:right w:w="108" w:type="dxa"/>
          </w:tblCellMar>
        </w:tblPrEx>
        <w:trPr>
          <w:trHeight w:val="480" w:hRule="atLeast"/>
          <w:jc w:val="center"/>
        </w:trPr>
        <w:tc>
          <w:tcPr>
            <w:tcW w:w="8705"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宋体" w:hAnsi="宋体" w:eastAsia="宋体" w:cs="宋体"/>
                <w:color w:val="333333"/>
                <w:kern w:val="0"/>
                <w:sz w:val="24"/>
                <w:szCs w:val="24"/>
              </w:rPr>
            </w:pPr>
            <w:r>
              <w:rPr>
                <w:rFonts w:hint="eastAsia" w:ascii="宋体" w:hAnsi="宋体" w:eastAsia="宋体" w:cs="宋体"/>
                <w:b/>
                <w:color w:val="333333"/>
                <w:kern w:val="0"/>
                <w:sz w:val="24"/>
                <w:szCs w:val="24"/>
              </w:rPr>
              <w:t>第二十条第（五）项</w:t>
            </w:r>
          </w:p>
        </w:tc>
      </w:tr>
      <w:tr>
        <w:tblPrEx>
          <w:tblCellMar>
            <w:top w:w="0" w:type="dxa"/>
            <w:left w:w="108" w:type="dxa"/>
            <w:bottom w:w="0" w:type="dxa"/>
            <w:right w:w="108" w:type="dxa"/>
          </w:tblCellMar>
        </w:tblPrEx>
        <w:trPr>
          <w:trHeight w:val="634" w:hRule="atLeast"/>
          <w:jc w:val="center"/>
        </w:trPr>
        <w:tc>
          <w:tcPr>
            <w:tcW w:w="2752" w:type="dxa"/>
            <w:tcBorders>
              <w:top w:val="nil"/>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eastAsia="宋体" w:cs="宋体"/>
                <w:color w:val="333333"/>
                <w:kern w:val="0"/>
                <w:sz w:val="24"/>
                <w:szCs w:val="24"/>
              </w:rPr>
            </w:pPr>
            <w:r>
              <w:rPr>
                <w:rFonts w:hint="eastAsia" w:ascii="宋体" w:hAnsi="宋体" w:eastAsia="宋体" w:cs="宋体"/>
                <w:color w:val="000000"/>
                <w:kern w:val="0"/>
                <w:sz w:val="24"/>
                <w:szCs w:val="24"/>
              </w:rPr>
              <w:t>信息内容</w:t>
            </w:r>
          </w:p>
        </w:tc>
        <w:tc>
          <w:tcPr>
            <w:tcW w:w="1984" w:type="dxa"/>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eastAsia="宋体" w:cs="宋体"/>
                <w:color w:val="333333"/>
                <w:kern w:val="0"/>
                <w:sz w:val="24"/>
                <w:szCs w:val="24"/>
              </w:rPr>
            </w:pPr>
            <w:r>
              <w:rPr>
                <w:rFonts w:hint="eastAsia" w:ascii="宋体" w:hAnsi="宋体" w:eastAsia="宋体" w:cs="宋体"/>
                <w:color w:val="000000"/>
                <w:kern w:val="0"/>
                <w:sz w:val="24"/>
                <w:szCs w:val="24"/>
              </w:rPr>
              <w:t>上一年项目数量</w:t>
            </w:r>
          </w:p>
        </w:tc>
        <w:tc>
          <w:tcPr>
            <w:tcW w:w="1985" w:type="dxa"/>
            <w:tcBorders>
              <w:top w:val="single" w:color="auto" w:sz="4" w:space="0"/>
              <w:left w:val="nil"/>
              <w:bottom w:val="single" w:color="auto" w:sz="4" w:space="0"/>
              <w:right w:val="single" w:color="auto" w:sz="4" w:space="0"/>
            </w:tcBorders>
            <w:vAlign w:val="center"/>
          </w:tcPr>
          <w:p>
            <w:pPr>
              <w:widowControl/>
              <w:spacing w:line="360" w:lineRule="auto"/>
              <w:jc w:val="center"/>
              <w:rPr>
                <w:rFonts w:ascii="宋体" w:hAnsi="宋体" w:eastAsia="宋体" w:cs="宋体"/>
                <w:color w:val="333333"/>
                <w:kern w:val="0"/>
                <w:sz w:val="24"/>
                <w:szCs w:val="24"/>
              </w:rPr>
            </w:pPr>
            <w:r>
              <w:rPr>
                <w:rFonts w:hint="eastAsia" w:ascii="宋体" w:hAnsi="宋体" w:eastAsia="宋体" w:cs="宋体"/>
                <w:color w:val="000000"/>
                <w:kern w:val="0"/>
                <w:sz w:val="24"/>
                <w:szCs w:val="24"/>
              </w:rPr>
              <w:t>本年增/减</w:t>
            </w:r>
          </w:p>
        </w:tc>
        <w:tc>
          <w:tcPr>
            <w:tcW w:w="1984"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eastAsia="宋体" w:cs="宋体"/>
                <w:color w:val="333333"/>
                <w:kern w:val="0"/>
                <w:sz w:val="24"/>
                <w:szCs w:val="24"/>
              </w:rPr>
            </w:pPr>
            <w:r>
              <w:rPr>
                <w:rFonts w:hint="eastAsia" w:ascii="宋体" w:hAnsi="宋体" w:eastAsia="宋体" w:cs="宋体"/>
                <w:color w:val="000000"/>
                <w:kern w:val="0"/>
                <w:sz w:val="24"/>
                <w:szCs w:val="24"/>
              </w:rPr>
              <w:t>处理决定数量</w:t>
            </w:r>
          </w:p>
        </w:tc>
      </w:tr>
      <w:tr>
        <w:tblPrEx>
          <w:tblCellMar>
            <w:top w:w="0" w:type="dxa"/>
            <w:left w:w="108" w:type="dxa"/>
            <w:bottom w:w="0" w:type="dxa"/>
            <w:right w:w="108" w:type="dxa"/>
          </w:tblCellMar>
        </w:tblPrEx>
        <w:trPr>
          <w:trHeight w:val="670" w:hRule="atLeast"/>
          <w:jc w:val="center"/>
        </w:trPr>
        <w:tc>
          <w:tcPr>
            <w:tcW w:w="2752" w:type="dxa"/>
            <w:tcBorders>
              <w:top w:val="nil"/>
              <w:left w:val="single" w:color="auto" w:sz="4" w:space="0"/>
              <w:bottom w:val="single" w:color="auto" w:sz="4" w:space="0"/>
              <w:right w:val="single" w:color="auto" w:sz="4" w:space="0"/>
            </w:tcBorders>
            <w:noWrap/>
            <w:vAlign w:val="center"/>
          </w:tcPr>
          <w:p>
            <w:pPr>
              <w:widowControl/>
              <w:spacing w:line="360" w:lineRule="auto"/>
              <w:jc w:val="left"/>
              <w:rPr>
                <w:rFonts w:ascii="宋体" w:hAnsi="宋体" w:eastAsia="宋体" w:cs="宋体"/>
                <w:color w:val="333333"/>
                <w:kern w:val="0"/>
                <w:sz w:val="24"/>
                <w:szCs w:val="24"/>
              </w:rPr>
            </w:pPr>
            <w:r>
              <w:rPr>
                <w:rFonts w:hint="eastAsia" w:ascii="宋体" w:hAnsi="宋体" w:eastAsia="宋体" w:cs="宋体"/>
                <w:color w:val="000000"/>
                <w:kern w:val="0"/>
                <w:sz w:val="24"/>
                <w:szCs w:val="24"/>
              </w:rPr>
              <w:t>行政许可</w:t>
            </w:r>
          </w:p>
        </w:tc>
        <w:tc>
          <w:tcPr>
            <w:tcW w:w="1984"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eastAsia="宋体" w:cs="宋体"/>
                <w:color w:val="333333"/>
                <w:kern w:val="0"/>
                <w:sz w:val="24"/>
                <w:szCs w:val="24"/>
              </w:rPr>
            </w:pPr>
            <w:r>
              <w:rPr>
                <w:rFonts w:hint="eastAsia" w:ascii="宋体" w:hAnsi="宋体" w:eastAsia="宋体" w:cs="宋体"/>
                <w:color w:val="000000"/>
                <w:kern w:val="0"/>
                <w:sz w:val="24"/>
                <w:szCs w:val="24"/>
              </w:rPr>
              <w:t>240</w:t>
            </w:r>
          </w:p>
        </w:tc>
        <w:tc>
          <w:tcPr>
            <w:tcW w:w="1985"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eastAsia="宋体" w:cs="宋体"/>
                <w:color w:val="333333"/>
                <w:kern w:val="0"/>
                <w:sz w:val="24"/>
                <w:szCs w:val="24"/>
              </w:rPr>
            </w:pPr>
            <w:r>
              <w:rPr>
                <w:rFonts w:hint="eastAsia" w:ascii="宋体" w:hAnsi="宋体" w:eastAsia="宋体" w:cs="宋体"/>
                <w:color w:val="000000"/>
                <w:kern w:val="0"/>
                <w:sz w:val="24"/>
                <w:szCs w:val="24"/>
              </w:rPr>
              <w:t>+14</w:t>
            </w:r>
          </w:p>
        </w:tc>
        <w:tc>
          <w:tcPr>
            <w:tcW w:w="1984"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eastAsia="宋体" w:cs="宋体"/>
                <w:color w:val="333333"/>
                <w:kern w:val="0"/>
                <w:sz w:val="24"/>
                <w:szCs w:val="24"/>
              </w:rPr>
            </w:pPr>
            <w:r>
              <w:rPr>
                <w:rFonts w:hint="eastAsia" w:ascii="宋体" w:hAnsi="宋体" w:eastAsia="宋体" w:cs="宋体"/>
                <w:color w:val="000000"/>
                <w:kern w:val="0"/>
                <w:sz w:val="24"/>
                <w:szCs w:val="24"/>
              </w:rPr>
              <w:t>15820</w:t>
            </w:r>
          </w:p>
        </w:tc>
      </w:tr>
      <w:tr>
        <w:tblPrEx>
          <w:tblCellMar>
            <w:top w:w="0" w:type="dxa"/>
            <w:left w:w="108" w:type="dxa"/>
            <w:bottom w:w="0" w:type="dxa"/>
            <w:right w:w="108" w:type="dxa"/>
          </w:tblCellMar>
        </w:tblPrEx>
        <w:trPr>
          <w:trHeight w:val="694" w:hRule="atLeast"/>
          <w:jc w:val="center"/>
        </w:trPr>
        <w:tc>
          <w:tcPr>
            <w:tcW w:w="2752" w:type="dxa"/>
            <w:tcBorders>
              <w:top w:val="nil"/>
              <w:left w:val="single" w:color="auto" w:sz="4" w:space="0"/>
              <w:bottom w:val="single" w:color="auto" w:sz="4" w:space="0"/>
              <w:right w:val="single" w:color="auto" w:sz="4" w:space="0"/>
            </w:tcBorders>
            <w:noWrap/>
            <w:vAlign w:val="center"/>
          </w:tcPr>
          <w:p>
            <w:pPr>
              <w:widowControl/>
              <w:spacing w:line="360" w:lineRule="auto"/>
              <w:jc w:val="left"/>
              <w:rPr>
                <w:rFonts w:ascii="宋体" w:hAnsi="宋体" w:eastAsia="宋体" w:cs="宋体"/>
                <w:color w:val="333333"/>
                <w:kern w:val="0"/>
                <w:sz w:val="24"/>
                <w:szCs w:val="24"/>
              </w:rPr>
            </w:pPr>
            <w:r>
              <w:rPr>
                <w:rFonts w:hint="eastAsia" w:ascii="宋体" w:hAnsi="宋体" w:eastAsia="宋体" w:cs="宋体"/>
                <w:color w:val="000000"/>
                <w:kern w:val="0"/>
                <w:sz w:val="24"/>
                <w:szCs w:val="24"/>
              </w:rPr>
              <w:t>其他对外管理服务事项</w:t>
            </w:r>
          </w:p>
        </w:tc>
        <w:tc>
          <w:tcPr>
            <w:tcW w:w="1984"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eastAsia="宋体" w:cs="宋体"/>
                <w:color w:val="333333"/>
                <w:kern w:val="0"/>
                <w:sz w:val="24"/>
                <w:szCs w:val="24"/>
              </w:rPr>
            </w:pPr>
            <w:r>
              <w:rPr>
                <w:rFonts w:hint="eastAsia" w:ascii="宋体" w:hAnsi="宋体" w:eastAsia="宋体" w:cs="宋体"/>
                <w:color w:val="000000"/>
                <w:kern w:val="0"/>
                <w:sz w:val="24"/>
                <w:szCs w:val="24"/>
              </w:rPr>
              <w:t>1377</w:t>
            </w:r>
          </w:p>
        </w:tc>
        <w:tc>
          <w:tcPr>
            <w:tcW w:w="1985"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eastAsia="宋体" w:cs="宋体"/>
                <w:color w:val="333333"/>
                <w:kern w:val="0"/>
                <w:sz w:val="24"/>
                <w:szCs w:val="24"/>
              </w:rPr>
            </w:pPr>
            <w:r>
              <w:rPr>
                <w:rFonts w:hint="eastAsia" w:ascii="宋体" w:hAnsi="宋体" w:eastAsia="宋体" w:cs="宋体"/>
                <w:color w:val="000000"/>
                <w:kern w:val="0"/>
                <w:sz w:val="24"/>
                <w:szCs w:val="24"/>
              </w:rPr>
              <w:t>-72</w:t>
            </w:r>
          </w:p>
        </w:tc>
        <w:tc>
          <w:tcPr>
            <w:tcW w:w="1984"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eastAsia="宋体" w:cs="宋体"/>
                <w:color w:val="333333"/>
                <w:kern w:val="0"/>
                <w:sz w:val="24"/>
                <w:szCs w:val="24"/>
              </w:rPr>
            </w:pPr>
            <w:r>
              <w:rPr>
                <w:rFonts w:hint="eastAsia" w:ascii="宋体" w:hAnsi="宋体" w:eastAsia="宋体" w:cs="宋体"/>
                <w:color w:val="000000"/>
                <w:kern w:val="0"/>
                <w:sz w:val="24"/>
                <w:szCs w:val="24"/>
              </w:rPr>
              <w:t>293515</w:t>
            </w:r>
          </w:p>
        </w:tc>
      </w:tr>
      <w:tr>
        <w:tblPrEx>
          <w:tblCellMar>
            <w:top w:w="0" w:type="dxa"/>
            <w:left w:w="108" w:type="dxa"/>
            <w:bottom w:w="0" w:type="dxa"/>
            <w:right w:w="108" w:type="dxa"/>
          </w:tblCellMar>
        </w:tblPrEx>
        <w:trPr>
          <w:trHeight w:val="406" w:hRule="atLeast"/>
          <w:jc w:val="center"/>
        </w:trPr>
        <w:tc>
          <w:tcPr>
            <w:tcW w:w="8705"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宋体" w:hAnsi="宋体" w:eastAsia="宋体" w:cs="宋体"/>
                <w:color w:val="333333"/>
                <w:kern w:val="0"/>
                <w:sz w:val="24"/>
                <w:szCs w:val="24"/>
              </w:rPr>
            </w:pPr>
            <w:r>
              <w:rPr>
                <w:rFonts w:hint="eastAsia" w:ascii="宋体" w:hAnsi="宋体" w:eastAsia="宋体" w:cs="宋体"/>
                <w:b/>
                <w:color w:val="333333"/>
                <w:kern w:val="0"/>
                <w:sz w:val="24"/>
                <w:szCs w:val="24"/>
              </w:rPr>
              <w:t>第二十条第（六）项</w:t>
            </w:r>
          </w:p>
        </w:tc>
      </w:tr>
      <w:tr>
        <w:tblPrEx>
          <w:tblCellMar>
            <w:top w:w="0" w:type="dxa"/>
            <w:left w:w="108" w:type="dxa"/>
            <w:bottom w:w="0" w:type="dxa"/>
            <w:right w:w="108" w:type="dxa"/>
          </w:tblCellMar>
        </w:tblPrEx>
        <w:trPr>
          <w:trHeight w:val="634" w:hRule="atLeast"/>
          <w:jc w:val="center"/>
        </w:trPr>
        <w:tc>
          <w:tcPr>
            <w:tcW w:w="2752" w:type="dxa"/>
            <w:tcBorders>
              <w:top w:val="nil"/>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eastAsia="宋体" w:cs="宋体"/>
                <w:color w:val="333333"/>
                <w:kern w:val="0"/>
                <w:sz w:val="24"/>
                <w:szCs w:val="24"/>
              </w:rPr>
            </w:pPr>
            <w:r>
              <w:rPr>
                <w:rFonts w:hint="eastAsia" w:ascii="宋体" w:hAnsi="宋体" w:eastAsia="宋体" w:cs="宋体"/>
                <w:color w:val="000000"/>
                <w:kern w:val="0"/>
                <w:sz w:val="24"/>
                <w:szCs w:val="24"/>
              </w:rPr>
              <w:t>信息内容</w:t>
            </w:r>
          </w:p>
        </w:tc>
        <w:tc>
          <w:tcPr>
            <w:tcW w:w="1984" w:type="dxa"/>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eastAsia="宋体" w:cs="宋体"/>
                <w:color w:val="333333"/>
                <w:kern w:val="0"/>
                <w:sz w:val="24"/>
                <w:szCs w:val="24"/>
              </w:rPr>
            </w:pPr>
            <w:r>
              <w:rPr>
                <w:rFonts w:hint="eastAsia" w:ascii="宋体" w:hAnsi="宋体" w:eastAsia="宋体" w:cs="宋体"/>
                <w:color w:val="000000"/>
                <w:kern w:val="0"/>
                <w:sz w:val="24"/>
                <w:szCs w:val="24"/>
              </w:rPr>
              <w:t>上一年项目数量</w:t>
            </w:r>
          </w:p>
        </w:tc>
        <w:tc>
          <w:tcPr>
            <w:tcW w:w="1985" w:type="dxa"/>
            <w:tcBorders>
              <w:top w:val="single" w:color="auto" w:sz="4" w:space="0"/>
              <w:left w:val="nil"/>
              <w:bottom w:val="single" w:color="auto" w:sz="4" w:space="0"/>
              <w:right w:val="single" w:color="auto" w:sz="4" w:space="0"/>
            </w:tcBorders>
            <w:vAlign w:val="center"/>
          </w:tcPr>
          <w:p>
            <w:pPr>
              <w:widowControl/>
              <w:spacing w:line="360" w:lineRule="auto"/>
              <w:jc w:val="center"/>
              <w:rPr>
                <w:rFonts w:ascii="宋体" w:hAnsi="宋体" w:eastAsia="宋体" w:cs="宋体"/>
                <w:color w:val="333333"/>
                <w:kern w:val="0"/>
                <w:sz w:val="24"/>
                <w:szCs w:val="24"/>
              </w:rPr>
            </w:pPr>
            <w:r>
              <w:rPr>
                <w:rFonts w:hint="eastAsia" w:ascii="宋体" w:hAnsi="宋体" w:eastAsia="宋体" w:cs="宋体"/>
                <w:color w:val="000000"/>
                <w:kern w:val="0"/>
                <w:sz w:val="24"/>
                <w:szCs w:val="24"/>
              </w:rPr>
              <w:t>本年增/减</w:t>
            </w:r>
          </w:p>
        </w:tc>
        <w:tc>
          <w:tcPr>
            <w:tcW w:w="1984"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eastAsia="宋体" w:cs="宋体"/>
                <w:color w:val="333333"/>
                <w:kern w:val="0"/>
                <w:sz w:val="24"/>
                <w:szCs w:val="24"/>
              </w:rPr>
            </w:pPr>
            <w:r>
              <w:rPr>
                <w:rFonts w:hint="eastAsia" w:ascii="宋体" w:hAnsi="宋体" w:eastAsia="宋体" w:cs="宋体"/>
                <w:color w:val="000000"/>
                <w:kern w:val="0"/>
                <w:sz w:val="24"/>
                <w:szCs w:val="24"/>
              </w:rPr>
              <w:t>处理决定数量</w:t>
            </w:r>
          </w:p>
        </w:tc>
      </w:tr>
      <w:tr>
        <w:tblPrEx>
          <w:tblCellMar>
            <w:top w:w="0" w:type="dxa"/>
            <w:left w:w="108" w:type="dxa"/>
            <w:bottom w:w="0" w:type="dxa"/>
            <w:right w:w="108" w:type="dxa"/>
          </w:tblCellMar>
        </w:tblPrEx>
        <w:trPr>
          <w:trHeight w:val="564" w:hRule="atLeast"/>
          <w:jc w:val="center"/>
        </w:trPr>
        <w:tc>
          <w:tcPr>
            <w:tcW w:w="2752" w:type="dxa"/>
            <w:tcBorders>
              <w:top w:val="nil"/>
              <w:left w:val="single" w:color="auto" w:sz="4" w:space="0"/>
              <w:bottom w:val="single" w:color="auto" w:sz="4" w:space="0"/>
              <w:right w:val="single" w:color="auto" w:sz="4" w:space="0"/>
            </w:tcBorders>
            <w:noWrap/>
            <w:vAlign w:val="center"/>
          </w:tcPr>
          <w:p>
            <w:pPr>
              <w:widowControl/>
              <w:spacing w:line="360" w:lineRule="auto"/>
              <w:jc w:val="left"/>
              <w:rPr>
                <w:rFonts w:ascii="宋体" w:hAnsi="宋体" w:eastAsia="宋体" w:cs="宋体"/>
                <w:color w:val="333333"/>
                <w:kern w:val="0"/>
                <w:sz w:val="24"/>
                <w:szCs w:val="24"/>
              </w:rPr>
            </w:pPr>
            <w:r>
              <w:rPr>
                <w:rFonts w:hint="eastAsia" w:ascii="宋体" w:hAnsi="宋体" w:eastAsia="宋体" w:cs="宋体"/>
                <w:color w:val="000000"/>
                <w:kern w:val="0"/>
                <w:sz w:val="24"/>
                <w:szCs w:val="24"/>
              </w:rPr>
              <w:t>行政处罚</w:t>
            </w:r>
          </w:p>
        </w:tc>
        <w:tc>
          <w:tcPr>
            <w:tcW w:w="1984" w:type="dxa"/>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eastAsia="宋体" w:cs="宋体"/>
                <w:color w:val="333333"/>
                <w:kern w:val="0"/>
                <w:sz w:val="24"/>
                <w:szCs w:val="24"/>
              </w:rPr>
            </w:pPr>
            <w:r>
              <w:rPr>
                <w:rFonts w:hint="eastAsia" w:ascii="宋体" w:hAnsi="宋体" w:eastAsia="宋体" w:cs="宋体"/>
                <w:color w:val="000000"/>
                <w:kern w:val="0"/>
                <w:sz w:val="24"/>
                <w:szCs w:val="24"/>
              </w:rPr>
              <w:t>3308</w:t>
            </w:r>
          </w:p>
        </w:tc>
        <w:tc>
          <w:tcPr>
            <w:tcW w:w="1985" w:type="dxa"/>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eastAsia="宋体" w:cs="宋体"/>
                <w:color w:val="333333"/>
                <w:kern w:val="0"/>
                <w:sz w:val="24"/>
                <w:szCs w:val="24"/>
              </w:rPr>
            </w:pPr>
            <w:r>
              <w:rPr>
                <w:rFonts w:hint="eastAsia" w:ascii="宋体" w:hAnsi="宋体" w:eastAsia="宋体" w:cs="宋体"/>
                <w:color w:val="000000"/>
                <w:kern w:val="0"/>
                <w:sz w:val="24"/>
                <w:szCs w:val="24"/>
              </w:rPr>
              <w:t>-106</w:t>
            </w:r>
          </w:p>
        </w:tc>
        <w:tc>
          <w:tcPr>
            <w:tcW w:w="1984"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eastAsia="宋体" w:cs="宋体"/>
                <w:color w:val="333333"/>
                <w:kern w:val="0"/>
                <w:sz w:val="24"/>
                <w:szCs w:val="24"/>
              </w:rPr>
            </w:pPr>
            <w:r>
              <w:rPr>
                <w:rFonts w:hint="eastAsia" w:ascii="宋体" w:hAnsi="宋体" w:eastAsia="宋体" w:cs="宋体"/>
                <w:color w:val="000000"/>
                <w:kern w:val="0"/>
                <w:sz w:val="24"/>
                <w:szCs w:val="24"/>
              </w:rPr>
              <w:t>584</w:t>
            </w:r>
          </w:p>
        </w:tc>
      </w:tr>
      <w:tr>
        <w:tblPrEx>
          <w:tblCellMar>
            <w:top w:w="0" w:type="dxa"/>
            <w:left w:w="108" w:type="dxa"/>
            <w:bottom w:w="0" w:type="dxa"/>
            <w:right w:w="108" w:type="dxa"/>
          </w:tblCellMar>
        </w:tblPrEx>
        <w:trPr>
          <w:trHeight w:val="572" w:hRule="atLeast"/>
          <w:jc w:val="center"/>
        </w:trPr>
        <w:tc>
          <w:tcPr>
            <w:tcW w:w="2752" w:type="dxa"/>
            <w:tcBorders>
              <w:top w:val="nil"/>
              <w:left w:val="single" w:color="auto" w:sz="4" w:space="0"/>
              <w:bottom w:val="single" w:color="auto" w:sz="4" w:space="0"/>
              <w:right w:val="single" w:color="auto" w:sz="4" w:space="0"/>
            </w:tcBorders>
            <w:noWrap/>
            <w:vAlign w:val="center"/>
          </w:tcPr>
          <w:p>
            <w:pPr>
              <w:widowControl/>
              <w:spacing w:line="360" w:lineRule="auto"/>
              <w:jc w:val="left"/>
              <w:rPr>
                <w:rFonts w:ascii="宋体" w:hAnsi="宋体" w:eastAsia="宋体" w:cs="宋体"/>
                <w:color w:val="333333"/>
                <w:kern w:val="0"/>
                <w:sz w:val="24"/>
                <w:szCs w:val="24"/>
              </w:rPr>
            </w:pPr>
            <w:r>
              <w:rPr>
                <w:rFonts w:hint="eastAsia" w:ascii="宋体" w:hAnsi="宋体" w:eastAsia="宋体" w:cs="宋体"/>
                <w:color w:val="000000"/>
                <w:kern w:val="0"/>
                <w:sz w:val="24"/>
                <w:szCs w:val="24"/>
              </w:rPr>
              <w:t>行政强制</w:t>
            </w:r>
          </w:p>
        </w:tc>
        <w:tc>
          <w:tcPr>
            <w:tcW w:w="1984"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eastAsia="宋体" w:cs="宋体"/>
                <w:color w:val="333333"/>
                <w:kern w:val="0"/>
                <w:sz w:val="24"/>
                <w:szCs w:val="24"/>
              </w:rPr>
            </w:pPr>
            <w:r>
              <w:rPr>
                <w:rFonts w:hint="eastAsia" w:ascii="宋体" w:hAnsi="宋体" w:eastAsia="宋体" w:cs="宋体"/>
                <w:color w:val="000000"/>
                <w:kern w:val="0"/>
                <w:sz w:val="24"/>
                <w:szCs w:val="24"/>
              </w:rPr>
              <w:t>164</w:t>
            </w:r>
          </w:p>
        </w:tc>
        <w:tc>
          <w:tcPr>
            <w:tcW w:w="1985"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eastAsia="宋体" w:cs="宋体"/>
                <w:color w:val="333333"/>
                <w:kern w:val="0"/>
                <w:sz w:val="24"/>
                <w:szCs w:val="24"/>
              </w:rPr>
            </w:pPr>
            <w:r>
              <w:rPr>
                <w:rFonts w:hint="eastAsia" w:ascii="宋体" w:hAnsi="宋体" w:eastAsia="宋体" w:cs="宋体"/>
                <w:color w:val="000000"/>
                <w:kern w:val="0"/>
                <w:sz w:val="24"/>
                <w:szCs w:val="24"/>
              </w:rPr>
              <w:t>-6</w:t>
            </w:r>
          </w:p>
        </w:tc>
        <w:tc>
          <w:tcPr>
            <w:tcW w:w="1984"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eastAsia="宋体" w:cs="宋体"/>
                <w:color w:val="333333"/>
                <w:kern w:val="0"/>
                <w:sz w:val="24"/>
                <w:szCs w:val="24"/>
              </w:rPr>
            </w:pPr>
            <w:r>
              <w:rPr>
                <w:rFonts w:hint="eastAsia" w:ascii="宋体" w:hAnsi="宋体" w:eastAsia="宋体" w:cs="宋体"/>
                <w:color w:val="000000"/>
                <w:kern w:val="0"/>
                <w:sz w:val="24"/>
                <w:szCs w:val="24"/>
              </w:rPr>
              <w:t>6</w:t>
            </w:r>
          </w:p>
        </w:tc>
      </w:tr>
      <w:tr>
        <w:tblPrEx>
          <w:tblCellMar>
            <w:top w:w="0" w:type="dxa"/>
            <w:left w:w="108" w:type="dxa"/>
            <w:bottom w:w="0" w:type="dxa"/>
            <w:right w:w="108" w:type="dxa"/>
          </w:tblCellMar>
        </w:tblPrEx>
        <w:trPr>
          <w:trHeight w:val="474" w:hRule="atLeast"/>
          <w:jc w:val="center"/>
        </w:trPr>
        <w:tc>
          <w:tcPr>
            <w:tcW w:w="8705"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宋体" w:hAnsi="宋体" w:eastAsia="宋体" w:cs="宋体"/>
                <w:color w:val="333333"/>
                <w:kern w:val="0"/>
                <w:sz w:val="24"/>
                <w:szCs w:val="24"/>
              </w:rPr>
            </w:pPr>
            <w:r>
              <w:rPr>
                <w:rFonts w:hint="eastAsia" w:ascii="宋体" w:hAnsi="宋体" w:eastAsia="宋体" w:cs="宋体"/>
                <w:b/>
                <w:color w:val="333333"/>
                <w:kern w:val="0"/>
                <w:sz w:val="24"/>
                <w:szCs w:val="24"/>
              </w:rPr>
              <w:t>第二十条第（八）项</w:t>
            </w:r>
          </w:p>
        </w:tc>
      </w:tr>
      <w:tr>
        <w:tblPrEx>
          <w:tblCellMar>
            <w:top w:w="0" w:type="dxa"/>
            <w:left w:w="108" w:type="dxa"/>
            <w:bottom w:w="0" w:type="dxa"/>
            <w:right w:w="108" w:type="dxa"/>
          </w:tblCellMar>
        </w:tblPrEx>
        <w:trPr>
          <w:trHeight w:val="270" w:hRule="atLeast"/>
          <w:jc w:val="center"/>
        </w:trPr>
        <w:tc>
          <w:tcPr>
            <w:tcW w:w="2752" w:type="dxa"/>
            <w:tcBorders>
              <w:top w:val="nil"/>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eastAsia="宋体" w:cs="宋体"/>
                <w:color w:val="333333"/>
                <w:kern w:val="0"/>
                <w:sz w:val="24"/>
                <w:szCs w:val="24"/>
              </w:rPr>
            </w:pPr>
            <w:r>
              <w:rPr>
                <w:rFonts w:hint="eastAsia" w:ascii="宋体" w:hAnsi="宋体" w:eastAsia="宋体" w:cs="宋体"/>
                <w:color w:val="000000"/>
                <w:kern w:val="0"/>
                <w:sz w:val="24"/>
                <w:szCs w:val="24"/>
              </w:rPr>
              <w:t>信息内容</w:t>
            </w:r>
          </w:p>
        </w:tc>
        <w:tc>
          <w:tcPr>
            <w:tcW w:w="1984" w:type="dxa"/>
            <w:tcBorders>
              <w:top w:val="nil"/>
              <w:left w:val="nil"/>
              <w:bottom w:val="single" w:color="auto" w:sz="4" w:space="0"/>
              <w:right w:val="single" w:color="auto" w:sz="4" w:space="0"/>
            </w:tcBorders>
            <w:noWrap/>
            <w:vAlign w:val="center"/>
          </w:tcPr>
          <w:p>
            <w:pPr>
              <w:widowControl/>
              <w:spacing w:line="360" w:lineRule="auto"/>
              <w:jc w:val="left"/>
              <w:rPr>
                <w:rFonts w:ascii="宋体" w:hAnsi="宋体" w:eastAsia="宋体" w:cs="宋体"/>
                <w:color w:val="333333"/>
                <w:kern w:val="0"/>
                <w:sz w:val="24"/>
                <w:szCs w:val="24"/>
              </w:rPr>
            </w:pPr>
            <w:r>
              <w:rPr>
                <w:rFonts w:hint="eastAsia" w:ascii="宋体" w:hAnsi="宋体" w:eastAsia="宋体" w:cs="宋体"/>
                <w:color w:val="000000"/>
                <w:kern w:val="0"/>
                <w:sz w:val="24"/>
                <w:szCs w:val="24"/>
              </w:rPr>
              <w:t>上一年项目数量</w:t>
            </w:r>
          </w:p>
        </w:tc>
        <w:tc>
          <w:tcPr>
            <w:tcW w:w="3969" w:type="dxa"/>
            <w:gridSpan w:val="2"/>
            <w:tcBorders>
              <w:top w:val="single" w:color="auto" w:sz="4" w:space="0"/>
              <w:left w:val="nil"/>
              <w:bottom w:val="single" w:color="auto" w:sz="4" w:space="0"/>
              <w:right w:val="single" w:color="000000" w:sz="4" w:space="0"/>
            </w:tcBorders>
            <w:noWrap/>
            <w:vAlign w:val="center"/>
          </w:tcPr>
          <w:p>
            <w:pPr>
              <w:widowControl/>
              <w:spacing w:line="360" w:lineRule="auto"/>
              <w:jc w:val="center"/>
              <w:rPr>
                <w:rFonts w:ascii="宋体" w:hAnsi="宋体" w:eastAsia="宋体" w:cs="宋体"/>
                <w:color w:val="333333"/>
                <w:kern w:val="0"/>
                <w:sz w:val="24"/>
                <w:szCs w:val="24"/>
              </w:rPr>
            </w:pPr>
            <w:r>
              <w:rPr>
                <w:rFonts w:hint="eastAsia" w:ascii="宋体" w:hAnsi="宋体" w:eastAsia="宋体" w:cs="宋体"/>
                <w:color w:val="000000"/>
                <w:kern w:val="0"/>
                <w:sz w:val="24"/>
                <w:szCs w:val="24"/>
              </w:rPr>
              <w:t>本年增/减</w:t>
            </w:r>
          </w:p>
        </w:tc>
      </w:tr>
      <w:tr>
        <w:tblPrEx>
          <w:tblCellMar>
            <w:top w:w="0" w:type="dxa"/>
            <w:left w:w="108" w:type="dxa"/>
            <w:bottom w:w="0" w:type="dxa"/>
            <w:right w:w="108" w:type="dxa"/>
          </w:tblCellMar>
        </w:tblPrEx>
        <w:trPr>
          <w:trHeight w:val="722" w:hRule="atLeast"/>
          <w:jc w:val="center"/>
        </w:trPr>
        <w:tc>
          <w:tcPr>
            <w:tcW w:w="2752" w:type="dxa"/>
            <w:tcBorders>
              <w:top w:val="nil"/>
              <w:left w:val="single" w:color="auto" w:sz="4" w:space="0"/>
              <w:bottom w:val="single" w:color="auto" w:sz="4" w:space="0"/>
              <w:right w:val="single" w:color="auto" w:sz="4" w:space="0"/>
            </w:tcBorders>
            <w:noWrap/>
            <w:vAlign w:val="center"/>
          </w:tcPr>
          <w:p>
            <w:pPr>
              <w:widowControl/>
              <w:spacing w:line="360" w:lineRule="auto"/>
              <w:jc w:val="left"/>
              <w:rPr>
                <w:rFonts w:ascii="宋体" w:hAnsi="宋体" w:eastAsia="宋体" w:cs="宋体"/>
                <w:color w:val="333333"/>
                <w:kern w:val="0"/>
                <w:sz w:val="24"/>
                <w:szCs w:val="24"/>
              </w:rPr>
            </w:pPr>
            <w:r>
              <w:rPr>
                <w:rFonts w:hint="eastAsia" w:ascii="宋体" w:hAnsi="宋体" w:eastAsia="宋体" w:cs="宋体"/>
                <w:color w:val="000000"/>
                <w:kern w:val="0"/>
                <w:sz w:val="24"/>
                <w:szCs w:val="24"/>
              </w:rPr>
              <w:t>行政事业性收费</w:t>
            </w:r>
          </w:p>
        </w:tc>
        <w:tc>
          <w:tcPr>
            <w:tcW w:w="1984"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eastAsia="宋体" w:cs="宋体"/>
                <w:color w:val="333333"/>
                <w:kern w:val="0"/>
                <w:sz w:val="24"/>
                <w:szCs w:val="24"/>
              </w:rPr>
            </w:pPr>
            <w:r>
              <w:rPr>
                <w:rFonts w:hint="eastAsia" w:ascii="宋体" w:hAnsi="宋体" w:eastAsia="宋体" w:cs="宋体"/>
                <w:color w:val="000000"/>
                <w:kern w:val="0"/>
                <w:sz w:val="24"/>
                <w:szCs w:val="24"/>
              </w:rPr>
              <w:t>36</w:t>
            </w:r>
          </w:p>
        </w:tc>
        <w:tc>
          <w:tcPr>
            <w:tcW w:w="3969" w:type="dxa"/>
            <w:gridSpan w:val="2"/>
            <w:tcBorders>
              <w:top w:val="single" w:color="auto" w:sz="4" w:space="0"/>
              <w:left w:val="nil"/>
              <w:bottom w:val="single" w:color="auto" w:sz="4" w:space="0"/>
              <w:right w:val="single" w:color="000000" w:sz="4" w:space="0"/>
            </w:tcBorders>
            <w:noWrap/>
            <w:vAlign w:val="center"/>
          </w:tcPr>
          <w:p>
            <w:pPr>
              <w:widowControl/>
              <w:spacing w:line="360" w:lineRule="auto"/>
              <w:jc w:val="center"/>
              <w:rPr>
                <w:rFonts w:ascii="宋体" w:hAnsi="宋体" w:eastAsia="宋体" w:cs="宋体"/>
                <w:color w:val="333333"/>
                <w:kern w:val="0"/>
                <w:sz w:val="24"/>
                <w:szCs w:val="24"/>
              </w:rPr>
            </w:pPr>
            <w:r>
              <w:rPr>
                <w:rFonts w:hint="eastAsia" w:ascii="宋体" w:hAnsi="Calibri" w:eastAsia="宋体" w:cs="Times New Roman"/>
                <w:color w:val="000000"/>
                <w:kern w:val="0"/>
                <w:sz w:val="24"/>
                <w:szCs w:val="24"/>
              </w:rPr>
              <w:t>0</w:t>
            </w:r>
          </w:p>
        </w:tc>
      </w:tr>
      <w:tr>
        <w:tblPrEx>
          <w:tblCellMar>
            <w:top w:w="0" w:type="dxa"/>
            <w:left w:w="108" w:type="dxa"/>
            <w:bottom w:w="0" w:type="dxa"/>
            <w:right w:w="108" w:type="dxa"/>
          </w:tblCellMar>
        </w:tblPrEx>
        <w:trPr>
          <w:trHeight w:val="476" w:hRule="atLeast"/>
          <w:jc w:val="center"/>
        </w:trPr>
        <w:tc>
          <w:tcPr>
            <w:tcW w:w="8705"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宋体" w:hAnsi="宋体" w:eastAsia="宋体" w:cs="宋体"/>
                <w:color w:val="333333"/>
                <w:kern w:val="0"/>
                <w:sz w:val="24"/>
                <w:szCs w:val="24"/>
              </w:rPr>
            </w:pPr>
            <w:r>
              <w:rPr>
                <w:rFonts w:hint="eastAsia" w:ascii="宋体" w:hAnsi="宋体" w:eastAsia="宋体" w:cs="宋体"/>
                <w:b/>
                <w:color w:val="333333"/>
                <w:kern w:val="0"/>
                <w:sz w:val="24"/>
                <w:szCs w:val="24"/>
              </w:rPr>
              <w:t>第二十条第（九）项</w:t>
            </w:r>
          </w:p>
        </w:tc>
      </w:tr>
      <w:tr>
        <w:tblPrEx>
          <w:tblCellMar>
            <w:top w:w="0" w:type="dxa"/>
            <w:left w:w="108" w:type="dxa"/>
            <w:bottom w:w="0" w:type="dxa"/>
            <w:right w:w="108" w:type="dxa"/>
          </w:tblCellMar>
        </w:tblPrEx>
        <w:trPr>
          <w:trHeight w:val="585" w:hRule="atLeast"/>
          <w:jc w:val="center"/>
        </w:trPr>
        <w:tc>
          <w:tcPr>
            <w:tcW w:w="2752" w:type="dxa"/>
            <w:tcBorders>
              <w:top w:val="nil"/>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eastAsia="宋体" w:cs="宋体"/>
                <w:color w:val="333333"/>
                <w:kern w:val="0"/>
                <w:sz w:val="24"/>
                <w:szCs w:val="24"/>
              </w:rPr>
            </w:pPr>
            <w:r>
              <w:rPr>
                <w:rFonts w:hint="eastAsia" w:ascii="宋体" w:hAnsi="宋体" w:eastAsia="宋体" w:cs="宋体"/>
                <w:color w:val="000000"/>
                <w:kern w:val="0"/>
                <w:sz w:val="24"/>
                <w:szCs w:val="24"/>
              </w:rPr>
              <w:t>信息内容</w:t>
            </w:r>
          </w:p>
        </w:tc>
        <w:tc>
          <w:tcPr>
            <w:tcW w:w="1984"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eastAsia="宋体" w:cs="宋体"/>
                <w:color w:val="333333"/>
                <w:kern w:val="0"/>
                <w:sz w:val="24"/>
                <w:szCs w:val="24"/>
              </w:rPr>
            </w:pPr>
            <w:r>
              <w:rPr>
                <w:rFonts w:hint="eastAsia" w:ascii="宋体" w:hAnsi="宋体" w:eastAsia="宋体" w:cs="宋体"/>
                <w:color w:val="000000"/>
                <w:kern w:val="0"/>
                <w:sz w:val="24"/>
                <w:szCs w:val="24"/>
              </w:rPr>
              <w:t>采购项目数量</w:t>
            </w:r>
          </w:p>
        </w:tc>
        <w:tc>
          <w:tcPr>
            <w:tcW w:w="3969" w:type="dxa"/>
            <w:gridSpan w:val="2"/>
            <w:tcBorders>
              <w:top w:val="single" w:color="auto" w:sz="4" w:space="0"/>
              <w:left w:val="nil"/>
              <w:bottom w:val="single" w:color="auto" w:sz="4" w:space="0"/>
              <w:right w:val="single" w:color="000000" w:sz="4" w:space="0"/>
            </w:tcBorders>
            <w:noWrap/>
            <w:vAlign w:val="center"/>
          </w:tcPr>
          <w:p>
            <w:pPr>
              <w:widowControl/>
              <w:spacing w:line="360" w:lineRule="auto"/>
              <w:jc w:val="center"/>
              <w:rPr>
                <w:rFonts w:ascii="宋体" w:hAnsi="宋体" w:eastAsia="宋体" w:cs="宋体"/>
                <w:color w:val="333333"/>
                <w:kern w:val="0"/>
                <w:sz w:val="24"/>
                <w:szCs w:val="24"/>
              </w:rPr>
            </w:pPr>
            <w:r>
              <w:rPr>
                <w:rFonts w:hint="eastAsia" w:ascii="宋体" w:hAnsi="宋体" w:eastAsia="宋体" w:cs="宋体"/>
                <w:color w:val="000000"/>
                <w:kern w:val="0"/>
                <w:sz w:val="24"/>
                <w:szCs w:val="24"/>
              </w:rPr>
              <w:t>采购总金额</w:t>
            </w:r>
          </w:p>
        </w:tc>
      </w:tr>
      <w:tr>
        <w:tblPrEx>
          <w:tblCellMar>
            <w:top w:w="0" w:type="dxa"/>
            <w:left w:w="108" w:type="dxa"/>
            <w:bottom w:w="0" w:type="dxa"/>
            <w:right w:w="108" w:type="dxa"/>
          </w:tblCellMar>
        </w:tblPrEx>
        <w:trPr>
          <w:trHeight w:val="748" w:hRule="atLeast"/>
          <w:jc w:val="center"/>
        </w:trPr>
        <w:tc>
          <w:tcPr>
            <w:tcW w:w="2752" w:type="dxa"/>
            <w:tcBorders>
              <w:top w:val="nil"/>
              <w:left w:val="single" w:color="auto" w:sz="4" w:space="0"/>
              <w:bottom w:val="single" w:color="auto" w:sz="4" w:space="0"/>
              <w:right w:val="single" w:color="auto" w:sz="4" w:space="0"/>
            </w:tcBorders>
            <w:noWrap/>
            <w:vAlign w:val="center"/>
          </w:tcPr>
          <w:p>
            <w:pPr>
              <w:widowControl/>
              <w:spacing w:line="360" w:lineRule="auto"/>
              <w:jc w:val="left"/>
              <w:rPr>
                <w:rFonts w:ascii="宋体" w:hAnsi="宋体" w:eastAsia="宋体" w:cs="宋体"/>
                <w:color w:val="333333"/>
                <w:kern w:val="0"/>
                <w:sz w:val="24"/>
                <w:szCs w:val="24"/>
              </w:rPr>
            </w:pPr>
            <w:r>
              <w:rPr>
                <w:rFonts w:hint="eastAsia" w:ascii="宋体" w:hAnsi="宋体" w:eastAsia="宋体" w:cs="宋体"/>
                <w:color w:val="000000"/>
                <w:kern w:val="0"/>
                <w:sz w:val="24"/>
                <w:szCs w:val="24"/>
              </w:rPr>
              <w:t>政府集中采购</w:t>
            </w:r>
          </w:p>
        </w:tc>
        <w:tc>
          <w:tcPr>
            <w:tcW w:w="1984"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eastAsia="宋体" w:cs="宋体"/>
                <w:color w:val="333333"/>
                <w:kern w:val="0"/>
                <w:sz w:val="24"/>
                <w:szCs w:val="24"/>
              </w:rPr>
            </w:pPr>
            <w:r>
              <w:rPr>
                <w:rFonts w:hint="eastAsia" w:ascii="宋体" w:hAnsi="宋体" w:eastAsia="宋体" w:cs="宋体"/>
                <w:color w:val="000000"/>
                <w:kern w:val="0"/>
                <w:sz w:val="24"/>
                <w:szCs w:val="24"/>
              </w:rPr>
              <w:t>372</w:t>
            </w:r>
          </w:p>
        </w:tc>
        <w:tc>
          <w:tcPr>
            <w:tcW w:w="3969" w:type="dxa"/>
            <w:gridSpan w:val="2"/>
            <w:tcBorders>
              <w:top w:val="single" w:color="auto" w:sz="4" w:space="0"/>
              <w:left w:val="nil"/>
              <w:bottom w:val="single" w:color="auto" w:sz="4" w:space="0"/>
              <w:right w:val="single" w:color="000000" w:sz="4" w:space="0"/>
            </w:tcBorders>
            <w:noWrap/>
            <w:vAlign w:val="center"/>
          </w:tcPr>
          <w:p>
            <w:pPr>
              <w:widowControl/>
              <w:spacing w:line="360" w:lineRule="auto"/>
              <w:jc w:val="center"/>
              <w:rPr>
                <w:rFonts w:ascii="宋体" w:hAnsi="宋体" w:eastAsia="宋体" w:cs="宋体"/>
                <w:color w:val="333333"/>
                <w:kern w:val="0"/>
                <w:sz w:val="24"/>
                <w:szCs w:val="24"/>
              </w:rPr>
            </w:pPr>
            <w:r>
              <w:rPr>
                <w:rFonts w:hint="eastAsia" w:ascii="宋体" w:hAnsi="宋体" w:eastAsia="宋体" w:cs="宋体"/>
                <w:color w:val="333333"/>
                <w:kern w:val="0"/>
                <w:sz w:val="24"/>
                <w:szCs w:val="24"/>
              </w:rPr>
              <w:t>73200万元</w:t>
            </w:r>
          </w:p>
        </w:tc>
      </w:tr>
    </w:tbl>
    <w:p>
      <w:pPr>
        <w:spacing w:line="560" w:lineRule="exact"/>
        <w:ind w:firstLine="640" w:firstLineChars="200"/>
        <w:rPr>
          <w:rFonts w:ascii="仿宋_GB2312" w:eastAsia="仿宋_GB2312"/>
          <w:sz w:val="32"/>
          <w:szCs w:val="32"/>
        </w:rPr>
      </w:pPr>
    </w:p>
    <w:p>
      <w:pPr>
        <w:spacing w:line="560" w:lineRule="exact"/>
        <w:ind w:firstLine="640" w:firstLineChars="200"/>
        <w:rPr>
          <w:rFonts w:ascii="黑体" w:hAnsi="黑体" w:eastAsia="黑体"/>
          <w:sz w:val="32"/>
          <w:szCs w:val="32"/>
        </w:rPr>
        <w:sectPr>
          <w:footerReference r:id="rId3" w:type="default"/>
          <w:pgSz w:w="11906" w:h="16838"/>
          <w:pgMar w:top="2098" w:right="1474" w:bottom="1985" w:left="1588" w:header="851" w:footer="992" w:gutter="0"/>
          <w:cols w:space="425" w:num="1"/>
          <w:docGrid w:type="lines" w:linePitch="312" w:charSpace="0"/>
        </w:sectPr>
      </w:pPr>
    </w:p>
    <w:p>
      <w:pPr>
        <w:spacing w:line="560" w:lineRule="exact"/>
        <w:ind w:firstLine="640" w:firstLineChars="200"/>
        <w:rPr>
          <w:rFonts w:ascii="黑体" w:hAnsi="黑体" w:eastAsia="黑体"/>
          <w:sz w:val="32"/>
          <w:szCs w:val="32"/>
        </w:rPr>
      </w:pPr>
      <w:r>
        <w:rPr>
          <w:rFonts w:hint="eastAsia" w:ascii="黑体" w:hAnsi="黑体" w:eastAsia="黑体"/>
          <w:sz w:val="32"/>
          <w:szCs w:val="32"/>
        </w:rPr>
        <w:t>三、收到和处理政府信息公开申请情况</w:t>
      </w:r>
    </w:p>
    <w:tbl>
      <w:tblPr>
        <w:tblStyle w:val="7"/>
        <w:tblW w:w="99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0"/>
        <w:gridCol w:w="993"/>
        <w:gridCol w:w="2417"/>
        <w:gridCol w:w="985"/>
        <w:gridCol w:w="1007"/>
        <w:gridCol w:w="765"/>
        <w:gridCol w:w="825"/>
        <w:gridCol w:w="990"/>
        <w:gridCol w:w="720"/>
        <w:gridCol w:w="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0" w:type="dxa"/>
            <w:gridSpan w:val="3"/>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hint="eastAsia" w:ascii="Calibri" w:hAnsi="Calibri" w:eastAsia="宋体" w:cs="Times New Roman"/>
                <w:color w:val="333333"/>
                <w:szCs w:val="21"/>
              </w:rPr>
              <w:t>（本列数据的勾稽关系为：第一项加第二项之和，等于第三项加第四项之和）</w:t>
            </w:r>
          </w:p>
        </w:tc>
        <w:tc>
          <w:tcPr>
            <w:tcW w:w="5994" w:type="dxa"/>
            <w:gridSpan w:val="7"/>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hint="eastAsia" w:ascii="Calibri" w:hAnsi="Calibri" w:eastAsia="宋体" w:cs="Times New Roman"/>
                <w:color w:val="333333"/>
                <w:szCs w:val="21"/>
              </w:rPr>
              <w:t>申请人情况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0"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985" w:type="dxa"/>
            <w:vMerge w:val="restart"/>
            <w:tcBorders>
              <w:top w:val="nil"/>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hint="eastAsia" w:ascii="Calibri" w:hAnsi="Calibri" w:eastAsia="宋体" w:cs="Times New Roman"/>
                <w:color w:val="333333"/>
                <w:szCs w:val="21"/>
              </w:rPr>
              <w:t>自然人</w:t>
            </w:r>
          </w:p>
        </w:tc>
        <w:tc>
          <w:tcPr>
            <w:tcW w:w="4307" w:type="dxa"/>
            <w:gridSpan w:val="5"/>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hint="eastAsia" w:ascii="Calibri" w:hAnsi="Calibri" w:eastAsia="宋体" w:cs="Times New Roman"/>
                <w:color w:val="333333"/>
                <w:szCs w:val="21"/>
              </w:rPr>
              <w:t>法人或其他组织</w:t>
            </w:r>
          </w:p>
        </w:tc>
        <w:tc>
          <w:tcPr>
            <w:tcW w:w="702" w:type="dxa"/>
            <w:vMerge w:val="restart"/>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hint="eastAsia" w:ascii="Calibri" w:hAnsi="Calibri" w:eastAsia="宋体" w:cs="Times New Roman"/>
                <w:color w:val="333333"/>
                <w:szCs w:val="21"/>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0"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985" w:type="dxa"/>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1007" w:type="dxa"/>
            <w:tcBorders>
              <w:top w:val="single" w:color="auto" w:sz="4" w:space="0"/>
              <w:left w:val="nil"/>
              <w:bottom w:val="single" w:color="auto" w:sz="4" w:space="0"/>
              <w:right w:val="single" w:color="auto" w:sz="4" w:space="0"/>
            </w:tcBorders>
            <w:vAlign w:val="center"/>
          </w:tcPr>
          <w:p>
            <w:pPr>
              <w:widowControl/>
              <w:jc w:val="center"/>
              <w:rPr>
                <w:rFonts w:ascii="Calibri" w:hAnsi="Calibri" w:eastAsia="宋体" w:cs="Times New Roman"/>
                <w:color w:val="333333"/>
                <w:szCs w:val="21"/>
              </w:rPr>
            </w:pPr>
            <w:r>
              <w:rPr>
                <w:rFonts w:hint="eastAsia" w:ascii="Calibri" w:hAnsi="Calibri" w:eastAsia="宋体" w:cs="Times New Roman"/>
                <w:color w:val="333333"/>
                <w:szCs w:val="21"/>
              </w:rPr>
              <w:t>商业</w:t>
            </w:r>
          </w:p>
          <w:p>
            <w:pPr>
              <w:widowControl/>
              <w:jc w:val="center"/>
              <w:rPr>
                <w:rFonts w:ascii="宋体" w:hAnsi="宋体" w:eastAsia="宋体" w:cs="宋体"/>
                <w:color w:val="333333"/>
                <w:kern w:val="0"/>
                <w:szCs w:val="21"/>
              </w:rPr>
            </w:pPr>
            <w:r>
              <w:rPr>
                <w:rFonts w:hint="eastAsia" w:ascii="Calibri" w:hAnsi="Calibri" w:eastAsia="宋体" w:cs="Times New Roman"/>
                <w:color w:val="333333"/>
                <w:szCs w:val="21"/>
              </w:rPr>
              <w:t>企业</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hint="eastAsia" w:ascii="Calibri" w:hAnsi="Calibri" w:eastAsia="宋体" w:cs="Times New Roman"/>
                <w:color w:val="333333"/>
                <w:szCs w:val="21"/>
              </w:rPr>
              <w:t>科研机构</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hint="eastAsia" w:ascii="Calibri" w:hAnsi="Calibri" w:eastAsia="宋体" w:cs="Times New Roman"/>
                <w:color w:val="333333"/>
                <w:szCs w:val="21"/>
              </w:rPr>
              <w:t>社会公益组织</w:t>
            </w: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hint="eastAsia" w:ascii="Calibri" w:hAnsi="Calibri" w:eastAsia="宋体" w:cs="Times New Roman"/>
                <w:color w:val="333333"/>
                <w:szCs w:val="21"/>
              </w:rPr>
              <w:t>法律服务机构</w:t>
            </w:r>
          </w:p>
        </w:tc>
        <w:tc>
          <w:tcPr>
            <w:tcW w:w="72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hint="eastAsia" w:ascii="Calibri" w:hAnsi="Calibri" w:eastAsia="宋体" w:cs="Times New Roman"/>
                <w:color w:val="333333"/>
                <w:szCs w:val="21"/>
              </w:rPr>
              <w:t>其他</w:t>
            </w:r>
          </w:p>
        </w:tc>
        <w:tc>
          <w:tcPr>
            <w:tcW w:w="702" w:type="dxa"/>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3970" w:type="dxa"/>
            <w:gridSpan w:val="3"/>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color w:val="333333"/>
                <w:kern w:val="0"/>
                <w:szCs w:val="21"/>
              </w:rPr>
            </w:pPr>
            <w:r>
              <w:rPr>
                <w:rFonts w:hint="eastAsia" w:ascii="Calibri" w:hAnsi="Calibri" w:eastAsia="宋体" w:cs="Times New Roman"/>
                <w:color w:val="333333"/>
                <w:szCs w:val="21"/>
              </w:rPr>
              <w:t>一、本年新收政府信息公开申请数量</w:t>
            </w:r>
          </w:p>
        </w:tc>
        <w:tc>
          <w:tcPr>
            <w:tcW w:w="98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98</w:t>
            </w:r>
          </w:p>
        </w:tc>
        <w:tc>
          <w:tcPr>
            <w:tcW w:w="1007"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hint="eastAsia" w:ascii="Calibri" w:hAnsi="Calibri" w:eastAsia="宋体" w:cs="Times New Roman"/>
                <w:color w:val="333333"/>
                <w:szCs w:val="21"/>
              </w:rPr>
              <w:t>10</w:t>
            </w:r>
            <w:r>
              <w:rPr>
                <w:rFonts w:ascii="Calibri" w:hAnsi="Calibri" w:eastAsia="宋体" w:cs="Times New Roman"/>
                <w:color w:val="333333"/>
                <w:szCs w:val="21"/>
              </w:rPr>
              <w:t> </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1</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hint="eastAsia" w:ascii="Calibri" w:hAnsi="Calibri" w:eastAsia="宋体" w:cs="Times New Roman"/>
                <w:color w:val="333333"/>
                <w:szCs w:val="21"/>
              </w:rPr>
              <w:t>0</w:t>
            </w:r>
            <w:r>
              <w:rPr>
                <w:rFonts w:ascii="Calibri" w:hAnsi="Calibri" w:eastAsia="宋体" w:cs="Times New Roman"/>
                <w:color w:val="333333"/>
                <w:szCs w:val="21"/>
              </w:rPr>
              <w:t> </w:t>
            </w:r>
          </w:p>
        </w:tc>
        <w:tc>
          <w:tcPr>
            <w:tcW w:w="72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02"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3970" w:type="dxa"/>
            <w:gridSpan w:val="3"/>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color w:val="333333"/>
                <w:kern w:val="0"/>
                <w:szCs w:val="21"/>
              </w:rPr>
            </w:pPr>
            <w:r>
              <w:rPr>
                <w:rFonts w:hint="eastAsia" w:ascii="Calibri" w:hAnsi="Calibri" w:eastAsia="宋体" w:cs="Times New Roman"/>
                <w:color w:val="333333"/>
                <w:szCs w:val="21"/>
              </w:rPr>
              <w:t>二、上年结转政府信息公开申请数量</w:t>
            </w:r>
          </w:p>
        </w:tc>
        <w:tc>
          <w:tcPr>
            <w:tcW w:w="98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3</w:t>
            </w:r>
          </w:p>
        </w:tc>
        <w:tc>
          <w:tcPr>
            <w:tcW w:w="1007"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2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02"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560"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hint="eastAsia" w:ascii="Calibri" w:hAnsi="Calibri" w:eastAsia="宋体" w:cs="Times New Roman"/>
                <w:color w:val="333333"/>
                <w:szCs w:val="21"/>
              </w:rPr>
              <w:t>三、本年度办理结果</w:t>
            </w:r>
          </w:p>
        </w:tc>
        <w:tc>
          <w:tcPr>
            <w:tcW w:w="3410" w:type="dxa"/>
            <w:gridSpan w:val="2"/>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r>
              <w:rPr>
                <w:rFonts w:hint="eastAsia" w:ascii="楷体" w:hAnsi="楷体" w:eastAsia="楷体" w:cs="宋体"/>
                <w:color w:val="333333"/>
                <w:szCs w:val="21"/>
              </w:rPr>
              <w:t>（一）予以公开</w:t>
            </w:r>
          </w:p>
        </w:tc>
        <w:tc>
          <w:tcPr>
            <w:tcW w:w="98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25</w:t>
            </w:r>
          </w:p>
        </w:tc>
        <w:tc>
          <w:tcPr>
            <w:tcW w:w="1007"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1</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2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02"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3410" w:type="dxa"/>
            <w:gridSpan w:val="2"/>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r>
              <w:rPr>
                <w:rFonts w:hint="eastAsia" w:ascii="楷体" w:hAnsi="楷体" w:eastAsia="楷体" w:cs="宋体"/>
                <w:color w:val="333333"/>
                <w:szCs w:val="21"/>
              </w:rPr>
              <w:t>（二）部分公开（区分处理的，只计这一情形，不计其他情形）</w:t>
            </w:r>
          </w:p>
        </w:tc>
        <w:tc>
          <w:tcPr>
            <w:tcW w:w="98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33</w:t>
            </w:r>
          </w:p>
        </w:tc>
        <w:tc>
          <w:tcPr>
            <w:tcW w:w="1007"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2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02"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6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993" w:type="dxa"/>
            <w:vMerge w:val="restart"/>
            <w:tcBorders>
              <w:top w:val="nil"/>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r>
              <w:rPr>
                <w:rFonts w:hint="eastAsia" w:ascii="楷体" w:hAnsi="楷体" w:eastAsia="楷体" w:cs="宋体"/>
                <w:color w:val="333333"/>
                <w:szCs w:val="21"/>
              </w:rPr>
              <w:t>（三）不予公开</w:t>
            </w:r>
          </w:p>
        </w:tc>
        <w:tc>
          <w:tcPr>
            <w:tcW w:w="2417" w:type="dxa"/>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r>
              <w:rPr>
                <w:rFonts w:hint="eastAsia" w:ascii="楷体" w:hAnsi="楷体" w:eastAsia="楷体" w:cs="宋体"/>
                <w:color w:val="333333"/>
                <w:szCs w:val="21"/>
              </w:rPr>
              <w:t>1.属于国家秘密</w:t>
            </w:r>
          </w:p>
        </w:tc>
        <w:tc>
          <w:tcPr>
            <w:tcW w:w="98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1007"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2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02"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hint="eastAsia" w:ascii="Calibri" w:hAnsi="Calibri" w:eastAsia="宋体" w:cs="Times New Roman"/>
                <w:color w:val="333333"/>
                <w:szCs w:val="21"/>
              </w:rPr>
              <w:t>0</w:t>
            </w:r>
            <w:r>
              <w:rPr>
                <w:rFonts w:ascii="Calibri" w:hAnsi="Calibri" w:eastAsia="宋体" w:cs="Times New Roman"/>
                <w:color w:val="333333"/>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993" w:type="dxa"/>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2417" w:type="dxa"/>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r>
              <w:rPr>
                <w:rFonts w:hint="eastAsia" w:ascii="楷体" w:hAnsi="楷体" w:eastAsia="楷体" w:cs="宋体"/>
                <w:color w:val="333333"/>
                <w:szCs w:val="21"/>
              </w:rPr>
              <w:t>2.其他法律行政法规禁止公开</w:t>
            </w:r>
          </w:p>
        </w:tc>
        <w:tc>
          <w:tcPr>
            <w:tcW w:w="98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1007"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r>
              <w:rPr>
                <w:rFonts w:ascii="Calibri" w:hAnsi="Calibri" w:eastAsia="宋体" w:cs="Times New Roman"/>
                <w:color w:val="333333"/>
                <w:szCs w:val="21"/>
              </w:rPr>
              <w:t> </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2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02"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993" w:type="dxa"/>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2417" w:type="dxa"/>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r>
              <w:rPr>
                <w:rFonts w:hint="eastAsia" w:ascii="楷体" w:hAnsi="楷体" w:eastAsia="楷体" w:cs="宋体"/>
                <w:color w:val="333333"/>
                <w:szCs w:val="21"/>
              </w:rPr>
              <w:t>3.危及“三安全一稳定”</w:t>
            </w:r>
          </w:p>
        </w:tc>
        <w:tc>
          <w:tcPr>
            <w:tcW w:w="98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1007"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r>
              <w:rPr>
                <w:rFonts w:ascii="Calibri" w:hAnsi="Calibri" w:eastAsia="宋体" w:cs="Times New Roman"/>
                <w:color w:val="333333"/>
                <w:szCs w:val="21"/>
              </w:rPr>
              <w:t> </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2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02"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993" w:type="dxa"/>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2417" w:type="dxa"/>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r>
              <w:rPr>
                <w:rFonts w:hint="eastAsia" w:ascii="楷体" w:hAnsi="楷体" w:eastAsia="楷体" w:cs="宋体"/>
                <w:color w:val="333333"/>
                <w:szCs w:val="21"/>
              </w:rPr>
              <w:t>4.保护第三方合法权益</w:t>
            </w:r>
          </w:p>
        </w:tc>
        <w:tc>
          <w:tcPr>
            <w:tcW w:w="98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1007"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2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02"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993" w:type="dxa"/>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2417" w:type="dxa"/>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r>
              <w:rPr>
                <w:rFonts w:hint="eastAsia" w:ascii="楷体" w:hAnsi="楷体" w:eastAsia="楷体" w:cs="宋体"/>
                <w:color w:val="333333"/>
                <w:szCs w:val="21"/>
              </w:rPr>
              <w:t>5.属于三类内部事务信息</w:t>
            </w:r>
          </w:p>
        </w:tc>
        <w:tc>
          <w:tcPr>
            <w:tcW w:w="98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2</w:t>
            </w:r>
          </w:p>
        </w:tc>
        <w:tc>
          <w:tcPr>
            <w:tcW w:w="1007"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hint="eastAsia" w:ascii="Calibri" w:hAnsi="Calibri" w:eastAsia="宋体" w:cs="Times New Roman"/>
                <w:color w:val="333333"/>
                <w:szCs w:val="21"/>
              </w:rPr>
              <w:t>5</w:t>
            </w:r>
            <w:r>
              <w:rPr>
                <w:rFonts w:ascii="Calibri" w:hAnsi="Calibri" w:eastAsia="宋体" w:cs="Times New Roman"/>
                <w:color w:val="333333"/>
                <w:szCs w:val="21"/>
              </w:rPr>
              <w:t> </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2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02"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hint="eastAsia" w:ascii="Calibri" w:hAnsi="Calibri" w:eastAsia="宋体" w:cs="Times New Roman"/>
                <w:color w:val="333333"/>
                <w:szCs w:val="21"/>
              </w:rPr>
              <w:t>7</w:t>
            </w:r>
            <w:r>
              <w:rPr>
                <w:rFonts w:ascii="Calibri" w:hAnsi="Calibri" w:eastAsia="宋体" w:cs="Times New Roman"/>
                <w:color w:val="333333"/>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993" w:type="dxa"/>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2417" w:type="dxa"/>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r>
              <w:rPr>
                <w:rFonts w:hint="eastAsia" w:ascii="楷体" w:hAnsi="楷体" w:eastAsia="楷体" w:cs="宋体"/>
                <w:color w:val="333333"/>
                <w:szCs w:val="21"/>
              </w:rPr>
              <w:t>6.属于四类过程性信息</w:t>
            </w:r>
          </w:p>
        </w:tc>
        <w:tc>
          <w:tcPr>
            <w:tcW w:w="98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1007"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2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02"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hint="eastAsia" w:ascii="Calibri" w:hAnsi="Calibri" w:eastAsia="宋体" w:cs="Times New Roman"/>
                <w:color w:val="333333"/>
                <w:szCs w:val="21"/>
              </w:rPr>
              <w:t>0</w:t>
            </w:r>
            <w:r>
              <w:rPr>
                <w:rFonts w:ascii="Calibri" w:hAnsi="Calibri" w:eastAsia="宋体" w:cs="Times New Roman"/>
                <w:color w:val="333333"/>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993" w:type="dxa"/>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2417" w:type="dxa"/>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r>
              <w:rPr>
                <w:rFonts w:hint="eastAsia" w:ascii="楷体" w:hAnsi="楷体" w:eastAsia="楷体" w:cs="宋体"/>
                <w:color w:val="333333"/>
                <w:szCs w:val="21"/>
              </w:rPr>
              <w:t>7.属于行政执法案卷</w:t>
            </w:r>
          </w:p>
        </w:tc>
        <w:tc>
          <w:tcPr>
            <w:tcW w:w="98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hint="eastAsia" w:ascii="Calibri" w:hAnsi="Calibri" w:eastAsia="宋体" w:cs="Times New Roman"/>
                <w:color w:val="333333"/>
                <w:szCs w:val="21"/>
              </w:rPr>
              <w:t>1</w:t>
            </w:r>
            <w:r>
              <w:rPr>
                <w:rFonts w:ascii="Calibri" w:hAnsi="Calibri" w:eastAsia="宋体" w:cs="Times New Roman"/>
                <w:color w:val="333333"/>
                <w:szCs w:val="21"/>
              </w:rPr>
              <w:t> </w:t>
            </w:r>
          </w:p>
        </w:tc>
        <w:tc>
          <w:tcPr>
            <w:tcW w:w="1007"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2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02"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56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993" w:type="dxa"/>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2417" w:type="dxa"/>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r>
              <w:rPr>
                <w:rFonts w:hint="eastAsia" w:ascii="楷体" w:hAnsi="楷体" w:eastAsia="楷体" w:cs="宋体"/>
                <w:color w:val="333333"/>
                <w:szCs w:val="21"/>
              </w:rPr>
              <w:t>8.属于行政查询事项</w:t>
            </w:r>
          </w:p>
        </w:tc>
        <w:tc>
          <w:tcPr>
            <w:tcW w:w="98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1007"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2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02"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993" w:type="dxa"/>
            <w:vMerge w:val="restart"/>
            <w:tcBorders>
              <w:top w:val="nil"/>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r>
              <w:rPr>
                <w:rFonts w:hint="eastAsia" w:ascii="楷体" w:hAnsi="楷体" w:eastAsia="楷体" w:cs="宋体"/>
                <w:color w:val="333333"/>
                <w:szCs w:val="21"/>
              </w:rPr>
              <w:t>（四）无法提供</w:t>
            </w:r>
          </w:p>
        </w:tc>
        <w:tc>
          <w:tcPr>
            <w:tcW w:w="2417" w:type="dxa"/>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r>
              <w:rPr>
                <w:rFonts w:hint="eastAsia" w:ascii="楷体" w:hAnsi="楷体" w:eastAsia="楷体" w:cs="宋体"/>
                <w:color w:val="333333"/>
                <w:szCs w:val="21"/>
              </w:rPr>
              <w:t>1.本机关不掌握相关政府信息</w:t>
            </w:r>
          </w:p>
        </w:tc>
        <w:tc>
          <w:tcPr>
            <w:tcW w:w="98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hint="eastAsia" w:ascii="Calibri" w:hAnsi="Calibri" w:eastAsia="宋体" w:cs="Times New Roman"/>
                <w:color w:val="333333"/>
                <w:szCs w:val="21"/>
              </w:rPr>
              <w:t>40</w:t>
            </w:r>
            <w:r>
              <w:rPr>
                <w:rFonts w:ascii="Calibri" w:hAnsi="Calibri" w:eastAsia="宋体" w:cs="Times New Roman"/>
                <w:color w:val="333333"/>
                <w:szCs w:val="21"/>
              </w:rPr>
              <w:t> </w:t>
            </w:r>
          </w:p>
        </w:tc>
        <w:tc>
          <w:tcPr>
            <w:tcW w:w="1007"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hint="eastAsia" w:ascii="Calibri" w:hAnsi="Calibri" w:eastAsia="宋体" w:cs="Times New Roman"/>
                <w:color w:val="333333"/>
                <w:szCs w:val="21"/>
              </w:rPr>
              <w:t>5</w:t>
            </w:r>
            <w:r>
              <w:rPr>
                <w:rFonts w:ascii="Calibri" w:hAnsi="Calibri" w:eastAsia="宋体" w:cs="Times New Roman"/>
                <w:color w:val="333333"/>
                <w:szCs w:val="21"/>
              </w:rPr>
              <w:t> </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2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02"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hint="eastAsia" w:ascii="Calibri" w:hAnsi="Calibri" w:eastAsia="宋体" w:cs="Times New Roman"/>
                <w:color w:val="333333"/>
                <w:szCs w:val="21"/>
              </w:rPr>
              <w:t>45</w:t>
            </w:r>
            <w:r>
              <w:rPr>
                <w:rFonts w:ascii="Calibri" w:hAnsi="Calibri" w:eastAsia="宋体" w:cs="Times New Roman"/>
                <w:color w:val="333333"/>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993" w:type="dxa"/>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2417" w:type="dxa"/>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r>
              <w:rPr>
                <w:rFonts w:hint="eastAsia" w:ascii="楷体" w:hAnsi="楷体" w:eastAsia="楷体" w:cs="宋体"/>
                <w:color w:val="333333"/>
                <w:szCs w:val="21"/>
              </w:rPr>
              <w:t>2.没有现成信息需要另行制作</w:t>
            </w:r>
          </w:p>
        </w:tc>
        <w:tc>
          <w:tcPr>
            <w:tcW w:w="98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1007"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r>
              <w:rPr>
                <w:rFonts w:ascii="Calibri" w:hAnsi="Calibri" w:eastAsia="宋体" w:cs="Times New Roman"/>
                <w:color w:val="333333"/>
                <w:szCs w:val="21"/>
              </w:rPr>
              <w:t> </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2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02"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hint="eastAsia" w:ascii="Calibri" w:hAnsi="Calibri" w:eastAsia="宋体" w:cs="Times New Roman"/>
                <w:color w:val="333333"/>
                <w:szCs w:val="21"/>
              </w:rPr>
              <w:t>0</w:t>
            </w:r>
            <w:r>
              <w:rPr>
                <w:rFonts w:ascii="Calibri" w:hAnsi="Calibri" w:eastAsia="宋体" w:cs="Times New Roman"/>
                <w:color w:val="333333"/>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993" w:type="dxa"/>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2417" w:type="dxa"/>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r>
              <w:rPr>
                <w:rFonts w:hint="eastAsia" w:ascii="楷体" w:hAnsi="楷体" w:eastAsia="楷体" w:cs="宋体"/>
                <w:color w:val="333333"/>
                <w:szCs w:val="21"/>
              </w:rPr>
              <w:t>3.补正后申请内容仍不明确</w:t>
            </w:r>
          </w:p>
        </w:tc>
        <w:tc>
          <w:tcPr>
            <w:tcW w:w="985" w:type="dxa"/>
            <w:tcBorders>
              <w:top w:val="single" w:color="auto" w:sz="4" w:space="0"/>
              <w:left w:val="nil"/>
              <w:bottom w:val="single" w:color="auto" w:sz="4" w:space="0"/>
              <w:right w:val="single" w:color="auto" w:sz="4" w:space="0"/>
            </w:tcBorders>
          </w:tcPr>
          <w:p>
            <w:pPr>
              <w:jc w:val="center"/>
            </w:pPr>
            <w:r>
              <w:rPr>
                <w:rFonts w:hint="eastAsia" w:ascii="Calibri" w:hAnsi="Calibri" w:eastAsia="宋体" w:cs="Times New Roman"/>
                <w:color w:val="333333"/>
                <w:szCs w:val="21"/>
              </w:rPr>
              <w:t>0</w:t>
            </w:r>
          </w:p>
        </w:tc>
        <w:tc>
          <w:tcPr>
            <w:tcW w:w="1007"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2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02"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993" w:type="dxa"/>
            <w:vMerge w:val="restart"/>
            <w:tcBorders>
              <w:top w:val="nil"/>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r>
              <w:rPr>
                <w:rFonts w:hint="eastAsia" w:ascii="楷体" w:hAnsi="楷体" w:eastAsia="楷体" w:cs="宋体"/>
                <w:color w:val="333333"/>
                <w:szCs w:val="21"/>
              </w:rPr>
              <w:t>（五）不予处理</w:t>
            </w:r>
          </w:p>
        </w:tc>
        <w:tc>
          <w:tcPr>
            <w:tcW w:w="2417" w:type="dxa"/>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r>
              <w:rPr>
                <w:rFonts w:hint="eastAsia" w:ascii="楷体" w:hAnsi="楷体" w:eastAsia="楷体" w:cs="宋体"/>
                <w:color w:val="333333"/>
                <w:szCs w:val="21"/>
              </w:rPr>
              <w:t>1.信访举报投诉类申请</w:t>
            </w:r>
          </w:p>
        </w:tc>
        <w:tc>
          <w:tcPr>
            <w:tcW w:w="985" w:type="dxa"/>
            <w:tcBorders>
              <w:top w:val="single" w:color="auto" w:sz="4" w:space="0"/>
              <w:left w:val="nil"/>
              <w:bottom w:val="single" w:color="auto" w:sz="4" w:space="0"/>
              <w:right w:val="single" w:color="auto" w:sz="4" w:space="0"/>
            </w:tcBorders>
          </w:tcPr>
          <w:p>
            <w:pPr>
              <w:jc w:val="center"/>
            </w:pPr>
            <w:r>
              <w:rPr>
                <w:rFonts w:hint="eastAsia" w:ascii="Calibri" w:hAnsi="Calibri" w:eastAsia="宋体" w:cs="Times New Roman"/>
                <w:color w:val="333333"/>
                <w:szCs w:val="21"/>
              </w:rPr>
              <w:t>0</w:t>
            </w:r>
          </w:p>
        </w:tc>
        <w:tc>
          <w:tcPr>
            <w:tcW w:w="1007"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2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02"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56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993" w:type="dxa"/>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2417" w:type="dxa"/>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r>
              <w:rPr>
                <w:rFonts w:hint="eastAsia" w:ascii="楷体" w:hAnsi="楷体" w:eastAsia="楷体" w:cs="宋体"/>
                <w:color w:val="333333"/>
                <w:szCs w:val="21"/>
              </w:rPr>
              <w:t>2.重复申请</w:t>
            </w:r>
          </w:p>
        </w:tc>
        <w:tc>
          <w:tcPr>
            <w:tcW w:w="985" w:type="dxa"/>
            <w:tcBorders>
              <w:top w:val="single" w:color="auto" w:sz="4" w:space="0"/>
              <w:left w:val="nil"/>
              <w:bottom w:val="single" w:color="auto" w:sz="4" w:space="0"/>
              <w:right w:val="single" w:color="auto" w:sz="4" w:space="0"/>
            </w:tcBorders>
          </w:tcPr>
          <w:p>
            <w:pPr>
              <w:jc w:val="center"/>
            </w:pPr>
            <w:r>
              <w:rPr>
                <w:rFonts w:hint="eastAsia" w:ascii="Calibri" w:hAnsi="Calibri" w:eastAsia="宋体" w:cs="Times New Roman"/>
                <w:color w:val="333333"/>
                <w:szCs w:val="21"/>
              </w:rPr>
              <w:t>0</w:t>
            </w:r>
          </w:p>
        </w:tc>
        <w:tc>
          <w:tcPr>
            <w:tcW w:w="1007"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2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02"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993" w:type="dxa"/>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2417" w:type="dxa"/>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r>
              <w:rPr>
                <w:rFonts w:hint="eastAsia" w:ascii="楷体" w:hAnsi="楷体" w:eastAsia="楷体" w:cs="宋体"/>
                <w:color w:val="333333"/>
                <w:szCs w:val="21"/>
              </w:rPr>
              <w:t>3.要求提供公开出版物</w:t>
            </w:r>
          </w:p>
        </w:tc>
        <w:tc>
          <w:tcPr>
            <w:tcW w:w="985" w:type="dxa"/>
            <w:tcBorders>
              <w:top w:val="single" w:color="auto" w:sz="4" w:space="0"/>
              <w:left w:val="nil"/>
              <w:bottom w:val="single" w:color="auto" w:sz="4" w:space="0"/>
              <w:right w:val="single" w:color="auto" w:sz="4" w:space="0"/>
            </w:tcBorders>
          </w:tcPr>
          <w:p>
            <w:pPr>
              <w:jc w:val="center"/>
            </w:pPr>
            <w:r>
              <w:rPr>
                <w:rFonts w:hint="eastAsia" w:ascii="Calibri" w:hAnsi="Calibri" w:eastAsia="宋体" w:cs="Times New Roman"/>
                <w:color w:val="333333"/>
                <w:szCs w:val="21"/>
              </w:rPr>
              <w:t>0</w:t>
            </w:r>
          </w:p>
        </w:tc>
        <w:tc>
          <w:tcPr>
            <w:tcW w:w="1007"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2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02"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993" w:type="dxa"/>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2417" w:type="dxa"/>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r>
              <w:rPr>
                <w:rFonts w:hint="eastAsia" w:ascii="楷体" w:hAnsi="楷体" w:eastAsia="楷体" w:cs="宋体"/>
                <w:color w:val="333333"/>
                <w:szCs w:val="21"/>
              </w:rPr>
              <w:t>4.无正当理由大量反复申请</w:t>
            </w:r>
          </w:p>
        </w:tc>
        <w:tc>
          <w:tcPr>
            <w:tcW w:w="985" w:type="dxa"/>
            <w:tcBorders>
              <w:top w:val="single" w:color="auto" w:sz="4" w:space="0"/>
              <w:left w:val="nil"/>
              <w:bottom w:val="single" w:color="auto" w:sz="4" w:space="0"/>
              <w:right w:val="single" w:color="auto" w:sz="4" w:space="0"/>
            </w:tcBorders>
          </w:tcPr>
          <w:p>
            <w:pPr>
              <w:jc w:val="center"/>
            </w:pPr>
            <w:r>
              <w:rPr>
                <w:rFonts w:hint="eastAsia" w:ascii="Calibri" w:hAnsi="Calibri" w:eastAsia="宋体" w:cs="Times New Roman"/>
                <w:color w:val="333333"/>
                <w:szCs w:val="21"/>
              </w:rPr>
              <w:t>0</w:t>
            </w:r>
          </w:p>
        </w:tc>
        <w:tc>
          <w:tcPr>
            <w:tcW w:w="1007"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2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02"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993" w:type="dxa"/>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2417" w:type="dxa"/>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r>
              <w:rPr>
                <w:rFonts w:hint="eastAsia" w:ascii="楷体" w:hAnsi="楷体" w:eastAsia="楷体" w:cs="宋体"/>
                <w:color w:val="333333"/>
                <w:szCs w:val="21"/>
              </w:rPr>
              <w:t>5.要求行政机关确认或重新出具已获取信息</w:t>
            </w:r>
          </w:p>
        </w:tc>
        <w:tc>
          <w:tcPr>
            <w:tcW w:w="985" w:type="dxa"/>
            <w:tcBorders>
              <w:top w:val="single" w:color="auto" w:sz="4" w:space="0"/>
              <w:left w:val="nil"/>
              <w:bottom w:val="single" w:color="auto" w:sz="4" w:space="0"/>
              <w:right w:val="single" w:color="auto" w:sz="4" w:space="0"/>
            </w:tcBorders>
          </w:tcPr>
          <w:p>
            <w:pPr>
              <w:jc w:val="center"/>
            </w:pPr>
            <w:r>
              <w:rPr>
                <w:rFonts w:hint="eastAsia" w:ascii="Calibri" w:hAnsi="Calibri" w:eastAsia="宋体" w:cs="Times New Roman"/>
                <w:color w:val="333333"/>
                <w:szCs w:val="21"/>
              </w:rPr>
              <w:t>0</w:t>
            </w:r>
          </w:p>
        </w:tc>
        <w:tc>
          <w:tcPr>
            <w:tcW w:w="1007"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r>
              <w:rPr>
                <w:rFonts w:ascii="Calibri" w:hAnsi="Calibri" w:eastAsia="宋体" w:cs="Times New Roman"/>
                <w:color w:val="333333"/>
                <w:szCs w:val="21"/>
              </w:rPr>
              <w:t> </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2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02"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3410" w:type="dxa"/>
            <w:gridSpan w:val="2"/>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r>
              <w:rPr>
                <w:rFonts w:hint="eastAsia" w:ascii="楷体" w:hAnsi="楷体" w:eastAsia="楷体" w:cs="宋体"/>
                <w:color w:val="333333"/>
                <w:szCs w:val="21"/>
              </w:rPr>
              <w:t>（六）其他处理</w:t>
            </w:r>
          </w:p>
        </w:tc>
        <w:tc>
          <w:tcPr>
            <w:tcW w:w="98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1007"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2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02"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3410" w:type="dxa"/>
            <w:gridSpan w:val="2"/>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r>
              <w:rPr>
                <w:rFonts w:hint="eastAsia" w:ascii="楷体" w:hAnsi="楷体" w:eastAsia="楷体" w:cs="宋体"/>
                <w:color w:val="333333"/>
                <w:szCs w:val="21"/>
              </w:rPr>
              <w:t>（七）总计</w:t>
            </w:r>
          </w:p>
        </w:tc>
        <w:tc>
          <w:tcPr>
            <w:tcW w:w="98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101</w:t>
            </w:r>
          </w:p>
        </w:tc>
        <w:tc>
          <w:tcPr>
            <w:tcW w:w="1007"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10</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1</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2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02"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0" w:type="dxa"/>
            <w:gridSpan w:val="3"/>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color w:val="333333"/>
                <w:kern w:val="0"/>
                <w:szCs w:val="21"/>
              </w:rPr>
            </w:pPr>
            <w:r>
              <w:rPr>
                <w:rFonts w:hint="eastAsia" w:ascii="Calibri" w:hAnsi="Calibri" w:eastAsia="宋体" w:cs="Times New Roman"/>
                <w:color w:val="333333"/>
                <w:szCs w:val="21"/>
              </w:rPr>
              <w:t>四、结转下年度继续办理</w:t>
            </w:r>
          </w:p>
        </w:tc>
        <w:tc>
          <w:tcPr>
            <w:tcW w:w="98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1007"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hint="eastAsia" w:ascii="Calibri" w:hAnsi="Calibri" w:eastAsia="宋体" w:cs="Times New Roman"/>
                <w:color w:val="333333"/>
                <w:szCs w:val="21"/>
              </w:rPr>
              <w:t>0</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hint="eastAsia" w:ascii="Calibri" w:hAnsi="Calibri" w:eastAsia="宋体" w:cs="Times New Roman"/>
                <w:color w:val="333333"/>
                <w:szCs w:val="21"/>
              </w:rPr>
              <w:t>0</w:t>
            </w: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hint="eastAsia" w:ascii="Calibri" w:hAnsi="Calibri" w:eastAsia="宋体" w:cs="Times New Roman"/>
                <w:color w:val="333333"/>
                <w:szCs w:val="21"/>
              </w:rPr>
              <w:t>0</w:t>
            </w:r>
            <w:r>
              <w:rPr>
                <w:rFonts w:ascii="Calibri" w:hAnsi="Calibri" w:eastAsia="宋体" w:cs="Times New Roman"/>
                <w:color w:val="333333"/>
                <w:szCs w:val="21"/>
              </w:rPr>
              <w:t> </w:t>
            </w:r>
          </w:p>
        </w:tc>
        <w:tc>
          <w:tcPr>
            <w:tcW w:w="72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hint="eastAsia" w:ascii="Calibri" w:hAnsi="Calibri" w:eastAsia="宋体" w:cs="Times New Roman"/>
                <w:color w:val="333333"/>
                <w:szCs w:val="21"/>
              </w:rPr>
              <w:t>0</w:t>
            </w:r>
            <w:r>
              <w:rPr>
                <w:rFonts w:ascii="Calibri" w:hAnsi="Calibri" w:eastAsia="宋体" w:cs="Times New Roman"/>
                <w:color w:val="333333"/>
                <w:szCs w:val="21"/>
              </w:rPr>
              <w:t> </w:t>
            </w:r>
          </w:p>
        </w:tc>
        <w:tc>
          <w:tcPr>
            <w:tcW w:w="702"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hint="eastAsia" w:ascii="宋体" w:hAnsi="宋体" w:eastAsia="宋体" w:cs="宋体"/>
                <w:color w:val="333333"/>
                <w:kern w:val="0"/>
                <w:szCs w:val="21"/>
              </w:rPr>
              <w:t>0</w:t>
            </w:r>
          </w:p>
        </w:tc>
      </w:tr>
    </w:tbl>
    <w:p>
      <w:pPr>
        <w:spacing w:line="560" w:lineRule="exact"/>
        <w:ind w:firstLine="640" w:firstLineChars="200"/>
        <w:rPr>
          <w:rFonts w:ascii="仿宋_GB2312" w:eastAsia="仿宋_GB2312"/>
          <w:sz w:val="32"/>
          <w:szCs w:val="32"/>
        </w:rPr>
        <w:sectPr>
          <w:pgSz w:w="11906" w:h="16838"/>
          <w:pgMar w:top="2098" w:right="1474" w:bottom="1985" w:left="1588" w:header="851" w:footer="992" w:gutter="0"/>
          <w:cols w:space="425" w:num="1"/>
          <w:docGrid w:type="linesAndChars" w:linePitch="312" w:charSpace="0"/>
        </w:sectPr>
      </w:pPr>
    </w:p>
    <w:p>
      <w:pPr>
        <w:spacing w:line="560" w:lineRule="exact"/>
        <w:ind w:firstLine="640" w:firstLineChars="200"/>
        <w:rPr>
          <w:rFonts w:ascii="黑体" w:hAnsi="黑体" w:eastAsia="黑体"/>
          <w:sz w:val="32"/>
          <w:szCs w:val="32"/>
        </w:rPr>
      </w:pPr>
      <w:r>
        <w:rPr>
          <w:rFonts w:hint="eastAsia" w:ascii="黑体" w:hAnsi="黑体" w:eastAsia="黑体"/>
          <w:sz w:val="32"/>
          <w:szCs w:val="32"/>
        </w:rPr>
        <w:t>四、政府信息公开行政复议、行政诉讼情况</w:t>
      </w:r>
    </w:p>
    <w:tbl>
      <w:tblPr>
        <w:tblStyle w:val="7"/>
        <w:tblW w:w="100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1"/>
        <w:gridCol w:w="707"/>
        <w:gridCol w:w="707"/>
        <w:gridCol w:w="707"/>
        <w:gridCol w:w="566"/>
        <w:gridCol w:w="707"/>
        <w:gridCol w:w="706"/>
        <w:gridCol w:w="755"/>
        <w:gridCol w:w="659"/>
        <w:gridCol w:w="548"/>
        <w:gridCol w:w="725"/>
        <w:gridCol w:w="699"/>
        <w:gridCol w:w="714"/>
        <w:gridCol w:w="708"/>
        <w:gridCol w:w="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7" w:type="dxa"/>
            <w:gridSpan w:val="5"/>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80" w:line="480" w:lineRule="auto"/>
              <w:jc w:val="center"/>
              <w:rPr>
                <w:rFonts w:ascii="宋体" w:hAnsi="宋体" w:eastAsia="宋体" w:cs="宋体"/>
                <w:color w:val="333333"/>
                <w:kern w:val="0"/>
                <w:sz w:val="24"/>
                <w:szCs w:val="24"/>
              </w:rPr>
            </w:pPr>
            <w:r>
              <w:rPr>
                <w:rFonts w:hint="eastAsia" w:ascii="Calibri" w:hAnsi="Calibri" w:eastAsia="宋体" w:cs="Times New Roman"/>
                <w:color w:val="333333"/>
                <w:sz w:val="20"/>
                <w:szCs w:val="20"/>
              </w:rPr>
              <w:t>行政复议</w:t>
            </w:r>
          </w:p>
        </w:tc>
        <w:tc>
          <w:tcPr>
            <w:tcW w:w="6629" w:type="dxa"/>
            <w:gridSpan w:val="10"/>
            <w:tcBorders>
              <w:top w:val="single" w:color="auto" w:sz="4" w:space="0"/>
              <w:left w:val="nil"/>
              <w:bottom w:val="single" w:color="auto" w:sz="4" w:space="0"/>
              <w:right w:val="single" w:color="auto" w:sz="4" w:space="0"/>
            </w:tcBorders>
            <w:vAlign w:val="center"/>
          </w:tcPr>
          <w:p>
            <w:pPr>
              <w:widowControl/>
              <w:spacing w:before="100" w:beforeAutospacing="1" w:after="180" w:line="480" w:lineRule="auto"/>
              <w:jc w:val="center"/>
              <w:rPr>
                <w:rFonts w:ascii="宋体" w:hAnsi="宋体" w:eastAsia="宋体" w:cs="宋体"/>
                <w:color w:val="333333"/>
                <w:kern w:val="0"/>
                <w:sz w:val="24"/>
                <w:szCs w:val="24"/>
              </w:rPr>
            </w:pPr>
            <w:r>
              <w:rPr>
                <w:rFonts w:hint="eastAsia" w:ascii="Calibri" w:hAnsi="Calibri" w:eastAsia="宋体" w:cs="Times New Roman"/>
                <w:color w:val="333333"/>
                <w:sz w:val="20"/>
                <w:szCs w:val="20"/>
              </w:rPr>
              <w:t>行政诉讼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733" w:type="dxa"/>
            <w:vMerge w:val="restart"/>
            <w:tcBorders>
              <w:top w:val="nil"/>
              <w:left w:val="single" w:color="auto" w:sz="4" w:space="0"/>
              <w:bottom w:val="single" w:color="auto" w:sz="4" w:space="0"/>
              <w:right w:val="single" w:color="auto" w:sz="4" w:space="0"/>
            </w:tcBorders>
            <w:vAlign w:val="center"/>
          </w:tcPr>
          <w:p>
            <w:pPr>
              <w:widowControl/>
              <w:jc w:val="center"/>
              <w:rPr>
                <w:rFonts w:ascii="Calibri" w:hAnsi="Calibri" w:eastAsia="宋体" w:cs="Times New Roman"/>
                <w:color w:val="333333"/>
                <w:sz w:val="20"/>
                <w:szCs w:val="20"/>
              </w:rPr>
            </w:pPr>
            <w:r>
              <w:rPr>
                <w:rFonts w:hint="eastAsia" w:ascii="Calibri" w:hAnsi="Calibri" w:eastAsia="宋体" w:cs="Times New Roman"/>
                <w:color w:val="333333"/>
                <w:sz w:val="20"/>
                <w:szCs w:val="20"/>
              </w:rPr>
              <w:t>结果</w:t>
            </w:r>
          </w:p>
          <w:p>
            <w:pPr>
              <w:widowControl/>
              <w:jc w:val="center"/>
              <w:rPr>
                <w:rFonts w:ascii="宋体" w:hAnsi="宋体" w:eastAsia="宋体" w:cs="宋体"/>
                <w:color w:val="333333"/>
                <w:kern w:val="0"/>
                <w:sz w:val="24"/>
                <w:szCs w:val="24"/>
              </w:rPr>
            </w:pPr>
            <w:r>
              <w:rPr>
                <w:rFonts w:hint="eastAsia" w:ascii="Calibri" w:hAnsi="Calibri" w:eastAsia="宋体" w:cs="Times New Roman"/>
                <w:color w:val="333333"/>
                <w:sz w:val="20"/>
                <w:szCs w:val="20"/>
              </w:rPr>
              <w:t>维持</w:t>
            </w:r>
          </w:p>
        </w:tc>
        <w:tc>
          <w:tcPr>
            <w:tcW w:w="709" w:type="dxa"/>
            <w:vMerge w:val="restart"/>
            <w:tcBorders>
              <w:top w:val="nil"/>
              <w:left w:val="nil"/>
              <w:bottom w:val="single" w:color="auto" w:sz="4" w:space="0"/>
              <w:right w:val="single" w:color="auto" w:sz="4" w:space="0"/>
            </w:tcBorders>
            <w:vAlign w:val="center"/>
          </w:tcPr>
          <w:p>
            <w:pPr>
              <w:widowControl/>
              <w:jc w:val="center"/>
              <w:rPr>
                <w:rFonts w:ascii="宋体" w:hAnsi="宋体" w:eastAsia="宋体" w:cs="宋体"/>
                <w:color w:val="333333"/>
                <w:kern w:val="0"/>
                <w:sz w:val="24"/>
                <w:szCs w:val="24"/>
              </w:rPr>
            </w:pPr>
            <w:r>
              <w:rPr>
                <w:rFonts w:hint="eastAsia" w:ascii="Calibri" w:hAnsi="Calibri" w:eastAsia="宋体" w:cs="Times New Roman"/>
                <w:color w:val="333333"/>
                <w:sz w:val="20"/>
                <w:szCs w:val="20"/>
              </w:rPr>
              <w:t>结果纠正</w:t>
            </w:r>
          </w:p>
        </w:tc>
        <w:tc>
          <w:tcPr>
            <w:tcW w:w="709" w:type="dxa"/>
            <w:vMerge w:val="restart"/>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 w:val="24"/>
                <w:szCs w:val="24"/>
              </w:rPr>
            </w:pPr>
            <w:r>
              <w:rPr>
                <w:rFonts w:hint="eastAsia" w:ascii="Calibri" w:hAnsi="Calibri" w:eastAsia="宋体" w:cs="Times New Roman"/>
                <w:color w:val="333333"/>
                <w:sz w:val="20"/>
                <w:szCs w:val="20"/>
              </w:rPr>
              <w:t>其他结果</w:t>
            </w:r>
          </w:p>
        </w:tc>
        <w:tc>
          <w:tcPr>
            <w:tcW w:w="709" w:type="dxa"/>
            <w:vMerge w:val="restart"/>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 w:val="24"/>
                <w:szCs w:val="24"/>
              </w:rPr>
            </w:pPr>
            <w:r>
              <w:rPr>
                <w:rFonts w:hint="eastAsia" w:ascii="Calibri" w:hAnsi="Calibri" w:eastAsia="宋体" w:cs="Times New Roman"/>
                <w:color w:val="333333"/>
                <w:sz w:val="20"/>
                <w:szCs w:val="20"/>
              </w:rPr>
              <w:t>尚未审结</w:t>
            </w:r>
          </w:p>
        </w:tc>
        <w:tc>
          <w:tcPr>
            <w:tcW w:w="567" w:type="dxa"/>
            <w:vMerge w:val="restart"/>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 w:val="24"/>
                <w:szCs w:val="24"/>
              </w:rPr>
            </w:pPr>
            <w:r>
              <w:rPr>
                <w:rFonts w:hint="eastAsia" w:ascii="Calibri" w:hAnsi="Calibri" w:eastAsia="宋体" w:cs="Times New Roman"/>
                <w:color w:val="333333"/>
                <w:sz w:val="20"/>
                <w:szCs w:val="20"/>
              </w:rPr>
              <w:t>总计</w:t>
            </w:r>
          </w:p>
        </w:tc>
        <w:tc>
          <w:tcPr>
            <w:tcW w:w="3384" w:type="dxa"/>
            <w:gridSpan w:val="5"/>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 w:val="24"/>
                <w:szCs w:val="24"/>
              </w:rPr>
            </w:pPr>
            <w:r>
              <w:rPr>
                <w:rFonts w:hint="eastAsia" w:ascii="Calibri" w:hAnsi="Calibri" w:eastAsia="宋体" w:cs="Times New Roman"/>
                <w:color w:val="333333"/>
                <w:sz w:val="20"/>
                <w:szCs w:val="20"/>
              </w:rPr>
              <w:t>未经复议直接起诉</w:t>
            </w:r>
          </w:p>
        </w:tc>
        <w:tc>
          <w:tcPr>
            <w:tcW w:w="3245" w:type="dxa"/>
            <w:gridSpan w:val="5"/>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 w:val="24"/>
                <w:szCs w:val="24"/>
              </w:rPr>
            </w:pPr>
            <w:r>
              <w:rPr>
                <w:rFonts w:hint="eastAsia" w:ascii="Calibri" w:hAnsi="Calibri" w:eastAsia="宋体" w:cs="Times New Roman"/>
                <w:color w:val="333333"/>
                <w:sz w:val="20"/>
                <w:szCs w:val="20"/>
              </w:rPr>
              <w:t>复议后起诉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jc w:val="center"/>
        </w:trPr>
        <w:tc>
          <w:tcPr>
            <w:tcW w:w="73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333333"/>
                <w:kern w:val="0"/>
                <w:sz w:val="24"/>
                <w:szCs w:val="24"/>
              </w:rPr>
            </w:pPr>
          </w:p>
        </w:tc>
        <w:tc>
          <w:tcPr>
            <w:tcW w:w="709" w:type="dxa"/>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color w:val="333333"/>
                <w:kern w:val="0"/>
                <w:sz w:val="24"/>
                <w:szCs w:val="24"/>
              </w:rPr>
            </w:pPr>
          </w:p>
        </w:tc>
        <w:tc>
          <w:tcPr>
            <w:tcW w:w="709" w:type="dxa"/>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333333"/>
                <w:kern w:val="0"/>
                <w:sz w:val="24"/>
                <w:szCs w:val="24"/>
              </w:rPr>
            </w:pPr>
          </w:p>
        </w:tc>
        <w:tc>
          <w:tcPr>
            <w:tcW w:w="709" w:type="dxa"/>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333333"/>
                <w:kern w:val="0"/>
                <w:sz w:val="24"/>
                <w:szCs w:val="24"/>
              </w:rPr>
            </w:pPr>
          </w:p>
        </w:tc>
        <w:tc>
          <w:tcPr>
            <w:tcW w:w="567" w:type="dxa"/>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333333"/>
                <w:kern w:val="0"/>
                <w:sz w:val="24"/>
                <w:szCs w:val="24"/>
              </w:rPr>
            </w:pPr>
          </w:p>
        </w:tc>
        <w:tc>
          <w:tcPr>
            <w:tcW w:w="709"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 w:val="24"/>
                <w:szCs w:val="24"/>
              </w:rPr>
            </w:pPr>
            <w:r>
              <w:rPr>
                <w:rFonts w:hint="eastAsia" w:ascii="Calibri" w:hAnsi="Calibri" w:eastAsia="宋体" w:cs="Times New Roman"/>
                <w:color w:val="333333"/>
                <w:sz w:val="20"/>
                <w:szCs w:val="20"/>
              </w:rPr>
              <w:t>结果维持</w:t>
            </w:r>
          </w:p>
        </w:tc>
        <w:tc>
          <w:tcPr>
            <w:tcW w:w="708"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 w:val="24"/>
                <w:szCs w:val="24"/>
              </w:rPr>
            </w:pPr>
            <w:r>
              <w:rPr>
                <w:rFonts w:hint="eastAsia" w:ascii="Calibri" w:hAnsi="Calibri" w:eastAsia="宋体" w:cs="Times New Roman"/>
                <w:color w:val="333333"/>
                <w:sz w:val="20"/>
                <w:szCs w:val="20"/>
              </w:rPr>
              <w:t>结果纠正</w:t>
            </w:r>
          </w:p>
        </w:tc>
        <w:tc>
          <w:tcPr>
            <w:tcW w:w="757"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 w:val="24"/>
                <w:szCs w:val="24"/>
              </w:rPr>
            </w:pPr>
            <w:r>
              <w:rPr>
                <w:rFonts w:hint="eastAsia" w:ascii="Calibri" w:hAnsi="Calibri" w:eastAsia="宋体" w:cs="Times New Roman"/>
                <w:color w:val="333333"/>
                <w:sz w:val="20"/>
                <w:szCs w:val="20"/>
              </w:rPr>
              <w:t>其他结果</w:t>
            </w:r>
          </w:p>
        </w:tc>
        <w:tc>
          <w:tcPr>
            <w:tcW w:w="661"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 w:val="24"/>
                <w:szCs w:val="24"/>
              </w:rPr>
            </w:pPr>
            <w:r>
              <w:rPr>
                <w:rFonts w:hint="eastAsia" w:ascii="Calibri" w:hAnsi="Calibri" w:eastAsia="宋体" w:cs="Times New Roman"/>
                <w:color w:val="333333"/>
                <w:sz w:val="20"/>
                <w:szCs w:val="20"/>
              </w:rPr>
              <w:t>尚未审结</w:t>
            </w:r>
          </w:p>
        </w:tc>
        <w:tc>
          <w:tcPr>
            <w:tcW w:w="549"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 w:val="24"/>
                <w:szCs w:val="24"/>
              </w:rPr>
            </w:pPr>
            <w:r>
              <w:rPr>
                <w:rFonts w:hint="eastAsia" w:ascii="宋体" w:hAnsi="宋体" w:eastAsia="宋体" w:cs="宋体"/>
                <w:color w:val="000000"/>
                <w:kern w:val="0"/>
                <w:sz w:val="20"/>
                <w:szCs w:val="20"/>
              </w:rPr>
              <w:t>总计</w:t>
            </w:r>
          </w:p>
        </w:tc>
        <w:tc>
          <w:tcPr>
            <w:tcW w:w="727"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 w:val="24"/>
                <w:szCs w:val="24"/>
              </w:rPr>
            </w:pPr>
            <w:r>
              <w:rPr>
                <w:rFonts w:hint="eastAsia" w:ascii="Calibri" w:hAnsi="Calibri" w:eastAsia="宋体" w:cs="Times New Roman"/>
                <w:color w:val="333333"/>
                <w:sz w:val="20"/>
                <w:szCs w:val="20"/>
              </w:rPr>
              <w:t>结果维持</w:t>
            </w:r>
          </w:p>
        </w:tc>
        <w:tc>
          <w:tcPr>
            <w:tcW w:w="701"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 w:val="24"/>
                <w:szCs w:val="24"/>
              </w:rPr>
            </w:pPr>
            <w:r>
              <w:rPr>
                <w:rFonts w:hint="eastAsia" w:ascii="Calibri" w:hAnsi="Calibri" w:eastAsia="宋体" w:cs="Times New Roman"/>
                <w:color w:val="333333"/>
                <w:sz w:val="20"/>
                <w:szCs w:val="20"/>
              </w:rPr>
              <w:t>结果纠正</w:t>
            </w:r>
          </w:p>
        </w:tc>
        <w:tc>
          <w:tcPr>
            <w:tcW w:w="716"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 w:val="24"/>
                <w:szCs w:val="24"/>
              </w:rPr>
            </w:pPr>
            <w:r>
              <w:rPr>
                <w:rFonts w:hint="eastAsia" w:ascii="宋体" w:hAnsi="宋体" w:eastAsia="宋体" w:cs="宋体"/>
                <w:color w:val="000000"/>
                <w:kern w:val="0"/>
                <w:sz w:val="20"/>
                <w:szCs w:val="20"/>
              </w:rPr>
              <w:t>其他结果</w:t>
            </w:r>
          </w:p>
        </w:tc>
        <w:tc>
          <w:tcPr>
            <w:tcW w:w="709"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 w:val="24"/>
                <w:szCs w:val="24"/>
              </w:rPr>
            </w:pPr>
            <w:r>
              <w:rPr>
                <w:rFonts w:hint="eastAsia" w:ascii="Calibri" w:hAnsi="Calibri" w:eastAsia="宋体" w:cs="Times New Roman"/>
                <w:color w:val="333333"/>
                <w:sz w:val="20"/>
                <w:szCs w:val="20"/>
              </w:rPr>
              <w:t>尚未审结</w:t>
            </w:r>
          </w:p>
        </w:tc>
        <w:tc>
          <w:tcPr>
            <w:tcW w:w="392"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 w:val="24"/>
                <w:szCs w:val="24"/>
              </w:rPr>
            </w:pPr>
            <w:r>
              <w:rPr>
                <w:rFonts w:hint="eastAsia" w:ascii="宋体" w:hAnsi="宋体" w:eastAsia="宋体" w:cs="宋体"/>
                <w:color w:val="000000"/>
                <w:kern w:val="0"/>
                <w:sz w:val="20"/>
                <w:szCs w:val="20"/>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80" w:line="480" w:lineRule="auto"/>
              <w:jc w:val="center"/>
              <w:rPr>
                <w:rFonts w:ascii="宋体" w:hAnsi="宋体" w:eastAsia="宋体" w:cs="宋体"/>
                <w:color w:val="333333"/>
                <w:kern w:val="0"/>
                <w:sz w:val="24"/>
                <w:szCs w:val="24"/>
              </w:rPr>
            </w:pPr>
            <w:r>
              <w:rPr>
                <w:rFonts w:hint="eastAsia" w:ascii="Calibri" w:hAnsi="Calibri" w:eastAsia="宋体" w:cs="Times New Roman"/>
                <w:color w:val="333333"/>
                <w:sz w:val="24"/>
                <w:szCs w:val="24"/>
              </w:rPr>
              <w:t>22</w:t>
            </w:r>
          </w:p>
        </w:tc>
        <w:tc>
          <w:tcPr>
            <w:tcW w:w="709" w:type="dxa"/>
            <w:tcBorders>
              <w:top w:val="single" w:color="auto" w:sz="4" w:space="0"/>
              <w:left w:val="nil"/>
              <w:bottom w:val="single" w:color="auto" w:sz="4" w:space="0"/>
              <w:right w:val="single" w:color="auto" w:sz="4" w:space="0"/>
            </w:tcBorders>
            <w:vAlign w:val="center"/>
          </w:tcPr>
          <w:p>
            <w:pPr>
              <w:widowControl/>
              <w:spacing w:before="100" w:beforeAutospacing="1" w:after="180" w:line="480" w:lineRule="auto"/>
              <w:jc w:val="center"/>
              <w:rPr>
                <w:rFonts w:ascii="宋体" w:hAnsi="宋体" w:eastAsia="宋体" w:cs="宋体"/>
                <w:color w:val="333333"/>
                <w:kern w:val="0"/>
                <w:sz w:val="24"/>
                <w:szCs w:val="24"/>
              </w:rPr>
            </w:pPr>
            <w:r>
              <w:rPr>
                <w:rFonts w:hint="eastAsia" w:ascii="Calibri" w:hAnsi="Calibri" w:eastAsia="宋体" w:cs="Times New Roman"/>
                <w:color w:val="333333"/>
                <w:sz w:val="24"/>
                <w:szCs w:val="24"/>
              </w:rPr>
              <w:t>1</w:t>
            </w:r>
          </w:p>
        </w:tc>
        <w:tc>
          <w:tcPr>
            <w:tcW w:w="709" w:type="dxa"/>
            <w:tcBorders>
              <w:top w:val="single" w:color="auto" w:sz="4" w:space="0"/>
              <w:left w:val="nil"/>
              <w:bottom w:val="single" w:color="auto" w:sz="4" w:space="0"/>
              <w:right w:val="single" w:color="auto" w:sz="4" w:space="0"/>
            </w:tcBorders>
            <w:vAlign w:val="center"/>
          </w:tcPr>
          <w:p>
            <w:pPr>
              <w:widowControl/>
              <w:spacing w:before="100" w:beforeAutospacing="1" w:after="180" w:line="480" w:lineRule="auto"/>
              <w:jc w:val="center"/>
              <w:rPr>
                <w:rFonts w:ascii="宋体" w:hAnsi="宋体" w:eastAsia="宋体" w:cs="宋体"/>
                <w:color w:val="333333"/>
                <w:kern w:val="0"/>
                <w:sz w:val="24"/>
                <w:szCs w:val="24"/>
              </w:rPr>
            </w:pPr>
            <w:r>
              <w:rPr>
                <w:rFonts w:hint="eastAsia" w:ascii="Calibri" w:hAnsi="Calibri" w:eastAsia="宋体" w:cs="Times New Roman"/>
                <w:color w:val="333333"/>
                <w:sz w:val="24"/>
                <w:szCs w:val="24"/>
              </w:rPr>
              <w:t>0</w:t>
            </w:r>
          </w:p>
        </w:tc>
        <w:tc>
          <w:tcPr>
            <w:tcW w:w="709" w:type="dxa"/>
            <w:tcBorders>
              <w:top w:val="single" w:color="auto" w:sz="4" w:space="0"/>
              <w:left w:val="nil"/>
              <w:bottom w:val="single" w:color="auto" w:sz="4" w:space="0"/>
              <w:right w:val="single" w:color="auto" w:sz="4" w:space="0"/>
            </w:tcBorders>
            <w:vAlign w:val="center"/>
          </w:tcPr>
          <w:p>
            <w:pPr>
              <w:widowControl/>
              <w:spacing w:before="100" w:beforeAutospacing="1" w:after="180" w:line="480" w:lineRule="auto"/>
              <w:jc w:val="center"/>
              <w:rPr>
                <w:rFonts w:ascii="宋体" w:hAnsi="宋体" w:eastAsia="宋体" w:cs="宋体"/>
                <w:color w:val="333333"/>
                <w:kern w:val="0"/>
                <w:sz w:val="24"/>
                <w:szCs w:val="24"/>
              </w:rPr>
            </w:pPr>
            <w:r>
              <w:rPr>
                <w:rFonts w:hint="eastAsia" w:ascii="Calibri" w:hAnsi="Calibri" w:eastAsia="宋体" w:cs="Times New Roman"/>
                <w:color w:val="333333"/>
                <w:sz w:val="24"/>
                <w:szCs w:val="24"/>
              </w:rPr>
              <w:t>0</w:t>
            </w:r>
          </w:p>
        </w:tc>
        <w:tc>
          <w:tcPr>
            <w:tcW w:w="567" w:type="dxa"/>
            <w:tcBorders>
              <w:top w:val="single" w:color="auto" w:sz="4" w:space="0"/>
              <w:left w:val="nil"/>
              <w:bottom w:val="single" w:color="auto" w:sz="4" w:space="0"/>
              <w:right w:val="single" w:color="auto" w:sz="4" w:space="0"/>
            </w:tcBorders>
            <w:vAlign w:val="center"/>
          </w:tcPr>
          <w:p>
            <w:pPr>
              <w:widowControl/>
              <w:spacing w:before="100" w:beforeAutospacing="1" w:after="180" w:line="480" w:lineRule="auto"/>
              <w:jc w:val="center"/>
              <w:rPr>
                <w:rFonts w:ascii="宋体" w:hAnsi="宋体" w:eastAsia="宋体" w:cs="宋体"/>
                <w:color w:val="333333"/>
                <w:kern w:val="0"/>
                <w:sz w:val="24"/>
                <w:szCs w:val="24"/>
              </w:rPr>
            </w:pPr>
            <w:r>
              <w:rPr>
                <w:rFonts w:hint="eastAsia" w:ascii="Calibri" w:hAnsi="Calibri" w:eastAsia="宋体" w:cs="Times New Roman"/>
                <w:color w:val="333333"/>
                <w:sz w:val="24"/>
                <w:szCs w:val="24"/>
              </w:rPr>
              <w:t>23</w:t>
            </w:r>
          </w:p>
        </w:tc>
        <w:tc>
          <w:tcPr>
            <w:tcW w:w="709" w:type="dxa"/>
            <w:tcBorders>
              <w:top w:val="single" w:color="auto" w:sz="4" w:space="0"/>
              <w:left w:val="nil"/>
              <w:bottom w:val="single" w:color="auto" w:sz="4" w:space="0"/>
              <w:right w:val="single" w:color="auto" w:sz="4" w:space="0"/>
            </w:tcBorders>
            <w:vAlign w:val="center"/>
          </w:tcPr>
          <w:p>
            <w:pPr>
              <w:widowControl/>
              <w:spacing w:before="100" w:beforeAutospacing="1" w:after="180" w:line="480" w:lineRule="auto"/>
              <w:jc w:val="center"/>
              <w:rPr>
                <w:rFonts w:ascii="宋体" w:hAnsi="宋体" w:eastAsia="宋体" w:cs="宋体"/>
                <w:color w:val="333333"/>
                <w:kern w:val="0"/>
                <w:sz w:val="24"/>
                <w:szCs w:val="24"/>
              </w:rPr>
            </w:pPr>
            <w:r>
              <w:rPr>
                <w:rFonts w:hint="eastAsia" w:ascii="Calibri" w:hAnsi="Calibri" w:eastAsia="宋体" w:cs="Times New Roman"/>
                <w:color w:val="333333"/>
                <w:sz w:val="24"/>
                <w:szCs w:val="24"/>
              </w:rPr>
              <w:t>10</w:t>
            </w:r>
          </w:p>
        </w:tc>
        <w:tc>
          <w:tcPr>
            <w:tcW w:w="708" w:type="dxa"/>
            <w:tcBorders>
              <w:top w:val="single" w:color="auto" w:sz="4" w:space="0"/>
              <w:left w:val="nil"/>
              <w:bottom w:val="single" w:color="auto" w:sz="4" w:space="0"/>
              <w:right w:val="single" w:color="auto" w:sz="4" w:space="0"/>
            </w:tcBorders>
            <w:vAlign w:val="center"/>
          </w:tcPr>
          <w:p>
            <w:pPr>
              <w:widowControl/>
              <w:spacing w:before="100" w:beforeAutospacing="1" w:after="180" w:line="480" w:lineRule="auto"/>
              <w:jc w:val="center"/>
              <w:rPr>
                <w:rFonts w:ascii="宋体" w:hAnsi="宋体" w:eastAsia="宋体" w:cs="宋体"/>
                <w:color w:val="333333"/>
                <w:kern w:val="0"/>
                <w:sz w:val="24"/>
                <w:szCs w:val="24"/>
              </w:rPr>
            </w:pPr>
            <w:r>
              <w:rPr>
                <w:rFonts w:hint="eastAsia" w:ascii="Calibri" w:hAnsi="Calibri" w:eastAsia="宋体" w:cs="Times New Roman"/>
                <w:color w:val="333333"/>
                <w:sz w:val="24"/>
                <w:szCs w:val="24"/>
              </w:rPr>
              <w:t>0</w:t>
            </w:r>
          </w:p>
        </w:tc>
        <w:tc>
          <w:tcPr>
            <w:tcW w:w="757" w:type="dxa"/>
            <w:tcBorders>
              <w:top w:val="single" w:color="auto" w:sz="4" w:space="0"/>
              <w:left w:val="nil"/>
              <w:bottom w:val="single" w:color="auto" w:sz="4" w:space="0"/>
              <w:right w:val="single" w:color="auto" w:sz="4" w:space="0"/>
            </w:tcBorders>
            <w:vAlign w:val="center"/>
          </w:tcPr>
          <w:p>
            <w:pPr>
              <w:widowControl/>
              <w:spacing w:before="100" w:beforeAutospacing="1" w:after="180" w:line="480" w:lineRule="auto"/>
              <w:jc w:val="center"/>
              <w:rPr>
                <w:rFonts w:ascii="宋体" w:hAnsi="宋体" w:eastAsia="宋体" w:cs="宋体"/>
                <w:color w:val="333333"/>
                <w:kern w:val="0"/>
                <w:sz w:val="24"/>
                <w:szCs w:val="24"/>
              </w:rPr>
            </w:pPr>
            <w:r>
              <w:rPr>
                <w:rFonts w:hint="eastAsia" w:ascii="Calibri" w:hAnsi="Calibri" w:eastAsia="宋体" w:cs="Times New Roman"/>
                <w:color w:val="333333"/>
                <w:sz w:val="24"/>
                <w:szCs w:val="24"/>
              </w:rPr>
              <w:t>0</w:t>
            </w:r>
          </w:p>
        </w:tc>
        <w:tc>
          <w:tcPr>
            <w:tcW w:w="661" w:type="dxa"/>
            <w:tcBorders>
              <w:top w:val="single" w:color="auto" w:sz="4" w:space="0"/>
              <w:left w:val="nil"/>
              <w:bottom w:val="single" w:color="auto" w:sz="4" w:space="0"/>
              <w:right w:val="single" w:color="auto" w:sz="4" w:space="0"/>
            </w:tcBorders>
            <w:vAlign w:val="center"/>
          </w:tcPr>
          <w:p>
            <w:pPr>
              <w:widowControl/>
              <w:spacing w:before="100" w:beforeAutospacing="1" w:after="180" w:line="480" w:lineRule="auto"/>
              <w:jc w:val="center"/>
              <w:rPr>
                <w:rFonts w:ascii="宋体" w:hAnsi="宋体" w:eastAsia="宋体" w:cs="宋体"/>
                <w:color w:val="333333"/>
                <w:kern w:val="0"/>
                <w:sz w:val="24"/>
                <w:szCs w:val="24"/>
              </w:rPr>
            </w:pPr>
            <w:r>
              <w:rPr>
                <w:rFonts w:hint="eastAsia" w:ascii="Calibri" w:hAnsi="Calibri" w:eastAsia="宋体" w:cs="Times New Roman"/>
                <w:color w:val="333333"/>
                <w:sz w:val="24"/>
                <w:szCs w:val="24"/>
              </w:rPr>
              <w:t>2</w:t>
            </w:r>
          </w:p>
        </w:tc>
        <w:tc>
          <w:tcPr>
            <w:tcW w:w="549" w:type="dxa"/>
            <w:tcBorders>
              <w:top w:val="single" w:color="auto" w:sz="4" w:space="0"/>
              <w:left w:val="nil"/>
              <w:bottom w:val="single" w:color="auto" w:sz="4" w:space="0"/>
              <w:right w:val="single" w:color="auto" w:sz="4" w:space="0"/>
            </w:tcBorders>
            <w:vAlign w:val="center"/>
          </w:tcPr>
          <w:p>
            <w:pPr>
              <w:widowControl/>
              <w:spacing w:before="100" w:beforeAutospacing="1" w:after="180" w:line="480" w:lineRule="auto"/>
              <w:jc w:val="center"/>
              <w:rPr>
                <w:rFonts w:ascii="宋体" w:hAnsi="宋体" w:eastAsia="宋体" w:cs="宋体"/>
                <w:color w:val="333333"/>
                <w:kern w:val="0"/>
                <w:sz w:val="24"/>
                <w:szCs w:val="24"/>
              </w:rPr>
            </w:pPr>
            <w:r>
              <w:rPr>
                <w:rFonts w:hint="eastAsia" w:ascii="宋体" w:hAnsi="宋体" w:eastAsia="宋体" w:cs="宋体"/>
                <w:color w:val="000000"/>
                <w:kern w:val="0"/>
                <w:sz w:val="24"/>
                <w:szCs w:val="24"/>
              </w:rPr>
              <w:t>12</w:t>
            </w:r>
          </w:p>
        </w:tc>
        <w:tc>
          <w:tcPr>
            <w:tcW w:w="727" w:type="dxa"/>
            <w:tcBorders>
              <w:top w:val="single" w:color="auto" w:sz="4" w:space="0"/>
              <w:left w:val="nil"/>
              <w:bottom w:val="single" w:color="auto" w:sz="4" w:space="0"/>
              <w:right w:val="single" w:color="auto" w:sz="4" w:space="0"/>
            </w:tcBorders>
            <w:vAlign w:val="center"/>
          </w:tcPr>
          <w:p>
            <w:pPr>
              <w:widowControl/>
              <w:spacing w:before="100" w:beforeAutospacing="1" w:after="180" w:line="480" w:lineRule="auto"/>
              <w:jc w:val="center"/>
              <w:rPr>
                <w:rFonts w:ascii="宋体" w:hAnsi="宋体" w:eastAsia="宋体" w:cs="宋体"/>
                <w:color w:val="333333"/>
                <w:kern w:val="0"/>
                <w:sz w:val="24"/>
                <w:szCs w:val="24"/>
              </w:rPr>
            </w:pPr>
            <w:r>
              <w:rPr>
                <w:rFonts w:hint="eastAsia" w:ascii="Calibri" w:hAnsi="Calibri" w:eastAsia="宋体" w:cs="Times New Roman"/>
                <w:color w:val="333333"/>
                <w:sz w:val="24"/>
                <w:szCs w:val="24"/>
              </w:rPr>
              <w:t>4</w:t>
            </w:r>
          </w:p>
        </w:tc>
        <w:tc>
          <w:tcPr>
            <w:tcW w:w="701" w:type="dxa"/>
            <w:tcBorders>
              <w:top w:val="single" w:color="auto" w:sz="4" w:space="0"/>
              <w:left w:val="nil"/>
              <w:bottom w:val="single" w:color="auto" w:sz="4" w:space="0"/>
              <w:right w:val="single" w:color="auto" w:sz="4" w:space="0"/>
            </w:tcBorders>
            <w:vAlign w:val="center"/>
          </w:tcPr>
          <w:p>
            <w:pPr>
              <w:widowControl/>
              <w:spacing w:before="100" w:beforeAutospacing="1" w:after="180" w:line="480" w:lineRule="auto"/>
              <w:jc w:val="center"/>
              <w:rPr>
                <w:rFonts w:ascii="宋体" w:hAnsi="宋体" w:eastAsia="宋体" w:cs="宋体"/>
                <w:color w:val="333333"/>
                <w:kern w:val="0"/>
                <w:sz w:val="24"/>
                <w:szCs w:val="24"/>
              </w:rPr>
            </w:pPr>
            <w:r>
              <w:rPr>
                <w:rFonts w:hint="eastAsia" w:ascii="Calibri" w:hAnsi="Calibri" w:eastAsia="宋体" w:cs="Times New Roman"/>
                <w:color w:val="333333"/>
                <w:sz w:val="24"/>
                <w:szCs w:val="24"/>
              </w:rPr>
              <w:t>0</w:t>
            </w:r>
          </w:p>
        </w:tc>
        <w:tc>
          <w:tcPr>
            <w:tcW w:w="716" w:type="dxa"/>
            <w:tcBorders>
              <w:top w:val="single" w:color="auto" w:sz="4" w:space="0"/>
              <w:left w:val="nil"/>
              <w:bottom w:val="single" w:color="auto" w:sz="4" w:space="0"/>
              <w:right w:val="single" w:color="auto" w:sz="4" w:space="0"/>
            </w:tcBorders>
            <w:vAlign w:val="center"/>
          </w:tcPr>
          <w:p>
            <w:pPr>
              <w:widowControl/>
              <w:spacing w:before="100" w:beforeAutospacing="1" w:after="180" w:line="480" w:lineRule="auto"/>
              <w:jc w:val="center"/>
              <w:rPr>
                <w:rFonts w:ascii="宋体" w:hAnsi="宋体" w:eastAsia="宋体" w:cs="宋体"/>
                <w:color w:val="333333"/>
                <w:kern w:val="0"/>
                <w:sz w:val="24"/>
                <w:szCs w:val="24"/>
              </w:rPr>
            </w:pPr>
            <w:r>
              <w:rPr>
                <w:rFonts w:hint="eastAsia" w:ascii="宋体" w:hAnsi="宋体" w:eastAsia="宋体" w:cs="宋体"/>
                <w:color w:val="000000"/>
                <w:kern w:val="0"/>
                <w:sz w:val="24"/>
                <w:szCs w:val="24"/>
              </w:rPr>
              <w:t>0</w:t>
            </w:r>
          </w:p>
        </w:tc>
        <w:tc>
          <w:tcPr>
            <w:tcW w:w="709" w:type="dxa"/>
            <w:tcBorders>
              <w:top w:val="single" w:color="auto" w:sz="4" w:space="0"/>
              <w:left w:val="nil"/>
              <w:bottom w:val="single" w:color="auto" w:sz="4" w:space="0"/>
              <w:right w:val="single" w:color="auto" w:sz="4" w:space="0"/>
            </w:tcBorders>
            <w:vAlign w:val="center"/>
          </w:tcPr>
          <w:p>
            <w:pPr>
              <w:widowControl/>
              <w:spacing w:before="100" w:beforeAutospacing="1" w:after="180" w:line="480" w:lineRule="auto"/>
              <w:jc w:val="center"/>
              <w:rPr>
                <w:rFonts w:ascii="宋体" w:hAnsi="宋体" w:eastAsia="宋体" w:cs="宋体"/>
                <w:color w:val="333333"/>
                <w:kern w:val="0"/>
                <w:sz w:val="24"/>
                <w:szCs w:val="24"/>
              </w:rPr>
            </w:pPr>
            <w:r>
              <w:rPr>
                <w:rFonts w:hint="eastAsia" w:ascii="Calibri" w:hAnsi="Calibri" w:eastAsia="宋体" w:cs="Times New Roman"/>
                <w:color w:val="333333"/>
                <w:sz w:val="24"/>
                <w:szCs w:val="24"/>
              </w:rPr>
              <w:t>0</w:t>
            </w:r>
          </w:p>
        </w:tc>
        <w:tc>
          <w:tcPr>
            <w:tcW w:w="392" w:type="dxa"/>
            <w:tcBorders>
              <w:top w:val="single" w:color="auto" w:sz="4" w:space="0"/>
              <w:left w:val="nil"/>
              <w:bottom w:val="single" w:color="auto" w:sz="4" w:space="0"/>
              <w:right w:val="single" w:color="auto" w:sz="4" w:space="0"/>
            </w:tcBorders>
            <w:vAlign w:val="center"/>
          </w:tcPr>
          <w:p>
            <w:pPr>
              <w:widowControl/>
              <w:spacing w:line="480" w:lineRule="auto"/>
              <w:jc w:val="center"/>
              <w:rPr>
                <w:rFonts w:ascii="宋体" w:hAnsi="宋体" w:eastAsia="宋体" w:cs="宋体"/>
                <w:color w:val="333333"/>
                <w:kern w:val="0"/>
                <w:sz w:val="24"/>
                <w:szCs w:val="24"/>
              </w:rPr>
            </w:pPr>
            <w:r>
              <w:rPr>
                <w:rFonts w:hint="eastAsia" w:ascii="宋体" w:hAnsi="宋体" w:eastAsia="宋体" w:cs="宋体"/>
                <w:color w:val="333333"/>
                <w:kern w:val="0"/>
                <w:sz w:val="24"/>
                <w:szCs w:val="24"/>
              </w:rPr>
              <w:t>4</w:t>
            </w:r>
          </w:p>
        </w:tc>
      </w:tr>
    </w:tbl>
    <w:p>
      <w:pPr>
        <w:spacing w:line="560" w:lineRule="exact"/>
        <w:ind w:firstLine="640" w:firstLineChars="200"/>
        <w:rPr>
          <w:rFonts w:ascii="黑体" w:hAnsi="黑体" w:eastAsia="黑体"/>
          <w:sz w:val="32"/>
          <w:szCs w:val="32"/>
        </w:rPr>
      </w:pPr>
      <w:r>
        <w:rPr>
          <w:rFonts w:hint="eastAsia" w:ascii="黑体" w:hAnsi="黑体" w:eastAsia="黑体"/>
          <w:sz w:val="32"/>
          <w:szCs w:val="32"/>
        </w:rPr>
        <w:t>五、存在的主要问题及改进情况</w:t>
      </w:r>
    </w:p>
    <w:p>
      <w:pPr>
        <w:spacing w:line="560" w:lineRule="exact"/>
        <w:ind w:firstLine="640" w:firstLineChars="200"/>
        <w:rPr>
          <w:rFonts w:ascii="楷体_GB2312" w:eastAsia="楷体_GB2312"/>
          <w:sz w:val="32"/>
          <w:szCs w:val="32"/>
        </w:rPr>
      </w:pPr>
      <w:r>
        <w:rPr>
          <w:rFonts w:hint="eastAsia" w:ascii="楷体_GB2312" w:eastAsia="楷体_GB2312"/>
          <w:sz w:val="32"/>
          <w:szCs w:val="32"/>
        </w:rPr>
        <w:t>（一）主要问题</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1.政府信息公开制度体系有待进一步完善。</w:t>
      </w:r>
      <w:r>
        <w:rPr>
          <w:rFonts w:hint="eastAsia" w:ascii="仿宋_GB2312" w:eastAsia="仿宋_GB2312"/>
          <w:sz w:val="32"/>
          <w:szCs w:val="32"/>
        </w:rPr>
        <w:t>虽然近几年我县构建了一套政府信息公开制度体系，但是还需进一步优化完善。个别单位在行政决策公众参与、解读回应方面工作不规范，导致行政决策公众参与度不高。</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2.政府信息公开的深度还需拓展。</w:t>
      </w:r>
      <w:r>
        <w:rPr>
          <w:rFonts w:hint="eastAsia" w:ascii="仿宋_GB2312" w:eastAsia="仿宋_GB2312"/>
          <w:sz w:val="32"/>
          <w:szCs w:val="32"/>
        </w:rPr>
        <w:t>大部分单位能够主动规范公开政府信息，但涉及双随机一公开、行政权力运行、执行效果评估等方领域信息公开的力度不够，部分单位公开的信息不准确、不规范，与群众预期有较大差距。</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3.依申请公开答复不规范。</w:t>
      </w:r>
      <w:r>
        <w:rPr>
          <w:rFonts w:hint="eastAsia" w:ascii="仿宋_GB2312" w:eastAsia="仿宋_GB2312"/>
          <w:sz w:val="32"/>
          <w:szCs w:val="32"/>
        </w:rPr>
        <w:t>个别单位在回复政府信息公开申请时，答复书不规范，突出表现在引用法律条文不正确、未告知救济渠道、答复时限超期等，有的单位依申请公开渠道不畅通，通过预留的申请方式无法寄送政府信息公开申请书。</w:t>
      </w:r>
    </w:p>
    <w:p>
      <w:pPr>
        <w:spacing w:line="560" w:lineRule="exact"/>
        <w:ind w:firstLine="640" w:firstLineChars="200"/>
        <w:rPr>
          <w:rFonts w:ascii="楷体_GB2312" w:eastAsia="楷体_GB2312"/>
          <w:sz w:val="32"/>
          <w:szCs w:val="32"/>
        </w:rPr>
      </w:pPr>
      <w:r>
        <w:rPr>
          <w:rFonts w:hint="eastAsia" w:ascii="楷体_GB2312" w:eastAsia="楷体_GB2312"/>
          <w:sz w:val="32"/>
          <w:szCs w:val="32"/>
        </w:rPr>
        <w:t>（二）改进措施</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1.优化完善制度体系。</w:t>
      </w:r>
      <w:r>
        <w:rPr>
          <w:rFonts w:hint="eastAsia" w:ascii="仿宋_GB2312" w:eastAsia="仿宋_GB2312"/>
          <w:sz w:val="32"/>
          <w:szCs w:val="32"/>
        </w:rPr>
        <w:t>健全行政决策公众参与机制和解读回应工作机制，明确公众参与行政决策的事项范围、参与方式、参与渠道，对涉及群众切身利益、影响市场预期等重要政策进行多种形式解读，形成发布、解读、回应有序衔接的政府信息公开工作格局。</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2.强化重点领域信息公开。</w:t>
      </w:r>
      <w:r>
        <w:rPr>
          <w:rFonts w:hint="eastAsia" w:ascii="仿宋_GB2312" w:eastAsia="仿宋_GB2312"/>
          <w:sz w:val="32"/>
          <w:szCs w:val="32"/>
        </w:rPr>
        <w:t>贯彻落实《条例》以及国家、省、市年度公开要点，持续做好信息公开，扩大公开范围。重点做好重大建设项目、行政执法公示、双随机一公开、教育卫生就业等涉及群众切身利益领域的信息公开工作。</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3.规范依申请公开工作。</w:t>
      </w:r>
      <w:r>
        <w:rPr>
          <w:rFonts w:hint="eastAsia" w:ascii="仿宋_GB2312" w:eastAsia="仿宋_GB2312"/>
          <w:sz w:val="32"/>
          <w:szCs w:val="32"/>
        </w:rPr>
        <w:t>完善依申请公开接收、登记、办理、调查、答复等各个环节工作，规范答复文书格式，提升办件质量。实行疑难件办理会商协查机制，加强与相关部门的会商，提高协查的准确性、全面性。</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六、其他需要报告的事项</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无。</w:t>
      </w: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sectPr>
      <w:pgSz w:w="11906" w:h="16838"/>
      <w:pgMar w:top="2098" w:right="1474" w:bottom="1985"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11750232"/>
      <w:docPartObj>
        <w:docPartGallery w:val="AutoText"/>
      </w:docPartObj>
    </w:sdtPr>
    <w:sdtEndPr>
      <w:rPr>
        <w:rFonts w:hint="eastAsia" w:ascii="仿宋_GB2312" w:eastAsia="仿宋_GB2312"/>
        <w:sz w:val="24"/>
        <w:szCs w:val="24"/>
      </w:rPr>
    </w:sdtEndPr>
    <w:sdtContent>
      <w:p>
        <w:pPr>
          <w:pStyle w:val="4"/>
          <w:jc w:val="center"/>
          <w:rPr>
            <w:rFonts w:ascii="仿宋_GB2312" w:eastAsia="仿宋_GB2312"/>
            <w:sz w:val="24"/>
            <w:szCs w:val="24"/>
          </w:rPr>
        </w:pPr>
        <w:r>
          <w:rPr>
            <w:rFonts w:hint="eastAsia" w:ascii="仿宋_GB2312" w:eastAsia="仿宋_GB2312"/>
            <w:sz w:val="24"/>
            <w:szCs w:val="24"/>
          </w:rPr>
          <w:fldChar w:fldCharType="begin"/>
        </w:r>
        <w:r>
          <w:rPr>
            <w:rFonts w:hint="eastAsia" w:ascii="仿宋_GB2312" w:eastAsia="仿宋_GB2312"/>
            <w:sz w:val="24"/>
            <w:szCs w:val="24"/>
          </w:rPr>
          <w:instrText xml:space="preserve">PAGE   \* MERGEFORMAT</w:instrText>
        </w:r>
        <w:r>
          <w:rPr>
            <w:rFonts w:hint="eastAsia" w:ascii="仿宋_GB2312" w:eastAsia="仿宋_GB2312"/>
            <w:sz w:val="24"/>
            <w:szCs w:val="24"/>
          </w:rPr>
          <w:fldChar w:fldCharType="separate"/>
        </w:r>
        <w:r>
          <w:rPr>
            <w:rFonts w:ascii="仿宋_GB2312" w:eastAsia="仿宋_GB2312"/>
            <w:sz w:val="24"/>
            <w:szCs w:val="24"/>
            <w:lang w:val="zh-CN"/>
          </w:rPr>
          <w:t>12</w:t>
        </w:r>
        <w:r>
          <w:rPr>
            <w:rFonts w:hint="eastAsia" w:ascii="仿宋_GB2312" w:eastAsia="仿宋_GB2312"/>
            <w:sz w:val="24"/>
            <w:szCs w:val="24"/>
          </w:rPr>
          <w:fldChar w:fldCharType="end"/>
        </w:r>
      </w:p>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A0NDljNmFiMzFkY2ZjZmQ4N2MzMDQyM2Q3NzlkMzMifQ=="/>
  </w:docVars>
  <w:rsids>
    <w:rsidRoot w:val="00E271FF"/>
    <w:rsid w:val="00003766"/>
    <w:rsid w:val="00011351"/>
    <w:rsid w:val="00011CAC"/>
    <w:rsid w:val="000406A0"/>
    <w:rsid w:val="00050F08"/>
    <w:rsid w:val="00067D0C"/>
    <w:rsid w:val="00076CF6"/>
    <w:rsid w:val="000910A9"/>
    <w:rsid w:val="00096E46"/>
    <w:rsid w:val="00097400"/>
    <w:rsid w:val="000B0330"/>
    <w:rsid w:val="000B0934"/>
    <w:rsid w:val="000D4FD7"/>
    <w:rsid w:val="000E69DA"/>
    <w:rsid w:val="000E6B32"/>
    <w:rsid w:val="000F2D8A"/>
    <w:rsid w:val="000F61EA"/>
    <w:rsid w:val="001010D4"/>
    <w:rsid w:val="00117B4D"/>
    <w:rsid w:val="00123B08"/>
    <w:rsid w:val="001245D4"/>
    <w:rsid w:val="00124A11"/>
    <w:rsid w:val="001366B4"/>
    <w:rsid w:val="001458BE"/>
    <w:rsid w:val="00151924"/>
    <w:rsid w:val="00154708"/>
    <w:rsid w:val="00161940"/>
    <w:rsid w:val="00164480"/>
    <w:rsid w:val="0016467B"/>
    <w:rsid w:val="00186A62"/>
    <w:rsid w:val="001A6BB5"/>
    <w:rsid w:val="001B182E"/>
    <w:rsid w:val="001B31D4"/>
    <w:rsid w:val="001B7C65"/>
    <w:rsid w:val="001E1441"/>
    <w:rsid w:val="001E217A"/>
    <w:rsid w:val="001E5229"/>
    <w:rsid w:val="001E6FDD"/>
    <w:rsid w:val="001E77A6"/>
    <w:rsid w:val="00206BB2"/>
    <w:rsid w:val="00214DF2"/>
    <w:rsid w:val="00216242"/>
    <w:rsid w:val="00234030"/>
    <w:rsid w:val="00241314"/>
    <w:rsid w:val="00244189"/>
    <w:rsid w:val="00251CC7"/>
    <w:rsid w:val="00256608"/>
    <w:rsid w:val="00266C64"/>
    <w:rsid w:val="002710D2"/>
    <w:rsid w:val="0029082F"/>
    <w:rsid w:val="0029284C"/>
    <w:rsid w:val="0029383C"/>
    <w:rsid w:val="002A7F25"/>
    <w:rsid w:val="002D09A1"/>
    <w:rsid w:val="002E3859"/>
    <w:rsid w:val="0030567A"/>
    <w:rsid w:val="00305EB6"/>
    <w:rsid w:val="00310B91"/>
    <w:rsid w:val="0031297B"/>
    <w:rsid w:val="00317F8F"/>
    <w:rsid w:val="003336C5"/>
    <w:rsid w:val="003343A1"/>
    <w:rsid w:val="00342B75"/>
    <w:rsid w:val="003579F0"/>
    <w:rsid w:val="00361769"/>
    <w:rsid w:val="003677BB"/>
    <w:rsid w:val="003754FC"/>
    <w:rsid w:val="00385426"/>
    <w:rsid w:val="003A551A"/>
    <w:rsid w:val="003B7614"/>
    <w:rsid w:val="003C66CF"/>
    <w:rsid w:val="003D1317"/>
    <w:rsid w:val="003F3C5A"/>
    <w:rsid w:val="003F7AD3"/>
    <w:rsid w:val="0040591D"/>
    <w:rsid w:val="00417E4F"/>
    <w:rsid w:val="00426C61"/>
    <w:rsid w:val="00431DC0"/>
    <w:rsid w:val="0044469E"/>
    <w:rsid w:val="0044565B"/>
    <w:rsid w:val="00465EE7"/>
    <w:rsid w:val="00474F8C"/>
    <w:rsid w:val="004A3770"/>
    <w:rsid w:val="004A61D9"/>
    <w:rsid w:val="004B1272"/>
    <w:rsid w:val="004D692C"/>
    <w:rsid w:val="004F225D"/>
    <w:rsid w:val="00503DC2"/>
    <w:rsid w:val="00506018"/>
    <w:rsid w:val="0052384C"/>
    <w:rsid w:val="00530FAE"/>
    <w:rsid w:val="005357E0"/>
    <w:rsid w:val="00561095"/>
    <w:rsid w:val="00565E58"/>
    <w:rsid w:val="00572EE9"/>
    <w:rsid w:val="00575039"/>
    <w:rsid w:val="0058410F"/>
    <w:rsid w:val="005A2D30"/>
    <w:rsid w:val="005A44D4"/>
    <w:rsid w:val="005A679F"/>
    <w:rsid w:val="005B1717"/>
    <w:rsid w:val="005B2C9D"/>
    <w:rsid w:val="005B60B9"/>
    <w:rsid w:val="005B7B31"/>
    <w:rsid w:val="005C6267"/>
    <w:rsid w:val="005D2717"/>
    <w:rsid w:val="005E176C"/>
    <w:rsid w:val="005E6938"/>
    <w:rsid w:val="005F1E5E"/>
    <w:rsid w:val="0060323D"/>
    <w:rsid w:val="0062074D"/>
    <w:rsid w:val="00620FA2"/>
    <w:rsid w:val="00670BF4"/>
    <w:rsid w:val="00672F64"/>
    <w:rsid w:val="0067385D"/>
    <w:rsid w:val="00684540"/>
    <w:rsid w:val="00685FD6"/>
    <w:rsid w:val="0069145A"/>
    <w:rsid w:val="006972F6"/>
    <w:rsid w:val="006A5602"/>
    <w:rsid w:val="006C1D61"/>
    <w:rsid w:val="006C61E3"/>
    <w:rsid w:val="006D2B9E"/>
    <w:rsid w:val="006F2052"/>
    <w:rsid w:val="006F32A9"/>
    <w:rsid w:val="0070575A"/>
    <w:rsid w:val="00706842"/>
    <w:rsid w:val="00710874"/>
    <w:rsid w:val="0072048C"/>
    <w:rsid w:val="0072796C"/>
    <w:rsid w:val="00736306"/>
    <w:rsid w:val="00743450"/>
    <w:rsid w:val="00746ECD"/>
    <w:rsid w:val="00747284"/>
    <w:rsid w:val="0075282D"/>
    <w:rsid w:val="00754F25"/>
    <w:rsid w:val="00773F69"/>
    <w:rsid w:val="00776012"/>
    <w:rsid w:val="0077715A"/>
    <w:rsid w:val="00790B33"/>
    <w:rsid w:val="00793D78"/>
    <w:rsid w:val="007B16B1"/>
    <w:rsid w:val="007C601D"/>
    <w:rsid w:val="007D6C57"/>
    <w:rsid w:val="007E4180"/>
    <w:rsid w:val="007E5FFE"/>
    <w:rsid w:val="00807CC0"/>
    <w:rsid w:val="00816B92"/>
    <w:rsid w:val="00825613"/>
    <w:rsid w:val="00835FA9"/>
    <w:rsid w:val="00852C30"/>
    <w:rsid w:val="00867D9F"/>
    <w:rsid w:val="0087437C"/>
    <w:rsid w:val="00874582"/>
    <w:rsid w:val="0087509A"/>
    <w:rsid w:val="00885D12"/>
    <w:rsid w:val="008A46AC"/>
    <w:rsid w:val="008B1FE4"/>
    <w:rsid w:val="008D4B35"/>
    <w:rsid w:val="008D62E4"/>
    <w:rsid w:val="008E2375"/>
    <w:rsid w:val="008E6862"/>
    <w:rsid w:val="008F0C7F"/>
    <w:rsid w:val="00906065"/>
    <w:rsid w:val="00916CDE"/>
    <w:rsid w:val="00937389"/>
    <w:rsid w:val="00944E1D"/>
    <w:rsid w:val="00965D4E"/>
    <w:rsid w:val="00971010"/>
    <w:rsid w:val="00980A69"/>
    <w:rsid w:val="009A6C2D"/>
    <w:rsid w:val="009B67C8"/>
    <w:rsid w:val="009C36DF"/>
    <w:rsid w:val="009D5915"/>
    <w:rsid w:val="009F4207"/>
    <w:rsid w:val="009F435B"/>
    <w:rsid w:val="009F4D5A"/>
    <w:rsid w:val="009F5FE5"/>
    <w:rsid w:val="009F6DCB"/>
    <w:rsid w:val="00A16507"/>
    <w:rsid w:val="00A23355"/>
    <w:rsid w:val="00A2491E"/>
    <w:rsid w:val="00A250E4"/>
    <w:rsid w:val="00A304B2"/>
    <w:rsid w:val="00A427EB"/>
    <w:rsid w:val="00A52A9C"/>
    <w:rsid w:val="00A6389A"/>
    <w:rsid w:val="00A7136A"/>
    <w:rsid w:val="00A82CD8"/>
    <w:rsid w:val="00A858D2"/>
    <w:rsid w:val="00A920D4"/>
    <w:rsid w:val="00A9750E"/>
    <w:rsid w:val="00AD32E2"/>
    <w:rsid w:val="00AD7912"/>
    <w:rsid w:val="00AE68F1"/>
    <w:rsid w:val="00AE6F46"/>
    <w:rsid w:val="00AF6C2E"/>
    <w:rsid w:val="00B0527D"/>
    <w:rsid w:val="00B10054"/>
    <w:rsid w:val="00B10618"/>
    <w:rsid w:val="00B209C0"/>
    <w:rsid w:val="00B222E6"/>
    <w:rsid w:val="00B2447E"/>
    <w:rsid w:val="00B52FB0"/>
    <w:rsid w:val="00B55E87"/>
    <w:rsid w:val="00B6207B"/>
    <w:rsid w:val="00B70AA5"/>
    <w:rsid w:val="00B724A8"/>
    <w:rsid w:val="00B72BE8"/>
    <w:rsid w:val="00B905A0"/>
    <w:rsid w:val="00B95A40"/>
    <w:rsid w:val="00BA1D87"/>
    <w:rsid w:val="00BA408A"/>
    <w:rsid w:val="00BB0CB9"/>
    <w:rsid w:val="00BE34C2"/>
    <w:rsid w:val="00BF33DF"/>
    <w:rsid w:val="00BF62B8"/>
    <w:rsid w:val="00BF78AB"/>
    <w:rsid w:val="00C01B55"/>
    <w:rsid w:val="00C01FA7"/>
    <w:rsid w:val="00C24D73"/>
    <w:rsid w:val="00C421DB"/>
    <w:rsid w:val="00C53C40"/>
    <w:rsid w:val="00C615D5"/>
    <w:rsid w:val="00C83F08"/>
    <w:rsid w:val="00C87D44"/>
    <w:rsid w:val="00CB0401"/>
    <w:rsid w:val="00CB2F48"/>
    <w:rsid w:val="00CC6D06"/>
    <w:rsid w:val="00CF7A58"/>
    <w:rsid w:val="00D00DA1"/>
    <w:rsid w:val="00D11086"/>
    <w:rsid w:val="00D11D0D"/>
    <w:rsid w:val="00D12F20"/>
    <w:rsid w:val="00D36A59"/>
    <w:rsid w:val="00D41DCE"/>
    <w:rsid w:val="00D47806"/>
    <w:rsid w:val="00D601F0"/>
    <w:rsid w:val="00D72CD5"/>
    <w:rsid w:val="00D7705D"/>
    <w:rsid w:val="00D847D8"/>
    <w:rsid w:val="00DA5B47"/>
    <w:rsid w:val="00DB1A24"/>
    <w:rsid w:val="00DD08A2"/>
    <w:rsid w:val="00DD1EFA"/>
    <w:rsid w:val="00DE0F65"/>
    <w:rsid w:val="00DE7653"/>
    <w:rsid w:val="00DE7BFF"/>
    <w:rsid w:val="00DF152D"/>
    <w:rsid w:val="00E0243C"/>
    <w:rsid w:val="00E2313C"/>
    <w:rsid w:val="00E271FF"/>
    <w:rsid w:val="00E44D4C"/>
    <w:rsid w:val="00E66D92"/>
    <w:rsid w:val="00E746E3"/>
    <w:rsid w:val="00E76CEC"/>
    <w:rsid w:val="00E8666D"/>
    <w:rsid w:val="00EA56A0"/>
    <w:rsid w:val="00EA7DF7"/>
    <w:rsid w:val="00EC4878"/>
    <w:rsid w:val="00F01F37"/>
    <w:rsid w:val="00F07DF7"/>
    <w:rsid w:val="00F120F4"/>
    <w:rsid w:val="00F227DD"/>
    <w:rsid w:val="00F250FA"/>
    <w:rsid w:val="00F27ED3"/>
    <w:rsid w:val="00F33CEA"/>
    <w:rsid w:val="00F43078"/>
    <w:rsid w:val="00F53375"/>
    <w:rsid w:val="00F54336"/>
    <w:rsid w:val="00F7222E"/>
    <w:rsid w:val="00F73E6E"/>
    <w:rsid w:val="00F81217"/>
    <w:rsid w:val="00F84A56"/>
    <w:rsid w:val="00F85382"/>
    <w:rsid w:val="00F85FC0"/>
    <w:rsid w:val="00F86849"/>
    <w:rsid w:val="00FB07C1"/>
    <w:rsid w:val="00FD6BCF"/>
    <w:rsid w:val="00FE7C2B"/>
    <w:rsid w:val="47FE31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1"/>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0"/>
    <w:semiHidden/>
    <w:unhideWhenUsed/>
    <w:qFormat/>
    <w:uiPriority w:val="99"/>
    <w:rPr>
      <w:sz w:val="18"/>
      <w:szCs w:val="18"/>
    </w:rPr>
  </w:style>
  <w:style w:type="paragraph" w:styleId="4">
    <w:name w:val="footer"/>
    <w:basedOn w:val="1"/>
    <w:link w:val="13"/>
    <w:unhideWhenUsed/>
    <w:uiPriority w:val="99"/>
    <w:pPr>
      <w:tabs>
        <w:tab w:val="center" w:pos="4153"/>
        <w:tab w:val="right" w:pos="8306"/>
      </w:tabs>
      <w:snapToGrid w:val="0"/>
      <w:jc w:val="left"/>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styleId="9">
    <w:name w:val="Strong"/>
    <w:qFormat/>
    <w:uiPriority w:val="0"/>
    <w:rPr>
      <w:rFonts w:ascii="Verdana" w:hAnsi="Verdana" w:eastAsia="仿宋_GB2312" w:cs="Verdana"/>
      <w:b/>
      <w:bCs/>
      <w:kern w:val="0"/>
      <w:sz w:val="28"/>
      <w:szCs w:val="28"/>
      <w:lang w:eastAsia="en-US"/>
    </w:rPr>
  </w:style>
  <w:style w:type="character" w:customStyle="1" w:styleId="10">
    <w:name w:val="批注框文本 Char"/>
    <w:basedOn w:val="8"/>
    <w:link w:val="3"/>
    <w:semiHidden/>
    <w:uiPriority w:val="99"/>
    <w:rPr>
      <w:sz w:val="18"/>
      <w:szCs w:val="18"/>
    </w:rPr>
  </w:style>
  <w:style w:type="character" w:customStyle="1" w:styleId="11">
    <w:name w:val="标题 1 Char"/>
    <w:basedOn w:val="8"/>
    <w:link w:val="2"/>
    <w:uiPriority w:val="9"/>
    <w:rPr>
      <w:rFonts w:ascii="宋体" w:hAnsi="宋体" w:eastAsia="宋体" w:cs="宋体"/>
      <w:b/>
      <w:bCs/>
      <w:kern w:val="36"/>
      <w:sz w:val="48"/>
      <w:szCs w:val="48"/>
    </w:rPr>
  </w:style>
  <w:style w:type="character" w:customStyle="1" w:styleId="12">
    <w:name w:val="页眉 Char"/>
    <w:basedOn w:val="8"/>
    <w:link w:val="5"/>
    <w:qFormat/>
    <w:uiPriority w:val="99"/>
    <w:rPr>
      <w:sz w:val="18"/>
      <w:szCs w:val="18"/>
    </w:rPr>
  </w:style>
  <w:style w:type="character" w:customStyle="1" w:styleId="13">
    <w:name w:val="页脚 Char"/>
    <w:basedOn w:val="8"/>
    <w:link w:val="4"/>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8.jpeg"/><Relationship Id="rId14" Type="http://schemas.openxmlformats.org/officeDocument/2006/relationships/chart" Target="charts/chart3.xml"/><Relationship Id="rId13" Type="http://schemas.openxmlformats.org/officeDocument/2006/relationships/chart" Target="charts/chart2.xml"/><Relationship Id="rId12" Type="http://schemas.openxmlformats.org/officeDocument/2006/relationships/chart" Target="charts/chart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a:t>依申请公开办理结果统计</a:t>
            </a:r>
            <a:endParaRPr lang="zh-CN" altLang="en-US"/>
          </a:p>
        </c:rich>
      </c:tx>
      <c:layout/>
      <c:overlay val="0"/>
    </c:title>
    <c:autoTitleDeleted val="0"/>
    <c:plotArea>
      <c:layout/>
      <c:pieChart>
        <c:varyColors val="1"/>
        <c:ser>
          <c:idx val="0"/>
          <c:order val="0"/>
          <c:explosion val="0"/>
          <c:dPt>
            <c:idx val="0"/>
            <c:bubble3D val="0"/>
          </c:dPt>
          <c:dPt>
            <c:idx val="1"/>
            <c:bubble3D val="0"/>
          </c:dPt>
          <c:dPt>
            <c:idx val="2"/>
            <c:bubble3D val="0"/>
          </c:dPt>
          <c:dPt>
            <c:idx val="3"/>
            <c:bubble3D val="0"/>
          </c:dPt>
          <c:dPt>
            <c:idx val="4"/>
            <c:bubble3D val="0"/>
          </c:dPt>
          <c:dPt>
            <c:idx val="5"/>
            <c:bubble3D val="0"/>
          </c:dPt>
          <c:dLbls>
            <c:dLbl>
              <c:idx val="0"/>
              <c:layout>
                <c:manualLayout>
                  <c:x val="0.0967419446900688"/>
                  <c:y val="0.0870579274661867"/>
                </c:manualLayout>
              </c:layout>
              <c:tx>
                <c:rich>
                  <a:bodyPr rot="0" spcFirstLastPara="0" vertOverflow="ellipsis" vert="horz" wrap="square" lIns="38100" tIns="19050" rIns="38100" bIns="19050" anchor="ctr" anchorCtr="1"/>
                  <a:lstStyle/>
                  <a:p>
                    <a:pPr>
                      <a:defRPr lang="zh-CN" sz="1200" b="0" i="0" u="none" strike="noStrike" kern="1200" baseline="0">
                        <a:solidFill>
                          <a:schemeClr val="tx1"/>
                        </a:solidFill>
                        <a:latin typeface="+mn-lt"/>
                        <a:ea typeface="+mn-ea"/>
                        <a:cs typeface="+mn-cs"/>
                      </a:defRPr>
                    </a:pPr>
                    <a:r>
                      <a:rPr lang="zh-CN" altLang="en-US" sz="1200"/>
                      <a:t>予以公开</a:t>
                    </a:r>
                    <a:r>
                      <a:rPr lang="en-US" altLang="en-US" sz="1200"/>
                      <a:t>23.20%</a:t>
                    </a:r>
                    <a:endParaRPr lang="en-US" altLang="en-US"/>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46162037231977"/>
                  <c:y val="-0.00660392648205124"/>
                </c:manualLayout>
              </c:layout>
              <c:tx>
                <c:rich>
                  <a:bodyPr rot="0" spcFirstLastPara="0" vertOverflow="ellipsis" vert="horz" wrap="square" lIns="38100" tIns="19050" rIns="38100" bIns="19050" anchor="ctr" anchorCtr="1"/>
                  <a:lstStyle/>
                  <a:p>
                    <a:pPr>
                      <a:defRPr lang="zh-CN" sz="1200" b="0" i="0" u="none" strike="noStrike" kern="1200" baseline="0">
                        <a:solidFill>
                          <a:schemeClr val="tx1"/>
                        </a:solidFill>
                        <a:latin typeface="+mn-lt"/>
                        <a:ea typeface="+mn-ea"/>
                        <a:cs typeface="+mn-cs"/>
                      </a:defRPr>
                    </a:pPr>
                    <a:r>
                      <a:rPr lang="zh-CN" altLang="en-US" sz="1200"/>
                      <a:t>部分公开</a:t>
                    </a:r>
                    <a:r>
                      <a:rPr lang="en-US" altLang="en-US" sz="1200"/>
                      <a:t>29.50%</a:t>
                    </a:r>
                    <a:endParaRPr lang="en-US" altLang="en-US"/>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4877538703384"/>
                  <c:y val="0.0293234029156276"/>
                </c:manualLayout>
              </c:layout>
              <c:tx>
                <c:rich>
                  <a:bodyPr rot="0" spcFirstLastPara="0" vertOverflow="ellipsis" vert="horz" wrap="square" lIns="38100" tIns="19050" rIns="38100" bIns="19050" anchor="ctr" anchorCtr="1"/>
                  <a:lstStyle/>
                  <a:p>
                    <a:pPr>
                      <a:defRPr lang="zh-CN" sz="1200" b="0" i="0" u="none" strike="noStrike" kern="1200" baseline="0">
                        <a:solidFill>
                          <a:schemeClr val="tx1"/>
                        </a:solidFill>
                        <a:latin typeface="+mn-lt"/>
                        <a:ea typeface="+mn-ea"/>
                        <a:cs typeface="+mn-cs"/>
                      </a:defRPr>
                    </a:pPr>
                    <a:r>
                      <a:rPr lang="zh-CN" altLang="en-US" sz="1200"/>
                      <a:t>不予公开</a:t>
                    </a:r>
                    <a:r>
                      <a:rPr lang="en-US" altLang="en-US" sz="1200"/>
                      <a:t>7.10%</a:t>
                    </a:r>
                    <a:endParaRPr lang="en-US" altLang="en-US"/>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26620536069355"/>
                  <c:y val="0.0182134243201735"/>
                </c:manualLayout>
              </c:layout>
              <c:tx>
                <c:rich>
                  <a:bodyPr rot="0" spcFirstLastPara="0" vertOverflow="ellipsis" vert="horz" wrap="square" lIns="38100" tIns="19050" rIns="38100" bIns="19050" anchor="ctr" anchorCtr="1"/>
                  <a:lstStyle/>
                  <a:p>
                    <a:pPr>
                      <a:defRPr lang="zh-CN" sz="1200" b="0" i="0" u="none" strike="noStrike" kern="1200" baseline="0">
                        <a:solidFill>
                          <a:schemeClr val="tx1"/>
                        </a:solidFill>
                        <a:latin typeface="+mn-lt"/>
                        <a:ea typeface="+mn-ea"/>
                        <a:cs typeface="+mn-cs"/>
                      </a:defRPr>
                    </a:pPr>
                    <a:r>
                      <a:rPr lang="zh-CN" altLang="en-US" sz="1200"/>
                      <a:t>无法提供</a:t>
                    </a:r>
                    <a:r>
                      <a:rPr lang="en-US" altLang="en-US" sz="1200"/>
                      <a:t>40.20%</a:t>
                    </a:r>
                    <a:endParaRPr lang="en-US" altLang="en-US"/>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21130798489761"/>
                  <c:y val="0.00983070901660176"/>
                </c:manualLayout>
              </c:layout>
              <c:tx>
                <c:rich>
                  <a:bodyPr rot="0" spcFirstLastPara="0" vertOverflow="ellipsis" vert="horz" wrap="square" lIns="38100" tIns="19050" rIns="38100" bIns="19050" anchor="ctr" anchorCtr="1"/>
                  <a:lstStyle/>
                  <a:p>
                    <a:pPr>
                      <a:defRPr lang="zh-CN" sz="1200" b="0" i="0" u="none" strike="noStrike" kern="1200" baseline="0">
                        <a:solidFill>
                          <a:schemeClr val="tx1"/>
                        </a:solidFill>
                        <a:latin typeface="+mn-lt"/>
                        <a:ea typeface="+mn-ea"/>
                        <a:cs typeface="+mn-cs"/>
                      </a:defRPr>
                    </a:pPr>
                    <a:r>
                      <a:rPr lang="zh-CN" altLang="en-US" sz="1200"/>
                      <a:t>不予处理</a:t>
                    </a:r>
                    <a:r>
                      <a:rPr lang="en-US" altLang="en-US" sz="1200"/>
                      <a:t>0%</a:t>
                    </a:r>
                    <a:endParaRPr lang="en-US" altLang="en-US"/>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245911266439289"/>
                  <c:y val="0.00560595250229334"/>
                </c:manualLayout>
              </c:layout>
              <c:tx>
                <c:rich>
                  <a:bodyPr rot="0" spcFirstLastPara="0" vertOverflow="ellipsis" vert="horz" wrap="square" lIns="38100" tIns="19050" rIns="38100" bIns="19050" anchor="ctr" anchorCtr="1"/>
                  <a:lstStyle/>
                  <a:p>
                    <a:pPr>
                      <a:defRPr lang="zh-CN" sz="1200" b="0" i="0" u="none" strike="noStrike" kern="1200" baseline="0">
                        <a:solidFill>
                          <a:schemeClr val="tx1"/>
                        </a:solidFill>
                        <a:latin typeface="+mn-lt"/>
                        <a:ea typeface="+mn-ea"/>
                        <a:cs typeface="+mn-cs"/>
                      </a:defRPr>
                    </a:pPr>
                    <a:r>
                      <a:rPr lang="zh-CN" altLang="en-US" sz="1200"/>
                      <a:t>其他处理</a:t>
                    </a:r>
                    <a:r>
                      <a:rPr lang="en-US" altLang="en-US" sz="1200"/>
                      <a:t>0%</a:t>
                    </a:r>
                    <a:endParaRPr lang="en-US" altLang="en-US"/>
                  </a:p>
                </c:rich>
              </c:tx>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200" b="0" i="0" u="none" strike="noStrike" kern="1200" baseline="0">
                    <a:solidFill>
                      <a:schemeClr val="tx1"/>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Sheet1!$F$74:$F$79</c:f>
              <c:strCache>
                <c:ptCount val="6"/>
                <c:pt idx="0">
                  <c:v>予以公开</c:v>
                </c:pt>
                <c:pt idx="1">
                  <c:v>部分公开</c:v>
                </c:pt>
                <c:pt idx="2">
                  <c:v>不予公开</c:v>
                </c:pt>
                <c:pt idx="3">
                  <c:v>无法提供</c:v>
                </c:pt>
                <c:pt idx="4">
                  <c:v>不予处理</c:v>
                </c:pt>
                <c:pt idx="5">
                  <c:v>其他处理</c:v>
                </c:pt>
              </c:strCache>
            </c:strRef>
          </c:cat>
          <c:val>
            <c:numRef>
              <c:f>Sheet1!$G$74:$G$79</c:f>
              <c:numCache>
                <c:formatCode>0.00%</c:formatCode>
                <c:ptCount val="6"/>
                <c:pt idx="0">
                  <c:v>0.232</c:v>
                </c:pt>
                <c:pt idx="1">
                  <c:v>0.295</c:v>
                </c:pt>
                <c:pt idx="2">
                  <c:v>0.071</c:v>
                </c:pt>
                <c:pt idx="3">
                  <c:v>0.402</c:v>
                </c:pt>
                <c:pt idx="4" c:formatCode="0%">
                  <c:v>0</c:v>
                </c:pt>
                <c:pt idx="5" c:formatCode="0%">
                  <c:v>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844339542423888"/>
          <c:y val="0.529474264364806"/>
          <c:w val="0.148066176774269"/>
          <c:h val="0.428832101762297"/>
        </c:manualLayout>
      </c:layout>
      <c:overlay val="0"/>
      <c:txPr>
        <a:bodyPr rot="0" spcFirstLastPara="0" vertOverflow="ellipsis" vert="horz" wrap="square" anchor="ctr" anchorCtr="1"/>
        <a:lstStyle/>
        <a:p>
          <a:pPr>
            <a:defRPr lang="zh-CN" sz="1200" b="0" i="0" u="none" strike="noStrike" kern="1200" baseline="0">
              <a:solidFill>
                <a:schemeClr val="tx1"/>
              </a:solidFill>
              <a:latin typeface="+mn-lt"/>
              <a:ea typeface="+mn-ea"/>
              <a:cs typeface="+mn-cs"/>
            </a:defRPr>
          </a:pPr>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a:t>被提起行政诉讼结果统计</a:t>
            </a:r>
            <a:endParaRPr lang="zh-CN" altLang="en-US"/>
          </a:p>
        </c:rich>
      </c:tx>
      <c:layout/>
      <c:overlay val="0"/>
    </c:title>
    <c:autoTitleDeleted val="0"/>
    <c:view3D>
      <c:rotX val="30"/>
      <c:rotY val="0"/>
      <c:depthPercent val="100"/>
      <c:rAngAx val="0"/>
      <c:perspective val="30"/>
    </c:view3D>
    <c:floor>
      <c:thickness val="0"/>
    </c:floor>
    <c:sideWall>
      <c:thickness val="0"/>
    </c:sideWall>
    <c:backWall>
      <c:thickness val="0"/>
    </c:backWall>
    <c:plotArea>
      <c:layout/>
      <c:pie3DChart>
        <c:varyColors val="1"/>
        <c:ser>
          <c:idx val="0"/>
          <c:order val="0"/>
          <c:explosion val="25"/>
          <c:dPt>
            <c:idx val="0"/>
            <c:bubble3D val="0"/>
          </c:dPt>
          <c:dPt>
            <c:idx val="1"/>
            <c:bubble3D val="0"/>
          </c:dPt>
          <c:dPt>
            <c:idx val="2"/>
            <c:bubble3D val="0"/>
          </c:dPt>
          <c:dPt>
            <c:idx val="3"/>
            <c:bubble3D val="0"/>
          </c:dPt>
          <c:dLbls>
            <c:dLbl>
              <c:idx val="0"/>
              <c:layout>
                <c:manualLayout>
                  <c:x val="0.0882904766055535"/>
                  <c:y val="-0.0446652960139608"/>
                </c:manualLayout>
              </c:layout>
              <c:tx>
                <c:rich>
                  <a:bodyPr rot="0" spcFirstLastPara="0" vertOverflow="ellipsis" vert="horz" wrap="square" lIns="38100" tIns="19050" rIns="38100" bIns="19050" anchor="ctr" anchorCtr="1"/>
                  <a:lstStyle/>
                  <a:p>
                    <a:pPr>
                      <a:defRPr lang="zh-CN" sz="1200" b="0" i="0" u="none" strike="noStrike" kern="1200" baseline="0">
                        <a:solidFill>
                          <a:schemeClr val="tx1"/>
                        </a:solidFill>
                        <a:latin typeface="+mn-lt"/>
                        <a:ea typeface="+mn-ea"/>
                        <a:cs typeface="+mn-cs"/>
                      </a:defRPr>
                    </a:pPr>
                    <a:r>
                      <a:rPr lang="zh-CN" altLang="en-US" sz="1200"/>
                      <a:t>结果维持</a:t>
                    </a:r>
                    <a:r>
                      <a:rPr lang="en-US" altLang="en-US" sz="1200"/>
                      <a:t>87.50%</a:t>
                    </a:r>
                    <a:endParaRPr lang="en-US" altLang="en-US"/>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rot="0" spcFirstLastPara="0" vertOverflow="ellipsis" vert="horz" wrap="square" lIns="38100" tIns="19050" rIns="38100" bIns="19050" anchor="ctr" anchorCtr="1"/>
                  <a:lstStyle/>
                  <a:p>
                    <a:pPr>
                      <a:defRPr lang="zh-CN" sz="1200" b="0" i="0" u="none" strike="noStrike" kern="1200" baseline="0">
                        <a:solidFill>
                          <a:schemeClr val="tx1"/>
                        </a:solidFill>
                        <a:latin typeface="+mn-lt"/>
                        <a:ea typeface="+mn-ea"/>
                        <a:cs typeface="+mn-cs"/>
                      </a:defRPr>
                    </a:pPr>
                    <a:r>
                      <a:rPr lang="zh-CN" altLang="en-US" sz="1200"/>
                      <a:t>其他结果</a:t>
                    </a:r>
                    <a:r>
                      <a:rPr lang="en-US" altLang="en-US" sz="1200"/>
                      <a:t>0%</a:t>
                    </a:r>
                    <a:endParaRPr lang="en-US" altLang="en-US"/>
                  </a:p>
                </c:rich>
              </c:tx>
              <c:dLblPos val="bestFit"/>
              <c:showLegendKey val="0"/>
              <c:showVal val="1"/>
              <c:showCatName val="0"/>
              <c:showSerName val="0"/>
              <c:showPercent val="0"/>
              <c:showBubbleSize val="0"/>
              <c:extLst>
                <c:ext xmlns:c15="http://schemas.microsoft.com/office/drawing/2012/chart" uri="{CE6537A1-D6FC-4f65-9D91-7224C49458BB}"/>
              </c:extLst>
            </c:dLbl>
            <c:dLbl>
              <c:idx val="2"/>
              <c:layout/>
              <c:tx>
                <c:rich>
                  <a:bodyPr rot="0" spcFirstLastPara="0" vertOverflow="ellipsis" vert="horz" wrap="square" lIns="38100" tIns="19050" rIns="38100" bIns="19050" anchor="ctr" anchorCtr="1"/>
                  <a:lstStyle/>
                  <a:p>
                    <a:pPr>
                      <a:defRPr lang="zh-CN" sz="1200" b="0" i="0" u="none" strike="noStrike" kern="1200" baseline="0">
                        <a:solidFill>
                          <a:schemeClr val="tx1"/>
                        </a:solidFill>
                        <a:latin typeface="+mn-lt"/>
                        <a:ea typeface="+mn-ea"/>
                        <a:cs typeface="+mn-cs"/>
                      </a:defRPr>
                    </a:pPr>
                    <a:r>
                      <a:rPr lang="zh-CN" altLang="en-US" sz="1200"/>
                      <a:t>结果纠正</a:t>
                    </a:r>
                    <a:r>
                      <a:rPr lang="en-US" altLang="en-US" sz="1200"/>
                      <a:t>0%</a:t>
                    </a:r>
                    <a:endParaRPr lang="en-US" altLang="en-US"/>
                  </a:p>
                </c:rich>
              </c:tx>
              <c:dLblPos val="bestFit"/>
              <c:showLegendKey val="0"/>
              <c:showVal val="1"/>
              <c:showCatName val="0"/>
              <c:showSerName val="0"/>
              <c:showPercent val="0"/>
              <c:showBubbleSize val="0"/>
              <c:extLst>
                <c:ext xmlns:c15="http://schemas.microsoft.com/office/drawing/2012/chart" uri="{CE6537A1-D6FC-4f65-9D91-7224C49458BB}"/>
              </c:extLst>
            </c:dLbl>
            <c:dLbl>
              <c:idx val="3"/>
              <c:layout/>
              <c:tx>
                <c:rich>
                  <a:bodyPr rot="0" spcFirstLastPara="0" vertOverflow="ellipsis" vert="horz" wrap="square" lIns="38100" tIns="19050" rIns="38100" bIns="19050" anchor="ctr" anchorCtr="1"/>
                  <a:lstStyle/>
                  <a:p>
                    <a:pPr>
                      <a:defRPr lang="zh-CN" sz="1200" b="0" i="0" u="none" strike="noStrike" kern="1200" baseline="0">
                        <a:solidFill>
                          <a:schemeClr val="tx1"/>
                        </a:solidFill>
                        <a:latin typeface="+mn-lt"/>
                        <a:ea typeface="+mn-ea"/>
                        <a:cs typeface="+mn-cs"/>
                      </a:defRPr>
                    </a:pPr>
                    <a:r>
                      <a:rPr lang="zh-CN" altLang="en-US" sz="1200"/>
                      <a:t>尚未审结</a:t>
                    </a:r>
                    <a:r>
                      <a:rPr lang="en-US" altLang="en-US" sz="1200"/>
                      <a:t>12.50%</a:t>
                    </a:r>
                    <a:endParaRPr lang="en-US" altLang="en-US"/>
                  </a:p>
                </c:rich>
              </c:tx>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200" b="0" i="0" u="none" strike="noStrike" kern="1200" baseline="0">
                    <a:solidFill>
                      <a:schemeClr val="tx1"/>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Sheet1!$F$69:$F$72</c:f>
              <c:strCache>
                <c:ptCount val="4"/>
                <c:pt idx="0">
                  <c:v>结果维持</c:v>
                </c:pt>
                <c:pt idx="1">
                  <c:v>结果纠正</c:v>
                </c:pt>
                <c:pt idx="2">
                  <c:v>其他结果</c:v>
                </c:pt>
                <c:pt idx="3">
                  <c:v>尚未审结</c:v>
                </c:pt>
              </c:strCache>
            </c:strRef>
          </c:cat>
          <c:val>
            <c:numRef>
              <c:f>Sheet1!$G$69:$G$72</c:f>
              <c:numCache>
                <c:formatCode>0.00%</c:formatCode>
                <c:ptCount val="4"/>
                <c:pt idx="0">
                  <c:v>0.875</c:v>
                </c:pt>
                <c:pt idx="1" c:formatCode="0%">
                  <c:v>0</c:v>
                </c:pt>
                <c:pt idx="2" c:formatCode="0%">
                  <c:v>0</c:v>
                </c:pt>
                <c:pt idx="3">
                  <c:v>0.125</c:v>
                </c:pt>
              </c:numCache>
            </c:numRef>
          </c:val>
        </c:ser>
        <c:dLbls>
          <c:showLegendKey val="0"/>
          <c:showVal val="0"/>
          <c:showCatName val="0"/>
          <c:showSerName val="0"/>
          <c:showPercent val="0"/>
          <c:showBubbleSize val="0"/>
        </c:dLbls>
      </c:pie3DChart>
    </c:plotArea>
    <c:legend>
      <c:legendPos val="r"/>
      <c:layout>
        <c:manualLayout>
          <c:xMode val="edge"/>
          <c:yMode val="edge"/>
          <c:x val="0.791788580775229"/>
          <c:y val="0.613993150435071"/>
          <c:w val="0.184496678720984"/>
          <c:h val="0.302229071395028"/>
        </c:manualLayout>
      </c:layout>
      <c:overlay val="0"/>
      <c:txPr>
        <a:bodyPr rot="0" spcFirstLastPara="0" vertOverflow="ellipsis" vert="horz" wrap="square" anchor="ctr" anchorCtr="1"/>
        <a:lstStyle/>
        <a:p>
          <a:pPr>
            <a:defRPr lang="zh-CN" sz="1200" b="0" i="0" u="none" strike="noStrike" kern="1200" baseline="0">
              <a:solidFill>
                <a:schemeClr val="tx1"/>
              </a:solidFill>
              <a:latin typeface="+mn-lt"/>
              <a:ea typeface="+mn-ea"/>
              <a:cs typeface="+mn-cs"/>
            </a:defRPr>
          </a:pPr>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a:t>被提起行政复议结果统计</a:t>
            </a:r>
            <a:endParaRPr lang="zh-CN" altLang="en-US"/>
          </a:p>
        </c:rich>
      </c:tx>
      <c:layout/>
      <c:overlay val="0"/>
    </c:title>
    <c:autoTitleDeleted val="0"/>
    <c:view3D>
      <c:rotX val="30"/>
      <c:rotY val="0"/>
      <c:depthPercent val="100"/>
      <c:rAngAx val="0"/>
      <c:perspective val="30"/>
    </c:view3D>
    <c:floor>
      <c:thickness val="0"/>
    </c:floor>
    <c:sideWall>
      <c:thickness val="0"/>
    </c:sideWall>
    <c:backWall>
      <c:thickness val="0"/>
    </c:backWall>
    <c:plotArea>
      <c:layout/>
      <c:pie3DChart>
        <c:varyColors val="1"/>
        <c:ser>
          <c:idx val="0"/>
          <c:order val="0"/>
          <c:explosion val="25"/>
          <c:dPt>
            <c:idx val="0"/>
            <c:bubble3D val="0"/>
          </c:dPt>
          <c:dPt>
            <c:idx val="1"/>
            <c:bubble3D val="0"/>
          </c:dPt>
          <c:dPt>
            <c:idx val="2"/>
            <c:bubble3D val="0"/>
          </c:dPt>
          <c:dPt>
            <c:idx val="3"/>
            <c:bubble3D val="0"/>
          </c:dPt>
          <c:dLbls>
            <c:dLbl>
              <c:idx val="0"/>
              <c:layout>
                <c:manualLayout>
                  <c:x val="0.131889216972878"/>
                  <c:y val="0.00524679206765821"/>
                </c:manualLayout>
              </c:layout>
              <c:tx>
                <c:rich>
                  <a:bodyPr rot="0" spcFirstLastPara="0" vertOverflow="ellipsis" vert="horz" wrap="square" lIns="38100" tIns="19050" rIns="38100" bIns="19050" anchor="ctr" anchorCtr="1"/>
                  <a:lstStyle/>
                  <a:p>
                    <a:pPr>
                      <a:defRPr lang="zh-CN" sz="1200" b="0" i="0" u="none" strike="noStrike" kern="1200" baseline="0">
                        <a:solidFill>
                          <a:schemeClr val="tx1"/>
                        </a:solidFill>
                        <a:latin typeface="+mn-lt"/>
                        <a:ea typeface="+mn-ea"/>
                        <a:cs typeface="+mn-cs"/>
                      </a:defRPr>
                    </a:pPr>
                    <a:r>
                      <a:rPr lang="zh-CN" altLang="en-US" sz="1200"/>
                      <a:t>结果维持</a:t>
                    </a:r>
                    <a:r>
                      <a:rPr lang="en-US" altLang="en-US" sz="1200"/>
                      <a:t>95.70%</a:t>
                    </a:r>
                    <a:endParaRPr lang="en-US" altLang="en-US"/>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181668228895"/>
                  <c:y val="0.0821027176452145"/>
                </c:manualLayout>
              </c:layout>
              <c:tx>
                <c:rich>
                  <a:bodyPr rot="0" spcFirstLastPara="0" vertOverflow="ellipsis" vert="horz" wrap="square" lIns="38100" tIns="19050" rIns="38100" bIns="19050" anchor="ctr" anchorCtr="1"/>
                  <a:lstStyle/>
                  <a:p>
                    <a:pPr>
                      <a:defRPr lang="zh-CN" sz="1200" b="0" i="0" u="none" strike="noStrike" kern="1200" baseline="0">
                        <a:solidFill>
                          <a:schemeClr val="tx1"/>
                        </a:solidFill>
                        <a:latin typeface="+mn-lt"/>
                        <a:ea typeface="+mn-ea"/>
                        <a:cs typeface="+mn-cs"/>
                      </a:defRPr>
                    </a:pPr>
                    <a:r>
                      <a:rPr lang="zh-CN" altLang="en-US" sz="1200"/>
                      <a:t>结果纠正</a:t>
                    </a:r>
                    <a:r>
                      <a:rPr lang="en-US" altLang="en-US" sz="1200"/>
                      <a:t>4.30%</a:t>
                    </a:r>
                    <a:endParaRPr lang="en-US" altLang="en-US"/>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90050306211724"/>
                  <c:y val="-0.0546803003791193"/>
                </c:manualLayout>
              </c:layout>
              <c:tx>
                <c:rich>
                  <a:bodyPr rot="0" spcFirstLastPara="0" vertOverflow="ellipsis" vert="horz" wrap="square" lIns="38100" tIns="19050" rIns="38100" bIns="19050" anchor="ctr" anchorCtr="1"/>
                  <a:lstStyle/>
                  <a:p>
                    <a:pPr>
                      <a:defRPr lang="zh-CN" sz="1200" b="0" i="0" u="none" strike="noStrike" kern="1200" baseline="0">
                        <a:solidFill>
                          <a:schemeClr val="tx1"/>
                        </a:solidFill>
                        <a:latin typeface="+mn-lt"/>
                        <a:ea typeface="+mn-ea"/>
                        <a:cs typeface="+mn-cs"/>
                      </a:defRPr>
                    </a:pPr>
                    <a:r>
                      <a:rPr lang="zh-CN" altLang="en-US" sz="1200"/>
                      <a:t>其他结果</a:t>
                    </a:r>
                    <a:r>
                      <a:rPr lang="en-US" altLang="en-US" sz="1200"/>
                      <a:t>0%</a:t>
                    </a:r>
                    <a:endParaRPr lang="en-US" altLang="en-US"/>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198935586176728"/>
                  <c:y val="-0.0130136337124526"/>
                </c:manualLayout>
              </c:layout>
              <c:tx>
                <c:rich>
                  <a:bodyPr rot="0" spcFirstLastPara="0" vertOverflow="ellipsis" vert="horz" wrap="square" lIns="38100" tIns="19050" rIns="38100" bIns="19050" anchor="ctr" anchorCtr="1"/>
                  <a:lstStyle/>
                  <a:p>
                    <a:pPr>
                      <a:defRPr lang="zh-CN" sz="1200" b="0" i="0" u="none" strike="noStrike" kern="1200" baseline="0">
                        <a:solidFill>
                          <a:schemeClr val="tx1"/>
                        </a:solidFill>
                        <a:latin typeface="+mn-lt"/>
                        <a:ea typeface="+mn-ea"/>
                        <a:cs typeface="+mn-cs"/>
                      </a:defRPr>
                    </a:pPr>
                    <a:r>
                      <a:rPr lang="zh-CN" altLang="en-US" sz="1200"/>
                      <a:t>尚未审结</a:t>
                    </a:r>
                    <a:r>
                      <a:rPr lang="en-US" altLang="en-US" sz="1200"/>
                      <a:t>0%</a:t>
                    </a:r>
                    <a:endParaRPr lang="en-US" altLang="en-US"/>
                  </a:p>
                </c:rich>
              </c:tx>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200" b="0" i="0" u="none" strike="noStrike" kern="1200" baseline="0">
                    <a:solidFill>
                      <a:schemeClr val="tx1"/>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Sheet1!$F$40:$F$43</c:f>
              <c:strCache>
                <c:ptCount val="4"/>
                <c:pt idx="0">
                  <c:v>结果维持</c:v>
                </c:pt>
                <c:pt idx="1">
                  <c:v>结果纠正</c:v>
                </c:pt>
                <c:pt idx="2">
                  <c:v>其他结果</c:v>
                </c:pt>
                <c:pt idx="3">
                  <c:v>尚未审结</c:v>
                </c:pt>
              </c:strCache>
            </c:strRef>
          </c:cat>
          <c:val>
            <c:numRef>
              <c:f>Sheet1!$G$40:$G$43</c:f>
              <c:numCache>
                <c:formatCode>0.00%</c:formatCode>
                <c:ptCount val="4"/>
                <c:pt idx="0">
                  <c:v>0.957</c:v>
                </c:pt>
                <c:pt idx="1">
                  <c:v>0.043</c:v>
                </c:pt>
                <c:pt idx="2" c:formatCode="0%">
                  <c:v>0</c:v>
                </c:pt>
                <c:pt idx="3" c:formatCode="0%">
                  <c:v>0</c:v>
                </c:pt>
              </c:numCache>
            </c:numRef>
          </c:val>
        </c:ser>
        <c:dLbls>
          <c:showLegendKey val="0"/>
          <c:showVal val="0"/>
          <c:showCatName val="0"/>
          <c:showSerName val="0"/>
          <c:showPercent val="0"/>
          <c:showBubbleSize val="0"/>
        </c:dLbls>
      </c:pie3DChart>
    </c:plotArea>
    <c:legend>
      <c:legendPos val="r"/>
      <c:layout>
        <c:manualLayout>
          <c:xMode val="edge"/>
          <c:yMode val="edge"/>
          <c:x val="0.806053004436392"/>
          <c:y val="0.639912210182854"/>
          <c:w val="0.158548765475112"/>
          <c:h val="0.292777016338036"/>
        </c:manualLayout>
      </c:layout>
      <c:overlay val="0"/>
      <c:txPr>
        <a:bodyPr rot="0" spcFirstLastPara="0" vertOverflow="ellipsis" vert="horz" wrap="square" anchor="ctr" anchorCtr="1"/>
        <a:lstStyle/>
        <a:p>
          <a:pPr>
            <a:defRPr lang="zh-CN" sz="1200" b="0" i="0" u="none" strike="noStrike" kern="1200" baseline="0">
              <a:solidFill>
                <a:schemeClr val="tx1"/>
              </a:solidFill>
              <a:latin typeface="+mn-lt"/>
              <a:ea typeface="+mn-ea"/>
              <a:cs typeface="+mn-cs"/>
            </a:defRPr>
          </a:pPr>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gq</Company>
  <Pages>20</Pages>
  <Words>7552</Words>
  <Characters>7970</Characters>
  <Lines>64</Lines>
  <Paragraphs>18</Paragraphs>
  <TotalTime>1446</TotalTime>
  <ScaleCrop>false</ScaleCrop>
  <LinksUpToDate>false</LinksUpToDate>
  <CharactersWithSpaces>8147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2021-01-08T09:26:00Z</dcterms:created>
  <dc:creator>lb</dc:creator>
  <cp:lastModifiedBy>Administrator</cp:lastModifiedBy>
  <cp:lastPrinted>2021-02-10T06:56:00Z</cp:lastPrinted>
  <dcterms:modified xsi:type="dcterms:W3CDTF">2023-02-21T03:24:28Z</dcterms:modified>
  <cp:revision>220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1B69D21487824E7A918C3441F8E6B225</vt:lpwstr>
  </property>
</Properties>
</file>