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1ED2C">
      <w:pPr>
        <w:spacing w:line="560" w:lineRule="exact"/>
        <w:ind w:firstLine="0"/>
        <w:jc w:val="center"/>
        <w:rPr>
          <w:rFonts w:eastAsia="方正小标宋简体"/>
          <w:sz w:val="44"/>
          <w:szCs w:val="44"/>
        </w:rPr>
      </w:pPr>
      <w:r>
        <w:rPr>
          <w:rFonts w:eastAsia="方正小标宋简体"/>
          <w:sz w:val="44"/>
          <w:szCs w:val="44"/>
        </w:rPr>
        <w:t>高青县人民政府</w:t>
      </w:r>
    </w:p>
    <w:p w14:paraId="549317D1">
      <w:pPr>
        <w:spacing w:line="560" w:lineRule="exact"/>
        <w:ind w:firstLine="0"/>
        <w:jc w:val="center"/>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5</w:t>
      </w:r>
      <w:r>
        <w:rPr>
          <w:rFonts w:eastAsia="方正小标宋简体"/>
          <w:sz w:val="44"/>
          <w:szCs w:val="44"/>
        </w:rPr>
        <w:t>年政府信息公开工作年度报告</w:t>
      </w:r>
    </w:p>
    <w:p w14:paraId="6076A032">
      <w:pPr>
        <w:spacing w:line="560" w:lineRule="exact"/>
        <w:ind w:firstLine="0"/>
        <w:jc w:val="center"/>
        <w:rPr>
          <w:rFonts w:eastAsia="方正小标宋简体"/>
          <w:sz w:val="44"/>
          <w:szCs w:val="44"/>
        </w:rPr>
      </w:pPr>
    </w:p>
    <w:p w14:paraId="1F6A4444">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24765F60">
      <w:pPr>
        <w:spacing w:line="560" w:lineRule="exact"/>
        <w:ind w:firstLine="640" w:firstLineChars="200"/>
        <w:rPr>
          <w:rFonts w:eastAsia="仿宋_GB2312"/>
        </w:rPr>
      </w:pPr>
      <w:r>
        <w:rPr>
          <w:rFonts w:eastAsia="仿宋_GB2312"/>
        </w:rPr>
        <w:t>报告中所列数据统计期限自202</w:t>
      </w:r>
      <w:r>
        <w:rPr>
          <w:rFonts w:hint="eastAsia" w:eastAsia="仿宋_GB2312"/>
          <w:lang w:val="en-US" w:eastAsia="zh-CN"/>
        </w:rPr>
        <w:t>5</w:t>
      </w:r>
      <w:r>
        <w:rPr>
          <w:rFonts w:eastAsia="仿宋_GB2312"/>
        </w:rPr>
        <w:t>年1月1日始，至202</w:t>
      </w:r>
      <w:r>
        <w:rPr>
          <w:rFonts w:hint="eastAsia" w:eastAsia="仿宋_GB2312"/>
          <w:lang w:val="en-US" w:eastAsia="zh-CN"/>
        </w:rPr>
        <w:t>5</w:t>
      </w:r>
      <w:r>
        <w:rPr>
          <w:rFonts w:eastAsia="仿宋_GB2312"/>
        </w:rPr>
        <w:t>年12月31日止。报告电子版可在高青县人民政府门户网站（www.gaoqing.gov.cn）查阅和下载。如对报告内容有疑问，请与高青县人民政府办公室联系（地址：山东省淄博市高青县黄河路81号；邮编：256300；电话：0533-6967090；传真：0533-6967065；电子邮箱：gqxzfbgs@zb.shandong.cn）。</w:t>
      </w:r>
    </w:p>
    <w:p w14:paraId="34A10CB0">
      <w:pPr>
        <w:spacing w:line="560" w:lineRule="exact"/>
        <w:ind w:firstLine="640" w:firstLineChars="200"/>
        <w:rPr>
          <w:rFonts w:eastAsia="黑体"/>
          <w:szCs w:val="32"/>
        </w:rPr>
      </w:pPr>
      <w:r>
        <w:rPr>
          <w:rFonts w:eastAsia="黑体"/>
          <w:szCs w:val="32"/>
        </w:rPr>
        <w:t>一、总体情况</w:t>
      </w:r>
    </w:p>
    <w:p w14:paraId="1E16901C">
      <w:pPr>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年，高青县坚持以习近平新时代中国特色社会主义思想为指导，</w:t>
      </w:r>
      <w:r>
        <w:rPr>
          <w:rFonts w:hint="eastAsia" w:ascii="Times New Roman" w:hAnsi="Times New Roman" w:eastAsia="仿宋_GB2312" w:cs="Times New Roman"/>
        </w:rPr>
        <w:t>全面贯彻党的二十大和二十届二中、三中</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四中</w:t>
      </w:r>
      <w:r>
        <w:rPr>
          <w:rFonts w:hint="eastAsia" w:ascii="Times New Roman" w:hAnsi="Times New Roman" w:eastAsia="仿宋_GB2312" w:cs="Times New Roman"/>
        </w:rPr>
        <w:t>全会精神</w:t>
      </w:r>
      <w:r>
        <w:rPr>
          <w:rFonts w:ascii="Times New Roman" w:hAnsi="Times New Roman" w:eastAsia="仿宋_GB2312" w:cs="Times New Roman"/>
        </w:rPr>
        <w:t>，</w:t>
      </w:r>
      <w:r>
        <w:rPr>
          <w:rFonts w:hint="eastAsia" w:ascii="Times New Roman" w:hAnsi="Times New Roman" w:eastAsia="仿宋_GB2312" w:cs="Times New Roman"/>
        </w:rPr>
        <w:t>不断畅通公开渠道、扩展公开领域、创新公开形式，把以人民为中心的思想打造成深化政务公开的生动实践，推动全县政务公开向纵深推进。</w:t>
      </w:r>
    </w:p>
    <w:p w14:paraId="165AF505">
      <w:pPr>
        <w:spacing w:line="560" w:lineRule="exact"/>
        <w:ind w:firstLine="640" w:firstLineChars="200"/>
        <w:rPr>
          <w:rFonts w:ascii="楷体_GB2312" w:eastAsia="楷体_GB2312"/>
          <w:szCs w:val="32"/>
        </w:rPr>
      </w:pPr>
      <w:r>
        <w:rPr>
          <w:rFonts w:hint="eastAsia" w:ascii="楷体_GB2312" w:eastAsia="楷体_GB2312"/>
          <w:szCs w:val="32"/>
        </w:rPr>
        <w:t>（一）主动公开</w:t>
      </w:r>
    </w:p>
    <w:p w14:paraId="1A4165A7">
      <w:pPr>
        <w:pStyle w:val="2"/>
        <w:rPr>
          <w:rFonts w:hint="default" w:ascii="Times New Roman" w:hAnsi="Times New Roman" w:eastAsia="仿宋_GB2312" w:cs="Times New Roman"/>
          <w:b w:val="0"/>
          <w:bCs w:val="0"/>
          <w:snapToGrid w:val="0"/>
          <w:kern w:val="0"/>
          <w:sz w:val="32"/>
          <w:szCs w:val="20"/>
          <w:lang w:val="en-US" w:eastAsia="zh-CN" w:bidi="ar-SA"/>
        </w:rPr>
      </w:pPr>
      <w:r>
        <w:rPr>
          <w:rFonts w:hint="eastAsia" w:ascii="Times New Roman" w:hAnsi="Times New Roman" w:eastAsia="仿宋_GB2312" w:cs="Times New Roman"/>
          <w:b w:val="0"/>
          <w:bCs w:val="0"/>
          <w:snapToGrid w:val="0"/>
          <w:kern w:val="0"/>
          <w:sz w:val="32"/>
          <w:szCs w:val="20"/>
          <w:lang w:val="en-US" w:eastAsia="zh-CN" w:bidi="ar-SA"/>
        </w:rPr>
        <w:t>持续深化政府信息公开力度，拓宽政府信息公开广度，全领域推进政务公开。全年公开信息9584条信息，持续推进重大建设项目、行政执法、养老服务、公共企事业单位等领域信息公开。创新政策解读呈现形式，综合运用图片图表、卡通动漫H5、音频视频等群众易于接受的形式开展解读，今年制发各类政策解读45件。多形式开展政民互动，组织开展政府开放活动20余次，重大行政决策事项均在决策前向社会公布决策草案、决策依据，广泛征求公众意见；回应群众留言169条；5</w:t>
      </w:r>
      <w:bookmarkStart w:id="2" w:name="_GoBack"/>
      <w:bookmarkEnd w:id="2"/>
      <w:r>
        <w:rPr>
          <w:rFonts w:hint="eastAsia" w:ascii="Times New Roman" w:hAnsi="Times New Roman" w:eastAsia="仿宋_GB2312" w:cs="Times New Roman"/>
          <w:b w:val="0"/>
          <w:bCs w:val="0"/>
          <w:snapToGrid w:val="0"/>
          <w:kern w:val="0"/>
          <w:sz w:val="32"/>
          <w:szCs w:val="20"/>
          <w:lang w:val="en-US" w:eastAsia="zh-CN" w:bidi="ar-SA"/>
        </w:rPr>
        <w:t>次政府常务会议邀请利益相关方列席。</w:t>
      </w:r>
    </w:p>
    <w:p w14:paraId="064953B4">
      <w:pPr>
        <w:spacing w:line="240" w:lineRule="auto"/>
        <w:ind w:firstLine="0"/>
        <w:jc w:val="center"/>
        <w:rPr>
          <w:rFonts w:hint="eastAsia" w:eastAsia="仿宋_GB2312"/>
          <w:szCs w:val="32"/>
          <w:lang w:eastAsia="zh-CN"/>
        </w:rPr>
      </w:pPr>
      <w:r>
        <w:rPr>
          <w:rFonts w:hint="eastAsia" w:eastAsia="仿宋_GB2312"/>
          <w:szCs w:val="32"/>
          <w:lang w:eastAsia="zh-CN"/>
        </w:rPr>
        <w:drawing>
          <wp:inline distT="0" distB="0" distL="114300" distR="114300">
            <wp:extent cx="5610225" cy="2998470"/>
            <wp:effectExtent l="0" t="0" r="9525" b="11430"/>
            <wp:docPr id="3" name="图片 3" descr="cb636f62e58f1deb749dbeb242151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636f62e58f1deb749dbeb242151ed9"/>
                    <pic:cNvPicPr>
                      <a:picLocks noChangeAspect="1"/>
                    </pic:cNvPicPr>
                  </pic:nvPicPr>
                  <pic:blipFill>
                    <a:blip r:embed="rId7"/>
                    <a:stretch>
                      <a:fillRect/>
                    </a:stretch>
                  </pic:blipFill>
                  <pic:spPr>
                    <a:xfrm>
                      <a:off x="0" y="0"/>
                      <a:ext cx="5610225" cy="2998470"/>
                    </a:xfrm>
                    <a:prstGeom prst="rect">
                      <a:avLst/>
                    </a:prstGeom>
                  </pic:spPr>
                </pic:pic>
              </a:graphicData>
            </a:graphic>
          </wp:inline>
        </w:drawing>
      </w:r>
    </w:p>
    <w:p w14:paraId="31F96FCB">
      <w:pPr>
        <w:spacing w:line="240" w:lineRule="auto"/>
        <w:ind w:firstLine="0"/>
        <w:rPr>
          <w:rFonts w:eastAsia="仿宋_GB2312"/>
          <w:szCs w:val="32"/>
        </w:rPr>
      </w:pPr>
    </w:p>
    <w:p w14:paraId="73C9D746">
      <w:pPr>
        <w:spacing w:line="560" w:lineRule="exact"/>
        <w:ind w:firstLine="640" w:firstLineChars="200"/>
        <w:rPr>
          <w:rFonts w:ascii="楷体_GB2312" w:eastAsia="楷体_GB2312"/>
          <w:szCs w:val="32"/>
        </w:rPr>
      </w:pPr>
      <w:r>
        <w:rPr>
          <w:rFonts w:ascii="楷体_GB2312" w:eastAsia="楷体_GB2312"/>
          <w:szCs w:val="32"/>
        </w:rPr>
        <w:t>（二）</w:t>
      </w:r>
      <w:r>
        <w:rPr>
          <w:rFonts w:hint="eastAsia" w:ascii="楷体_GB2312" w:eastAsia="楷体_GB2312"/>
          <w:szCs w:val="32"/>
        </w:rPr>
        <w:t>规范</w:t>
      </w:r>
      <w:r>
        <w:rPr>
          <w:rFonts w:ascii="楷体_GB2312" w:eastAsia="楷体_GB2312"/>
          <w:szCs w:val="32"/>
        </w:rPr>
        <w:t>依申请公开</w:t>
      </w:r>
      <w:r>
        <w:rPr>
          <w:rFonts w:hint="eastAsia" w:ascii="楷体_GB2312" w:eastAsia="楷体_GB2312"/>
          <w:szCs w:val="32"/>
        </w:rPr>
        <w:t>办理</w:t>
      </w:r>
    </w:p>
    <w:p w14:paraId="2994651E">
      <w:pPr>
        <w:spacing w:line="560" w:lineRule="exact"/>
        <w:ind w:firstLine="640" w:firstLineChars="200"/>
        <w:rPr>
          <w:rFonts w:hint="eastAsia" w:ascii="Times New Roman" w:hAnsi="Times New Roman" w:eastAsia="仿宋_GB2312" w:cs="Times New Roman"/>
          <w:b w:val="0"/>
          <w:bCs w:val="0"/>
          <w:snapToGrid w:val="0"/>
          <w:kern w:val="0"/>
          <w:sz w:val="32"/>
          <w:szCs w:val="32"/>
          <w:lang w:val="en-US" w:eastAsia="zh-CN" w:bidi="ar-SA"/>
        </w:rPr>
      </w:pPr>
      <w:r>
        <w:rPr>
          <w:rFonts w:hint="eastAsia" w:ascii="Times New Roman" w:hAnsi="Times New Roman" w:eastAsia="仿宋_GB2312" w:cs="Times New Roman"/>
          <w:b w:val="0"/>
          <w:bCs w:val="0"/>
          <w:snapToGrid w:val="0"/>
          <w:kern w:val="0"/>
          <w:sz w:val="32"/>
          <w:szCs w:val="32"/>
          <w:lang w:val="en-US" w:eastAsia="zh-CN" w:bidi="ar-SA"/>
        </w:rPr>
        <w:t>实行依申请公开办理会商机制，加强城市规划、征地拆迁、安置补偿等领域疑难件联合会商办理，在充分保障群众利益的基础上出具答复意见。2025年全县共收到政府信息公开申请145件，同比增加101.4%，申请内容主要集中在土地征收、市场监督管理等领域。作出政府信息公开申请答复146件（含上年结转4件），其中予以公开37件、部分公开34件、不予公开5件、无法提供67件；结转下年度继续办理3件。因政府信息公开被提起行政复议6件，结果维持3件，结果纠正2件，尚未审结1件；因政府信息公开被提起行政诉讼2件</w:t>
      </w:r>
      <w:r>
        <w:rPr>
          <w:rFonts w:hint="eastAsia" w:eastAsia="仿宋_GB2312" w:cs="Times New Roman"/>
          <w:b w:val="0"/>
          <w:bCs w:val="0"/>
          <w:snapToGrid w:val="0"/>
          <w:kern w:val="0"/>
          <w:sz w:val="32"/>
          <w:szCs w:val="32"/>
          <w:lang w:val="en-US" w:eastAsia="zh-CN" w:bidi="ar-SA"/>
        </w:rPr>
        <w:t>，</w:t>
      </w:r>
      <w:r>
        <w:rPr>
          <w:rFonts w:hint="eastAsia" w:ascii="Times New Roman" w:hAnsi="Times New Roman" w:eastAsia="仿宋_GB2312" w:cs="Times New Roman"/>
          <w:b w:val="0"/>
          <w:bCs w:val="0"/>
          <w:snapToGrid w:val="0"/>
          <w:kern w:val="0"/>
          <w:sz w:val="32"/>
          <w:szCs w:val="32"/>
          <w:lang w:val="en-US" w:eastAsia="zh-CN" w:bidi="ar-SA"/>
        </w:rPr>
        <w:t>结果维持1件，结果纠正1件。</w:t>
      </w:r>
    </w:p>
    <w:p w14:paraId="4D882665">
      <w:pPr>
        <w:spacing w:line="240" w:lineRule="auto"/>
        <w:ind w:firstLine="0"/>
        <w:jc w:val="center"/>
        <w:rPr>
          <w:rFonts w:hint="eastAsia" w:eastAsia="仿宋_GB2312"/>
          <w:szCs w:val="32"/>
          <w:lang w:eastAsia="zh-CN"/>
        </w:rPr>
      </w:pPr>
      <w:r>
        <w:rPr>
          <w:rFonts w:hint="eastAsia" w:eastAsia="仿宋_GB2312"/>
          <w:szCs w:val="32"/>
          <w:lang w:eastAsia="zh-CN"/>
        </w:rPr>
        <w:drawing>
          <wp:inline distT="0" distB="0" distL="114300" distR="114300">
            <wp:extent cx="5612765" cy="3174365"/>
            <wp:effectExtent l="0" t="0" r="6985" b="6985"/>
            <wp:docPr id="2" name="图片 2" descr="9199de7a102df0a7ca6abeff04f2b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99de7a102df0a7ca6abeff04f2bcba"/>
                    <pic:cNvPicPr>
                      <a:picLocks noChangeAspect="1"/>
                    </pic:cNvPicPr>
                  </pic:nvPicPr>
                  <pic:blipFill>
                    <a:blip r:embed="rId8"/>
                    <a:stretch>
                      <a:fillRect/>
                    </a:stretch>
                  </pic:blipFill>
                  <pic:spPr>
                    <a:xfrm>
                      <a:off x="0" y="0"/>
                      <a:ext cx="5612765" cy="3174365"/>
                    </a:xfrm>
                    <a:prstGeom prst="rect">
                      <a:avLst/>
                    </a:prstGeom>
                  </pic:spPr>
                </pic:pic>
              </a:graphicData>
            </a:graphic>
          </wp:inline>
        </w:drawing>
      </w:r>
    </w:p>
    <w:p w14:paraId="0251612B">
      <w:pPr>
        <w:spacing w:line="560" w:lineRule="exact"/>
        <w:ind w:firstLine="640" w:firstLineChars="200"/>
        <w:rPr>
          <w:rFonts w:ascii="楷体_GB2312" w:eastAsia="楷体_GB2312"/>
          <w:szCs w:val="32"/>
        </w:rPr>
      </w:pPr>
      <w:r>
        <w:rPr>
          <w:rFonts w:ascii="楷体_GB2312" w:eastAsia="楷体_GB2312"/>
          <w:szCs w:val="32"/>
        </w:rPr>
        <w:t>（三）政府信息管理</w:t>
      </w:r>
    </w:p>
    <w:p w14:paraId="6D3067C0">
      <w:pPr>
        <w:spacing w:line="560" w:lineRule="exact"/>
        <w:ind w:firstLine="640" w:firstLineChars="200"/>
        <w:rPr>
          <w:rFonts w:ascii="楷体_GB2312" w:eastAsia="楷体_GB2312"/>
          <w:szCs w:val="32"/>
        </w:rPr>
      </w:pPr>
      <w:r>
        <w:rPr>
          <w:rFonts w:hint="eastAsia" w:eastAsia="仿宋_GB2312"/>
          <w:szCs w:val="32"/>
          <w:lang w:val="en-US" w:eastAsia="zh-CN"/>
        </w:rPr>
        <w:t>动态调整主动公开事项目录</w:t>
      </w:r>
      <w:r>
        <w:rPr>
          <w:rFonts w:eastAsia="仿宋_GB2312"/>
          <w:szCs w:val="32"/>
        </w:rPr>
        <w:t>，</w:t>
      </w:r>
      <w:r>
        <w:rPr>
          <w:rFonts w:hint="eastAsia" w:eastAsia="仿宋_GB2312"/>
          <w:szCs w:val="32"/>
          <w:lang w:val="en-US" w:eastAsia="zh-CN"/>
        </w:rPr>
        <w:t>明确</w:t>
      </w:r>
      <w:r>
        <w:rPr>
          <w:rFonts w:eastAsia="仿宋_GB2312"/>
          <w:szCs w:val="32"/>
        </w:rPr>
        <w:t>法定公开内容</w:t>
      </w:r>
      <w:r>
        <w:rPr>
          <w:rFonts w:hint="eastAsia" w:eastAsia="仿宋_GB2312"/>
          <w:szCs w:val="32"/>
          <w:lang w:val="en-US" w:eastAsia="zh-CN"/>
        </w:rPr>
        <w:t>更新时限</w:t>
      </w:r>
      <w:r>
        <w:rPr>
          <w:rFonts w:eastAsia="仿宋_GB2312"/>
          <w:szCs w:val="32"/>
        </w:rPr>
        <w:t>。</w:t>
      </w:r>
      <w:r>
        <w:rPr>
          <w:rFonts w:hint="eastAsia" w:eastAsia="仿宋_GB2312"/>
          <w:szCs w:val="32"/>
          <w:lang w:val="en-US" w:eastAsia="zh-CN"/>
        </w:rPr>
        <w:t>新制发行政规范性文件4件，现行有效9件。坚持“先审查、后公</w:t>
      </w:r>
      <w:r>
        <w:rPr>
          <w:rFonts w:hint="eastAsia" w:ascii="Times New Roman" w:hAnsi="Times New Roman" w:eastAsia="仿宋_GB2312" w:cs="Times New Roman"/>
          <w:b w:val="0"/>
          <w:bCs w:val="0"/>
          <w:snapToGrid w:val="0"/>
          <w:kern w:val="0"/>
          <w:sz w:val="32"/>
          <w:szCs w:val="32"/>
          <w:lang w:val="en-US" w:eastAsia="zh-CN" w:bidi="ar-SA"/>
        </w:rPr>
        <w:t>开”原则，完善信息发布保密审查制度，明确涉密信息界定标准与审查流程，全年未发生涉密信息违规上网事件。加强信息动态管理，建立失效内容定期清理机制，按季度开展专项排查，及时清理失效文件、过期政策。强化网络安全防护，对公开信息开展内容监测，及时修复错敏词、错链死链等问题，全年整改风险隐患100余处，确保公开信息准确、安全、可用。</w:t>
      </w:r>
    </w:p>
    <w:p w14:paraId="3F673F46">
      <w:pPr>
        <w:spacing w:line="560" w:lineRule="exact"/>
        <w:ind w:firstLine="640" w:firstLineChars="200"/>
        <w:rPr>
          <w:rFonts w:ascii="楷体_GB2312" w:eastAsia="楷体_GB2312"/>
          <w:szCs w:val="32"/>
        </w:rPr>
      </w:pPr>
      <w:r>
        <w:rPr>
          <w:rFonts w:ascii="楷体_GB2312" w:eastAsia="楷体_GB2312"/>
          <w:szCs w:val="32"/>
        </w:rPr>
        <w:t>（四）政府信息公开平台建设</w:t>
      </w:r>
    </w:p>
    <w:p w14:paraId="0B29917B">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坚持“为民服务”，强化公开平台阵地建设</w:t>
      </w:r>
      <w:r>
        <w:rPr>
          <w:rFonts w:hint="eastAsia" w:ascii="Times New Roman" w:hAnsi="Times New Roman" w:eastAsia="仿宋_GB2312" w:cs="Times New Roman"/>
          <w:lang w:eastAsia="zh-CN"/>
        </w:rPr>
        <w:t>。</w:t>
      </w:r>
      <w:r>
        <w:rPr>
          <w:rFonts w:hint="eastAsia" w:ascii="Times New Roman" w:hAnsi="Times New Roman" w:eastAsia="仿宋_GB2312" w:cs="Times New Roman"/>
        </w:rPr>
        <w:t>优化政府网站政务公开平台栏目设置，按照“规范公开、方便群众”的原则，对群众关心关注的政策解读、重大行政决策、建议提案办理、行政执法公示等信息</w:t>
      </w:r>
      <w:r>
        <w:rPr>
          <w:rFonts w:hint="eastAsia" w:ascii="Times New Roman" w:hAnsi="Times New Roman" w:eastAsia="仿宋_GB2312" w:cs="Times New Roman"/>
          <w:lang w:val="en-US" w:eastAsia="zh-CN"/>
        </w:rPr>
        <w:t>进行集中</w:t>
      </w:r>
      <w:r>
        <w:rPr>
          <w:rFonts w:hint="eastAsia" w:ascii="Times New Roman" w:hAnsi="Times New Roman" w:eastAsia="仿宋_GB2312" w:cs="Times New Roman"/>
        </w:rPr>
        <w:t>展示，方便群众查找信息。</w:t>
      </w:r>
      <w:r>
        <w:rPr>
          <w:rFonts w:hint="default" w:ascii="Times New Roman" w:hAnsi="Times New Roman" w:eastAsia="仿宋_GB2312" w:cs="Times New Roman"/>
        </w:rPr>
        <w:t>加强政务新媒体账号监督管理工作</w:t>
      </w:r>
      <w:r>
        <w:rPr>
          <w:rFonts w:hint="eastAsia" w:ascii="Times New Roman" w:hAnsi="Times New Roman" w:eastAsia="仿宋_GB2312" w:cs="Times New Roman"/>
          <w:lang w:val="en-US" w:eastAsia="zh-CN"/>
        </w:rPr>
        <w:t>，全县政务新媒体账号较去年精简60%。在政务服务中心大厅建立政务公开便民服务专区，专区内设置自</w:t>
      </w:r>
      <w:r>
        <w:rPr>
          <w:rFonts w:hint="eastAsia" w:ascii="Times New Roman" w:hAnsi="Times New Roman" w:eastAsia="仿宋_GB2312" w:cs="Times New Roman"/>
        </w:rPr>
        <w:t>助查询机、电脑、打印机等设备，方便办事群众查阅下载。</w:t>
      </w:r>
    </w:p>
    <w:p w14:paraId="560E7E2E">
      <w:pPr>
        <w:spacing w:line="560" w:lineRule="exact"/>
        <w:ind w:firstLine="640" w:firstLineChars="200"/>
        <w:rPr>
          <w:rFonts w:ascii="楷体_GB2312" w:eastAsia="楷体_GB2312"/>
          <w:szCs w:val="32"/>
        </w:rPr>
      </w:pPr>
      <w:r>
        <w:rPr>
          <w:rFonts w:ascii="楷体_GB2312" w:eastAsia="楷体_GB2312"/>
          <w:szCs w:val="32"/>
        </w:rPr>
        <w:t>（五）监督保障</w:t>
      </w:r>
    </w:p>
    <w:p w14:paraId="3805521B">
      <w:pPr>
        <w:spacing w:line="560" w:lineRule="exact"/>
        <w:ind w:firstLine="640" w:firstLineChars="200"/>
        <w:rPr>
          <w:rFonts w:hint="eastAsia" w:ascii="仿宋_GB2312" w:eastAsia="仿宋_GB2312"/>
          <w:sz w:val="32"/>
          <w:szCs w:val="32"/>
        </w:rPr>
      </w:pPr>
      <w:r>
        <w:rPr>
          <w:rFonts w:hint="eastAsia" w:ascii="Times New Roman" w:hAnsi="Times New Roman" w:eastAsia="仿宋_GB2312" w:cs="Times New Roman"/>
          <w:lang w:val="en-US" w:eastAsia="zh-CN"/>
        </w:rPr>
        <w:t>根据工作要求部署，</w:t>
      </w:r>
      <w:r>
        <w:rPr>
          <w:rFonts w:ascii="Times New Roman" w:hAnsi="Times New Roman" w:eastAsia="仿宋_GB2312" w:cs="Times New Roman"/>
        </w:rPr>
        <w:t>出台《202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年高青县政务公开工作方案》。</w:t>
      </w:r>
      <w:r>
        <w:rPr>
          <w:rFonts w:hint="eastAsia" w:ascii="Times New Roman" w:hAnsi="Times New Roman" w:eastAsia="仿宋_GB2312" w:cs="Times New Roman"/>
          <w:lang w:val="en-US" w:eastAsia="zh-CN"/>
        </w:rPr>
        <w:t>聚焦“常态化、规范化”强化政务公开监督保障，全年制发工作提醒4期，覆盖县级政务公开重点领域信息。</w:t>
      </w:r>
      <w:r>
        <w:rPr>
          <w:rFonts w:hint="eastAsia" w:ascii="Times New Roman" w:hAnsi="Times New Roman" w:eastAsia="仿宋_GB2312" w:cs="Times New Roman"/>
        </w:rPr>
        <w:t>采取“分层分类+实战演练”模式开展监督能力提升培训，组织“政策解读”“依申请公开实务操作”等专题培训4场次，覆盖</w:t>
      </w:r>
      <w:r>
        <w:rPr>
          <w:rFonts w:hint="eastAsia" w:ascii="Times New Roman" w:hAnsi="Times New Roman" w:eastAsia="仿宋_GB2312" w:cs="Times New Roman"/>
          <w:lang w:val="en-US" w:eastAsia="zh-CN"/>
        </w:rPr>
        <w:t>全县</w:t>
      </w:r>
      <w:r>
        <w:rPr>
          <w:rFonts w:hint="eastAsia" w:ascii="Times New Roman" w:hAnsi="Times New Roman" w:eastAsia="仿宋_GB2312" w:cs="Times New Roman"/>
        </w:rPr>
        <w:t>政务公开工作人员200余人次</w:t>
      </w:r>
      <w:r>
        <w:rPr>
          <w:rFonts w:hint="eastAsia" w:ascii="Times New Roman" w:hAnsi="Times New Roman" w:eastAsia="仿宋_GB2312" w:cs="Times New Roman"/>
          <w:lang w:eastAsia="zh-CN"/>
        </w:rPr>
        <w:t>。</w:t>
      </w:r>
      <w:r>
        <w:rPr>
          <w:rFonts w:ascii="Times New Roman" w:hAnsi="Times New Roman" w:eastAsia="仿宋_GB2312" w:cs="Times New Roman"/>
        </w:rPr>
        <w:t>持续做好政务公开网上社会评议。</w:t>
      </w:r>
      <w:r>
        <w:rPr>
          <w:rFonts w:hint="eastAsia" w:ascii="Times New Roman" w:hAnsi="Times New Roman" w:eastAsia="仿宋_GB2312" w:cs="Times New Roman"/>
          <w:lang w:val="en-US" w:eastAsia="zh-CN"/>
        </w:rPr>
        <w:t>2025年未出现</w:t>
      </w:r>
      <w:r>
        <w:rPr>
          <w:rFonts w:ascii="Times New Roman" w:hAnsi="Times New Roman" w:eastAsia="仿宋_GB2312" w:cs="Times New Roman"/>
        </w:rPr>
        <w:t>因政府信息公开出现责任追究情况。</w:t>
      </w:r>
    </w:p>
    <w:p w14:paraId="3E0C6E7E">
      <w:pPr>
        <w:pStyle w:val="2"/>
      </w:pPr>
    </w:p>
    <w:p w14:paraId="73DF1682"/>
    <w:p w14:paraId="01643049">
      <w:pPr>
        <w:pStyle w:val="2"/>
      </w:pPr>
    </w:p>
    <w:p w14:paraId="0B44C9E7">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478F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078A7F3">
            <w:pPr>
              <w:spacing w:line="240" w:lineRule="auto"/>
              <w:ind w:firstLine="0"/>
              <w:jc w:val="center"/>
              <w:rPr>
                <w:rFonts w:eastAsia="黑体"/>
                <w:sz w:val="20"/>
              </w:rPr>
            </w:pPr>
            <w:r>
              <w:rPr>
                <w:rFonts w:eastAsia="宋体"/>
                <w:snapToGrid/>
                <w:color w:val="000000"/>
                <w:sz w:val="20"/>
              </w:rPr>
              <w:t>第二十条第（一）项</w:t>
            </w:r>
          </w:p>
        </w:tc>
      </w:tr>
      <w:tr w14:paraId="6426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C0A599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05D4DCB3">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65F532C2">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7E83B22F">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6C21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87CCDD1">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2BAD4173">
            <w:pPr>
              <w:spacing w:line="240" w:lineRule="auto"/>
              <w:ind w:firstLine="0"/>
              <w:jc w:val="center"/>
              <w:rPr>
                <w:rFonts w:eastAsia="黑体"/>
                <w:sz w:val="20"/>
              </w:rPr>
            </w:pPr>
            <w:r>
              <w:rPr>
                <w:rFonts w:eastAsia="黑体"/>
                <w:sz w:val="20"/>
              </w:rPr>
              <w:t>0</w:t>
            </w:r>
          </w:p>
        </w:tc>
        <w:tc>
          <w:tcPr>
            <w:tcW w:w="2131" w:type="dxa"/>
            <w:vAlign w:val="center"/>
          </w:tcPr>
          <w:p w14:paraId="3E7F5C12">
            <w:pPr>
              <w:spacing w:line="240" w:lineRule="auto"/>
              <w:ind w:firstLine="0"/>
              <w:jc w:val="center"/>
              <w:rPr>
                <w:rFonts w:eastAsia="黑体"/>
                <w:sz w:val="20"/>
              </w:rPr>
            </w:pPr>
            <w:r>
              <w:rPr>
                <w:rFonts w:eastAsia="黑体"/>
                <w:sz w:val="20"/>
              </w:rPr>
              <w:t>0</w:t>
            </w:r>
          </w:p>
        </w:tc>
        <w:tc>
          <w:tcPr>
            <w:tcW w:w="2131" w:type="dxa"/>
            <w:vAlign w:val="center"/>
          </w:tcPr>
          <w:p w14:paraId="5C8DC645">
            <w:pPr>
              <w:spacing w:line="240" w:lineRule="auto"/>
              <w:ind w:firstLine="0"/>
              <w:jc w:val="center"/>
              <w:rPr>
                <w:rFonts w:eastAsia="黑体"/>
                <w:sz w:val="20"/>
              </w:rPr>
            </w:pPr>
            <w:r>
              <w:rPr>
                <w:rFonts w:eastAsia="黑体"/>
                <w:sz w:val="20"/>
              </w:rPr>
              <w:t>0</w:t>
            </w:r>
          </w:p>
        </w:tc>
      </w:tr>
      <w:tr w14:paraId="5EDB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70225DB">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03BC6E4C">
            <w:pPr>
              <w:spacing w:line="240" w:lineRule="auto"/>
              <w:ind w:firstLine="0"/>
              <w:jc w:val="center"/>
              <w:rPr>
                <w:rFonts w:hint="eastAsia" w:eastAsia="黑体"/>
                <w:sz w:val="20"/>
                <w:lang w:eastAsia="zh-CN"/>
              </w:rPr>
            </w:pPr>
            <w:r>
              <w:rPr>
                <w:rFonts w:hint="eastAsia" w:eastAsia="黑体"/>
                <w:sz w:val="20"/>
                <w:lang w:val="en-US" w:eastAsia="zh-CN"/>
              </w:rPr>
              <w:t>4</w:t>
            </w:r>
          </w:p>
        </w:tc>
        <w:tc>
          <w:tcPr>
            <w:tcW w:w="2131" w:type="dxa"/>
            <w:vAlign w:val="center"/>
          </w:tcPr>
          <w:p w14:paraId="3E85E37A">
            <w:pPr>
              <w:spacing w:line="240" w:lineRule="auto"/>
              <w:ind w:firstLine="0"/>
              <w:jc w:val="center"/>
              <w:rPr>
                <w:rFonts w:hint="eastAsia" w:eastAsia="黑体"/>
                <w:sz w:val="20"/>
                <w:lang w:eastAsia="zh-CN"/>
              </w:rPr>
            </w:pPr>
            <w:r>
              <w:rPr>
                <w:rFonts w:hint="eastAsia" w:eastAsia="黑体"/>
                <w:sz w:val="20"/>
                <w:lang w:val="en-US" w:eastAsia="zh-CN"/>
              </w:rPr>
              <w:t>0</w:t>
            </w:r>
          </w:p>
        </w:tc>
        <w:tc>
          <w:tcPr>
            <w:tcW w:w="2131" w:type="dxa"/>
            <w:vAlign w:val="center"/>
          </w:tcPr>
          <w:p w14:paraId="2007F925">
            <w:pPr>
              <w:spacing w:line="240" w:lineRule="auto"/>
              <w:ind w:firstLine="0"/>
              <w:jc w:val="center"/>
              <w:rPr>
                <w:rFonts w:hint="eastAsia" w:eastAsia="黑体"/>
                <w:sz w:val="20"/>
                <w:lang w:eastAsia="zh-CN"/>
              </w:rPr>
            </w:pPr>
            <w:r>
              <w:rPr>
                <w:rFonts w:hint="eastAsia" w:eastAsia="黑体"/>
                <w:sz w:val="20"/>
                <w:lang w:val="en-US" w:eastAsia="zh-CN"/>
              </w:rPr>
              <w:t>9</w:t>
            </w:r>
          </w:p>
        </w:tc>
      </w:tr>
      <w:tr w14:paraId="660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F9AE749">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19CA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83A469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2579E278">
            <w:pPr>
              <w:spacing w:line="240" w:lineRule="auto"/>
              <w:ind w:firstLine="0"/>
              <w:jc w:val="center"/>
              <w:rPr>
                <w:rFonts w:eastAsia="黑体"/>
                <w:sz w:val="20"/>
              </w:rPr>
            </w:pPr>
            <w:r>
              <w:rPr>
                <w:rFonts w:eastAsia="宋体"/>
                <w:snapToGrid/>
                <w:color w:val="000000"/>
                <w:sz w:val="20"/>
              </w:rPr>
              <w:t>本年处理决定数量</w:t>
            </w:r>
          </w:p>
        </w:tc>
      </w:tr>
      <w:tr w14:paraId="0C46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3D1806A">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06670BD4">
            <w:pPr>
              <w:spacing w:line="240" w:lineRule="auto"/>
              <w:ind w:firstLine="0"/>
              <w:jc w:val="center"/>
              <w:rPr>
                <w:rFonts w:hint="default" w:eastAsia="黑体"/>
                <w:sz w:val="20"/>
                <w:lang w:val="en-US" w:eastAsia="zh-CN"/>
              </w:rPr>
            </w:pPr>
            <w:r>
              <w:rPr>
                <w:rFonts w:hint="eastAsia" w:eastAsia="黑体"/>
                <w:sz w:val="20"/>
                <w:lang w:val="en-US" w:eastAsia="zh-CN"/>
              </w:rPr>
              <w:t>46854</w:t>
            </w:r>
          </w:p>
        </w:tc>
      </w:tr>
      <w:tr w14:paraId="447C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75664BC">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5D9B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E8B410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39688D57">
            <w:pPr>
              <w:spacing w:line="240" w:lineRule="auto"/>
              <w:ind w:firstLine="0"/>
              <w:jc w:val="center"/>
              <w:rPr>
                <w:rFonts w:eastAsia="黑体"/>
                <w:sz w:val="20"/>
              </w:rPr>
            </w:pPr>
            <w:r>
              <w:rPr>
                <w:rFonts w:eastAsia="宋体"/>
                <w:snapToGrid/>
                <w:color w:val="000000"/>
                <w:sz w:val="20"/>
              </w:rPr>
              <w:t>本年处理决定数量</w:t>
            </w:r>
          </w:p>
        </w:tc>
      </w:tr>
      <w:tr w14:paraId="5BA3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1E4CCD7">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159601CA">
            <w:pPr>
              <w:spacing w:line="240" w:lineRule="auto"/>
              <w:ind w:firstLine="0"/>
              <w:jc w:val="center"/>
              <w:rPr>
                <w:rFonts w:hint="default" w:eastAsia="黑体"/>
                <w:sz w:val="20"/>
                <w:lang w:val="en-US" w:eastAsia="zh-CN"/>
              </w:rPr>
            </w:pPr>
            <w:r>
              <w:rPr>
                <w:rFonts w:hint="eastAsia" w:eastAsia="黑体"/>
                <w:sz w:val="20"/>
                <w:lang w:val="en-US" w:eastAsia="zh-CN"/>
              </w:rPr>
              <w:t>1731</w:t>
            </w:r>
          </w:p>
        </w:tc>
      </w:tr>
      <w:tr w14:paraId="7FF6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13E0F5C">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53022DC0">
            <w:pPr>
              <w:widowControl/>
              <w:autoSpaceDE/>
              <w:autoSpaceDN/>
              <w:snapToGrid/>
              <w:spacing w:line="240" w:lineRule="auto"/>
              <w:ind w:firstLine="0"/>
              <w:jc w:val="center"/>
              <w:rPr>
                <w:rFonts w:hint="default" w:eastAsia="宋体"/>
                <w:snapToGrid/>
                <w:color w:val="000000"/>
                <w:sz w:val="20"/>
                <w:lang w:val="en-US" w:eastAsia="zh-CN"/>
              </w:rPr>
            </w:pPr>
            <w:r>
              <w:rPr>
                <w:rFonts w:hint="eastAsia" w:eastAsia="宋体"/>
                <w:snapToGrid/>
                <w:color w:val="000000"/>
                <w:sz w:val="20"/>
                <w:lang w:val="en-US" w:eastAsia="zh-CN"/>
              </w:rPr>
              <w:t>556</w:t>
            </w:r>
          </w:p>
        </w:tc>
      </w:tr>
      <w:tr w14:paraId="63FC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215D6A7">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03C7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7CDF33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1C9B70D9">
            <w:pPr>
              <w:spacing w:line="240" w:lineRule="auto"/>
              <w:ind w:firstLine="0"/>
              <w:jc w:val="center"/>
              <w:rPr>
                <w:rFonts w:eastAsia="黑体"/>
                <w:sz w:val="20"/>
              </w:rPr>
            </w:pPr>
            <w:r>
              <w:rPr>
                <w:rFonts w:eastAsia="宋体"/>
                <w:snapToGrid/>
                <w:color w:val="000000"/>
                <w:sz w:val="20"/>
              </w:rPr>
              <w:t>本年收费金额（单位：万元）</w:t>
            </w:r>
          </w:p>
        </w:tc>
      </w:tr>
      <w:tr w14:paraId="413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5CEAF19">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7F127310">
            <w:pPr>
              <w:spacing w:line="240" w:lineRule="auto"/>
              <w:ind w:firstLine="0"/>
              <w:jc w:val="center"/>
              <w:rPr>
                <w:rFonts w:eastAsia="黑体"/>
                <w:sz w:val="20"/>
              </w:rPr>
            </w:pPr>
            <w:r>
              <w:rPr>
                <w:rFonts w:hint="eastAsia" w:eastAsia="黑体"/>
                <w:sz w:val="20"/>
              </w:rPr>
              <w:t>2629.77</w:t>
            </w:r>
          </w:p>
        </w:tc>
      </w:tr>
    </w:tbl>
    <w:p w14:paraId="256009CC">
      <w:pPr>
        <w:spacing w:line="240" w:lineRule="auto"/>
        <w:ind w:firstLine="0"/>
        <w:rPr>
          <w:rFonts w:eastAsia="黑体"/>
          <w:sz w:val="30"/>
          <w:szCs w:val="30"/>
        </w:rPr>
      </w:pPr>
    </w:p>
    <w:p w14:paraId="7123D56F">
      <w:pPr>
        <w:spacing w:line="240" w:lineRule="auto"/>
        <w:ind w:firstLine="0"/>
        <w:rPr>
          <w:rFonts w:eastAsia="黑体"/>
          <w:sz w:val="30"/>
          <w:szCs w:val="30"/>
        </w:rPr>
      </w:pPr>
    </w:p>
    <w:p w14:paraId="29A9345A">
      <w:pPr>
        <w:spacing w:line="240" w:lineRule="auto"/>
        <w:ind w:firstLine="0"/>
        <w:rPr>
          <w:rFonts w:eastAsia="黑体"/>
          <w:sz w:val="30"/>
          <w:szCs w:val="30"/>
        </w:rPr>
      </w:pPr>
    </w:p>
    <w:p w14:paraId="25944166">
      <w:pPr>
        <w:spacing w:line="240" w:lineRule="auto"/>
        <w:ind w:firstLine="0"/>
        <w:rPr>
          <w:rFonts w:eastAsia="黑体"/>
          <w:sz w:val="30"/>
          <w:szCs w:val="30"/>
        </w:rPr>
      </w:pPr>
    </w:p>
    <w:p w14:paraId="0AB5F303">
      <w:pPr>
        <w:spacing w:line="240" w:lineRule="auto"/>
        <w:ind w:firstLine="0"/>
        <w:rPr>
          <w:rFonts w:eastAsia="黑体"/>
          <w:sz w:val="30"/>
          <w:szCs w:val="30"/>
        </w:rPr>
      </w:pPr>
    </w:p>
    <w:p w14:paraId="3AAAD9ED">
      <w:pPr>
        <w:spacing w:line="240" w:lineRule="auto"/>
        <w:ind w:firstLine="0"/>
        <w:rPr>
          <w:rFonts w:eastAsia="黑体"/>
          <w:sz w:val="30"/>
          <w:szCs w:val="30"/>
        </w:rPr>
      </w:pPr>
    </w:p>
    <w:p w14:paraId="44F0AEDA">
      <w:pPr>
        <w:spacing w:line="240" w:lineRule="auto"/>
        <w:ind w:firstLine="0"/>
        <w:rPr>
          <w:rFonts w:eastAsia="黑体"/>
          <w:sz w:val="30"/>
          <w:szCs w:val="30"/>
        </w:rPr>
      </w:pPr>
    </w:p>
    <w:p w14:paraId="04E6844F">
      <w:pPr>
        <w:spacing w:line="240" w:lineRule="auto"/>
        <w:ind w:firstLine="0"/>
        <w:rPr>
          <w:rFonts w:eastAsia="黑体"/>
          <w:sz w:val="30"/>
          <w:szCs w:val="30"/>
        </w:rPr>
      </w:pPr>
    </w:p>
    <w:p w14:paraId="43BDFB91">
      <w:pPr>
        <w:spacing w:line="240" w:lineRule="auto"/>
        <w:ind w:firstLine="0"/>
        <w:rPr>
          <w:rFonts w:eastAsia="黑体"/>
          <w:sz w:val="30"/>
          <w:szCs w:val="30"/>
        </w:rPr>
      </w:pPr>
    </w:p>
    <w:p w14:paraId="5E89D2AB">
      <w:pPr>
        <w:spacing w:line="240" w:lineRule="auto"/>
        <w:ind w:firstLine="0"/>
        <w:rPr>
          <w:rFonts w:eastAsia="黑体"/>
          <w:sz w:val="30"/>
          <w:szCs w:val="30"/>
        </w:rPr>
      </w:pPr>
    </w:p>
    <w:p w14:paraId="0FE2AE68">
      <w:pPr>
        <w:spacing w:line="240" w:lineRule="auto"/>
        <w:ind w:firstLine="0"/>
        <w:rPr>
          <w:rFonts w:eastAsia="黑体"/>
          <w:sz w:val="30"/>
          <w:szCs w:val="30"/>
        </w:rPr>
      </w:pPr>
    </w:p>
    <w:p w14:paraId="6607F6E6">
      <w:pPr>
        <w:spacing w:line="240" w:lineRule="auto"/>
        <w:ind w:firstLine="0"/>
        <w:rPr>
          <w:rFonts w:eastAsia="黑体"/>
          <w:sz w:val="30"/>
          <w:szCs w:val="30"/>
        </w:rPr>
      </w:pPr>
    </w:p>
    <w:p w14:paraId="15FBAC2A">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5E314D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E8A0B73">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E7E0804">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2B71F47E">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A7BCD58">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B2E6F1E">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AF4B039">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D9835D3">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1F8728DC">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4CAD119">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00F75D5D">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842903">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23945534">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230C67">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000FEB9E">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9A348C2">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1FD8DC">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ACBBBE">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E33757B">
            <w:pPr>
              <w:widowControl/>
              <w:autoSpaceDE/>
              <w:autoSpaceDN/>
              <w:snapToGrid/>
              <w:spacing w:line="240" w:lineRule="auto"/>
              <w:ind w:firstLine="0"/>
              <w:jc w:val="left"/>
              <w:rPr>
                <w:rFonts w:eastAsia="宋体"/>
                <w:snapToGrid/>
                <w:sz w:val="24"/>
                <w:szCs w:val="24"/>
              </w:rPr>
            </w:pPr>
          </w:p>
        </w:tc>
      </w:tr>
      <w:tr w14:paraId="76214459">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789360D">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9A72E2">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143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A28EFB">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CF8EA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A310A6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7725A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47383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AB5625E">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145</w:t>
            </w:r>
          </w:p>
        </w:tc>
      </w:tr>
      <w:tr w14:paraId="67ABC73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A478E72">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1CC4C3">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C06E3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0AAD7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6296FC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151E4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1D92C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93F1413">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4</w:t>
            </w:r>
          </w:p>
        </w:tc>
      </w:tr>
      <w:tr w14:paraId="74A0F782">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0D19B7DB">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5C94774">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A93A64">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37</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66BE7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677E3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E9413C">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E7852D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7472E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AF9769B">
            <w:pPr>
              <w:widowControl/>
              <w:autoSpaceDE/>
              <w:autoSpaceDN/>
              <w:snapToGrid/>
              <w:spacing w:line="240" w:lineRule="auto"/>
              <w:ind w:firstLine="0"/>
              <w:jc w:val="center"/>
              <w:rPr>
                <w:rFonts w:hint="eastAsia" w:eastAsia="宋体"/>
                <w:snapToGrid/>
                <w:sz w:val="20"/>
                <w:lang w:eastAsia="zh-CN"/>
              </w:rPr>
            </w:pPr>
            <w:r>
              <w:rPr>
                <w:rFonts w:eastAsia="宋体"/>
                <w:snapToGrid/>
                <w:sz w:val="20"/>
              </w:rPr>
              <w:t>3</w:t>
            </w:r>
            <w:r>
              <w:rPr>
                <w:rFonts w:hint="eastAsia" w:eastAsia="宋体"/>
                <w:snapToGrid/>
                <w:sz w:val="20"/>
                <w:lang w:val="en-US" w:eastAsia="zh-CN"/>
              </w:rPr>
              <w:t>7</w:t>
            </w:r>
          </w:p>
        </w:tc>
      </w:tr>
      <w:tr w14:paraId="1AC334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F5512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DBEC95A">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0B09AF">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33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3C675D">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1986F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65B4D8">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91D09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529BD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C0EFB7E">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34</w:t>
            </w:r>
          </w:p>
        </w:tc>
      </w:tr>
      <w:tr w14:paraId="017EA7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4D3B7D">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4E170FE">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95DB213">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E0EFE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73799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04F86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10DBD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6732E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6DA7D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0DE2AB5">
            <w:pPr>
              <w:widowControl/>
              <w:autoSpaceDE/>
              <w:autoSpaceDN/>
              <w:snapToGrid/>
              <w:spacing w:line="240" w:lineRule="auto"/>
              <w:ind w:firstLine="0"/>
              <w:jc w:val="center"/>
              <w:rPr>
                <w:rFonts w:eastAsia="宋体"/>
                <w:snapToGrid/>
                <w:sz w:val="20"/>
              </w:rPr>
            </w:pPr>
            <w:r>
              <w:rPr>
                <w:rFonts w:eastAsia="宋体"/>
                <w:snapToGrid/>
                <w:sz w:val="20"/>
              </w:rPr>
              <w:t>0</w:t>
            </w:r>
          </w:p>
        </w:tc>
      </w:tr>
      <w:tr w14:paraId="219FA22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EF8C1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5C3C83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F144E9">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25D3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D4D1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D10E3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F1FB45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06CEC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C382D0">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17E7AD0">
            <w:pPr>
              <w:widowControl/>
              <w:autoSpaceDE/>
              <w:autoSpaceDN/>
              <w:snapToGrid/>
              <w:spacing w:line="240" w:lineRule="auto"/>
              <w:ind w:firstLine="0"/>
              <w:jc w:val="center"/>
              <w:rPr>
                <w:rFonts w:eastAsia="宋体"/>
                <w:snapToGrid/>
                <w:sz w:val="20"/>
              </w:rPr>
            </w:pPr>
            <w:r>
              <w:rPr>
                <w:rFonts w:eastAsia="宋体"/>
                <w:snapToGrid/>
                <w:sz w:val="20"/>
              </w:rPr>
              <w:t>0</w:t>
            </w:r>
          </w:p>
        </w:tc>
      </w:tr>
      <w:tr w14:paraId="15555D7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CC3D8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A95B1B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F86BC86">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AF483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213C3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7985A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42199C">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B6A91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61488C">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A55E1CF">
            <w:pPr>
              <w:widowControl/>
              <w:autoSpaceDE/>
              <w:autoSpaceDN/>
              <w:snapToGrid/>
              <w:spacing w:line="240" w:lineRule="auto"/>
              <w:ind w:firstLine="0"/>
              <w:jc w:val="center"/>
              <w:rPr>
                <w:rFonts w:eastAsia="宋体"/>
                <w:snapToGrid/>
                <w:sz w:val="20"/>
              </w:rPr>
            </w:pPr>
            <w:r>
              <w:rPr>
                <w:rFonts w:eastAsia="宋体"/>
                <w:snapToGrid/>
                <w:sz w:val="20"/>
              </w:rPr>
              <w:t>0</w:t>
            </w:r>
          </w:p>
        </w:tc>
      </w:tr>
      <w:tr w14:paraId="1D1CB0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67574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83D10D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B35840">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11770B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89BD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84EC4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69D02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B985A9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463AEB">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953027">
            <w:pPr>
              <w:widowControl/>
              <w:autoSpaceDE/>
              <w:autoSpaceDN/>
              <w:snapToGrid/>
              <w:spacing w:line="240" w:lineRule="auto"/>
              <w:ind w:firstLine="0"/>
              <w:jc w:val="center"/>
              <w:rPr>
                <w:rFonts w:eastAsia="宋体"/>
                <w:snapToGrid/>
                <w:sz w:val="20"/>
              </w:rPr>
            </w:pPr>
            <w:r>
              <w:rPr>
                <w:rFonts w:eastAsia="宋体"/>
                <w:snapToGrid/>
                <w:sz w:val="20"/>
              </w:rPr>
              <w:t>0</w:t>
            </w:r>
          </w:p>
        </w:tc>
      </w:tr>
      <w:tr w14:paraId="0EBA89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12CD26">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50B35E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99D2E4">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B39A0E">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25BB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1E398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8B5DA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DF59F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1657B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9AAE45">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r>
      <w:tr w14:paraId="181DEB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C73DE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599AF9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2E2564F">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7F9D6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E064F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4BA50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CEE28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D4F1E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B7128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855475">
            <w:pPr>
              <w:widowControl/>
              <w:autoSpaceDE/>
              <w:autoSpaceDN/>
              <w:snapToGrid/>
              <w:spacing w:line="240" w:lineRule="auto"/>
              <w:ind w:firstLine="0"/>
              <w:jc w:val="center"/>
              <w:rPr>
                <w:rFonts w:eastAsia="宋体"/>
                <w:snapToGrid/>
                <w:sz w:val="20"/>
              </w:rPr>
            </w:pPr>
            <w:r>
              <w:rPr>
                <w:rFonts w:eastAsia="宋体"/>
                <w:snapToGrid/>
                <w:sz w:val="20"/>
              </w:rPr>
              <w:t>0</w:t>
            </w:r>
          </w:p>
        </w:tc>
      </w:tr>
      <w:tr w14:paraId="3B952C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15F0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6153C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FC4C0C">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F1F400">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B028C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340A8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805251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664207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1B9D6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5569F8">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3</w:t>
            </w:r>
          </w:p>
        </w:tc>
      </w:tr>
      <w:tr w14:paraId="2BD1A7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C8C178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6E9087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AFAD225">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DE88E4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B5372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B44C8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081234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52AAB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4A3C3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01DCC2">
            <w:pPr>
              <w:widowControl/>
              <w:autoSpaceDE/>
              <w:autoSpaceDN/>
              <w:snapToGrid/>
              <w:spacing w:line="240" w:lineRule="auto"/>
              <w:ind w:firstLine="0"/>
              <w:jc w:val="center"/>
              <w:rPr>
                <w:rFonts w:eastAsia="宋体"/>
                <w:snapToGrid/>
                <w:sz w:val="20"/>
              </w:rPr>
            </w:pPr>
            <w:r>
              <w:rPr>
                <w:rFonts w:eastAsia="宋体"/>
                <w:snapToGrid/>
                <w:sz w:val="20"/>
              </w:rPr>
              <w:t>0</w:t>
            </w:r>
          </w:p>
        </w:tc>
      </w:tr>
      <w:tr w14:paraId="2DFB39A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4A96B0">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88D3F9C">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C085DD5">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AA808B1">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64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6FBD51">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954B0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FA5B71">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AC7A9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409500">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6F6D625">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65</w:t>
            </w:r>
          </w:p>
        </w:tc>
      </w:tr>
      <w:tr w14:paraId="5024670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C9BF00">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C370C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9E85F8">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3E4677">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F03F6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2BEB1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9C6E5F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7321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6D276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4CE8D9">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r>
      <w:tr w14:paraId="33DC466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7CE48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2FE564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E676ADF">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EE776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D17DB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4AAF8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4EB45A">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EFAD49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3B81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DD2683">
            <w:pPr>
              <w:widowControl/>
              <w:autoSpaceDE/>
              <w:autoSpaceDN/>
              <w:snapToGrid/>
              <w:spacing w:line="240" w:lineRule="auto"/>
              <w:ind w:firstLine="0"/>
              <w:jc w:val="center"/>
              <w:rPr>
                <w:rFonts w:eastAsia="宋体"/>
                <w:snapToGrid/>
                <w:sz w:val="20"/>
              </w:rPr>
            </w:pPr>
            <w:r>
              <w:rPr>
                <w:rFonts w:eastAsia="宋体"/>
                <w:snapToGrid/>
                <w:sz w:val="20"/>
              </w:rPr>
              <w:t>0</w:t>
            </w:r>
          </w:p>
        </w:tc>
      </w:tr>
      <w:tr w14:paraId="3D94D14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93D58A">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1401F51">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C212556">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09BD2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4A37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1B2F5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2C4B8F">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FEFDC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303E6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AEAB04">
            <w:pPr>
              <w:widowControl/>
              <w:autoSpaceDE/>
              <w:autoSpaceDN/>
              <w:snapToGrid/>
              <w:spacing w:line="240" w:lineRule="auto"/>
              <w:ind w:firstLine="0"/>
              <w:jc w:val="center"/>
              <w:rPr>
                <w:rFonts w:eastAsia="宋体"/>
                <w:snapToGrid/>
                <w:sz w:val="20"/>
              </w:rPr>
            </w:pPr>
            <w:r>
              <w:rPr>
                <w:rFonts w:eastAsia="宋体"/>
                <w:snapToGrid/>
                <w:sz w:val="20"/>
              </w:rPr>
              <w:t>0</w:t>
            </w:r>
          </w:p>
        </w:tc>
      </w:tr>
      <w:tr w14:paraId="79A4045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56E8E9">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80623B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05C488">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FDCAA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AF05C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91FD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79947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2C8C5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F554B4">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F4DDC73">
            <w:pPr>
              <w:widowControl/>
              <w:autoSpaceDE/>
              <w:autoSpaceDN/>
              <w:snapToGrid/>
              <w:spacing w:line="240" w:lineRule="auto"/>
              <w:ind w:firstLine="0"/>
              <w:jc w:val="center"/>
              <w:rPr>
                <w:rFonts w:eastAsia="宋体"/>
                <w:snapToGrid/>
                <w:sz w:val="20"/>
              </w:rPr>
            </w:pPr>
            <w:r>
              <w:rPr>
                <w:rFonts w:eastAsia="宋体"/>
                <w:snapToGrid/>
                <w:sz w:val="20"/>
              </w:rPr>
              <w:t>0</w:t>
            </w:r>
          </w:p>
        </w:tc>
      </w:tr>
      <w:tr w14:paraId="268AAF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5490A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90ABB2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A8B2A1">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1260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A1211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A8C26E">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8D6D55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CFF79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BC8B7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5C8C42">
            <w:pPr>
              <w:widowControl/>
              <w:autoSpaceDE/>
              <w:autoSpaceDN/>
              <w:snapToGrid/>
              <w:spacing w:line="240" w:lineRule="auto"/>
              <w:ind w:firstLine="0"/>
              <w:jc w:val="center"/>
              <w:rPr>
                <w:rFonts w:eastAsia="宋体"/>
                <w:snapToGrid/>
                <w:sz w:val="20"/>
              </w:rPr>
            </w:pPr>
            <w:r>
              <w:rPr>
                <w:rFonts w:eastAsia="宋体"/>
                <w:snapToGrid/>
                <w:sz w:val="20"/>
              </w:rPr>
              <w:t>0</w:t>
            </w:r>
          </w:p>
        </w:tc>
      </w:tr>
      <w:tr w14:paraId="0E1163F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809874">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806625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E2C28FF">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39EE8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B6E58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B5B3DF">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1B03F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89485A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890ED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81E14CF">
            <w:pPr>
              <w:widowControl/>
              <w:autoSpaceDE/>
              <w:autoSpaceDN/>
              <w:snapToGrid/>
              <w:spacing w:line="240" w:lineRule="auto"/>
              <w:ind w:firstLine="0"/>
              <w:jc w:val="center"/>
              <w:rPr>
                <w:rFonts w:eastAsia="宋体"/>
                <w:snapToGrid/>
                <w:sz w:val="20"/>
              </w:rPr>
            </w:pPr>
            <w:r>
              <w:rPr>
                <w:rFonts w:eastAsia="宋体"/>
                <w:snapToGrid/>
                <w:sz w:val="20"/>
              </w:rPr>
              <w:t>0</w:t>
            </w:r>
          </w:p>
        </w:tc>
      </w:tr>
      <w:tr w14:paraId="03EE3691">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1D7989A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4C4B4C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B41F1BE">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3402EEE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5DFDE4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0C75E9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445E0F47">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716654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8E2E96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64D3D967">
            <w:pPr>
              <w:widowControl/>
              <w:autoSpaceDE/>
              <w:autoSpaceDN/>
              <w:snapToGrid/>
              <w:spacing w:line="240" w:lineRule="auto"/>
              <w:ind w:firstLine="0"/>
              <w:jc w:val="center"/>
              <w:rPr>
                <w:rFonts w:eastAsia="宋体"/>
                <w:snapToGrid/>
                <w:sz w:val="20"/>
              </w:rPr>
            </w:pPr>
            <w:r>
              <w:rPr>
                <w:rFonts w:eastAsia="宋体"/>
                <w:snapToGrid/>
                <w:sz w:val="20"/>
              </w:rPr>
              <w:t>0</w:t>
            </w:r>
          </w:p>
        </w:tc>
      </w:tr>
      <w:tr w14:paraId="7CE2493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94CACC">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002C7C6C">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490695A">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4B1F9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B0F89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9A00C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366207F">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1E423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CD562C">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1DDDA1">
            <w:pPr>
              <w:widowControl/>
              <w:autoSpaceDE/>
              <w:autoSpaceDN/>
              <w:snapToGrid/>
              <w:spacing w:line="240" w:lineRule="auto"/>
              <w:ind w:firstLine="0"/>
              <w:jc w:val="center"/>
              <w:rPr>
                <w:rFonts w:eastAsia="宋体"/>
                <w:snapToGrid/>
                <w:sz w:val="20"/>
              </w:rPr>
            </w:pPr>
            <w:r>
              <w:rPr>
                <w:rFonts w:eastAsia="宋体"/>
                <w:snapToGrid/>
                <w:sz w:val="20"/>
              </w:rPr>
              <w:t>0</w:t>
            </w:r>
          </w:p>
        </w:tc>
      </w:tr>
      <w:tr w14:paraId="5B59BE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79E00E">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28DB00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DEBD4ED">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0503A5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9C7EC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9EFFD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509B9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06100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F4494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46D6AC4">
            <w:pPr>
              <w:widowControl/>
              <w:autoSpaceDE/>
              <w:autoSpaceDN/>
              <w:snapToGrid/>
              <w:spacing w:line="240" w:lineRule="auto"/>
              <w:ind w:firstLine="0"/>
              <w:jc w:val="center"/>
              <w:rPr>
                <w:rFonts w:eastAsia="宋体"/>
                <w:snapToGrid/>
                <w:sz w:val="20"/>
              </w:rPr>
            </w:pPr>
            <w:r>
              <w:rPr>
                <w:rFonts w:eastAsia="宋体"/>
                <w:snapToGrid/>
                <w:sz w:val="20"/>
              </w:rPr>
              <w:t>0</w:t>
            </w:r>
          </w:p>
        </w:tc>
      </w:tr>
      <w:tr w14:paraId="2836969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A1FC9C">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0AE6565">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FF4DBB5">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452E6E">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D1795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E28C3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9177C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7BF5B3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1D59A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9DB1E3">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3</w:t>
            </w:r>
          </w:p>
        </w:tc>
      </w:tr>
      <w:tr w14:paraId="7BAF440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61304A">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71CA898">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768F89">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144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C64851">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9D835E">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679C33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43652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EE9CD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C755B2">
            <w:pPr>
              <w:widowControl/>
              <w:autoSpaceDE/>
              <w:autoSpaceDN/>
              <w:snapToGrid/>
              <w:spacing w:line="240" w:lineRule="auto"/>
              <w:ind w:firstLine="0"/>
              <w:jc w:val="center"/>
              <w:rPr>
                <w:rFonts w:hint="default" w:eastAsia="宋体"/>
                <w:snapToGrid/>
                <w:sz w:val="20"/>
                <w:lang w:val="en-US" w:eastAsia="zh-CN"/>
              </w:rPr>
            </w:pPr>
            <w:r>
              <w:rPr>
                <w:rFonts w:hint="eastAsia" w:eastAsia="宋体"/>
                <w:snapToGrid/>
                <w:sz w:val="20"/>
                <w:lang w:val="en-US" w:eastAsia="zh-CN"/>
              </w:rPr>
              <w:t>146</w:t>
            </w:r>
          </w:p>
        </w:tc>
      </w:tr>
      <w:tr w14:paraId="7069D71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098F7D1">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7FF998">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1C115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FF74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591859">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EC59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C7FE7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062418C">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3</w:t>
            </w:r>
          </w:p>
        </w:tc>
      </w:tr>
    </w:tbl>
    <w:p w14:paraId="52198DD9">
      <w:pPr>
        <w:spacing w:line="240" w:lineRule="auto"/>
        <w:ind w:firstLine="600" w:firstLineChars="200"/>
        <w:rPr>
          <w:rFonts w:eastAsia="黑体"/>
          <w:sz w:val="30"/>
          <w:szCs w:val="30"/>
        </w:rPr>
      </w:pPr>
    </w:p>
    <w:p w14:paraId="143FA1C8">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4710F3B">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3C9B06">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8A06C">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7F4FA518">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A1A6C2">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89EE97">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871C4F">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37814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5408">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6BB03">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5999B">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19F16B4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9C3FAE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CF3DBD2">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F7B9A9A">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52CA9C5">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0D7E89F">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B00611">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60A0D">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19E6D4">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04EB99">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1F0B75">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15B843">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2E76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0D376E">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F3E35A">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0462DD">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26D064A2">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890AF">
            <w:pPr>
              <w:widowControl/>
              <w:autoSpaceDE/>
              <w:autoSpaceDN/>
              <w:snapToGrid/>
              <w:spacing w:line="240" w:lineRule="auto"/>
              <w:ind w:firstLine="0"/>
              <w:jc w:val="center"/>
              <w:rPr>
                <w:rFonts w:hint="eastAsia" w:eastAsia="宋体"/>
                <w:snapToGrid/>
                <w:sz w:val="20"/>
                <w:highlight w:val="none"/>
                <w:lang w:eastAsia="zh-CN"/>
              </w:rPr>
            </w:pPr>
            <w:r>
              <w:rPr>
                <w:rFonts w:hint="eastAsia" w:eastAsia="宋体"/>
                <w:snapToGrid/>
                <w:sz w:val="20"/>
                <w:highlight w:val="none"/>
                <w:lang w:val="en-US" w:eastAsia="zh-CN"/>
              </w:rPr>
              <w:t>3</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E47B7E">
            <w:pPr>
              <w:widowControl/>
              <w:autoSpaceDE/>
              <w:autoSpaceDN/>
              <w:snapToGrid/>
              <w:spacing w:line="240" w:lineRule="auto"/>
              <w:ind w:firstLine="0"/>
              <w:jc w:val="center"/>
              <w:rPr>
                <w:rFonts w:hint="default" w:eastAsia="宋体"/>
                <w:snapToGrid/>
                <w:sz w:val="20"/>
                <w:highlight w:val="none"/>
                <w:lang w:val="en-US" w:eastAsia="zh-CN"/>
              </w:rPr>
            </w:pPr>
            <w:r>
              <w:rPr>
                <w:rFonts w:hint="eastAsia" w:eastAsia="宋体"/>
                <w:snapToGrid/>
                <w:sz w:val="20"/>
                <w:highlight w:val="none"/>
                <w:lang w:val="en-US" w:eastAsia="zh-CN"/>
              </w:rPr>
              <w:t>2</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3B3355">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F9250F">
            <w:pPr>
              <w:widowControl/>
              <w:autoSpaceDE/>
              <w:autoSpaceDN/>
              <w:snapToGrid/>
              <w:spacing w:line="240" w:lineRule="auto"/>
              <w:ind w:firstLine="0"/>
              <w:jc w:val="center"/>
              <w:rPr>
                <w:rFonts w:eastAsia="宋体"/>
                <w:snapToGrid/>
                <w:sz w:val="20"/>
                <w:highlight w:val="none"/>
              </w:rPr>
            </w:pPr>
            <w:r>
              <w:rPr>
                <w:rFonts w:hint="eastAsia" w:eastAsia="宋体"/>
                <w:snapToGrid/>
                <w:sz w:val="20"/>
                <w:highlight w:val="none"/>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605CFA">
            <w:pPr>
              <w:widowControl/>
              <w:autoSpaceDE/>
              <w:autoSpaceDN/>
              <w:snapToGrid/>
              <w:spacing w:line="240" w:lineRule="auto"/>
              <w:ind w:firstLine="0"/>
              <w:jc w:val="center"/>
              <w:rPr>
                <w:rFonts w:hint="eastAsia" w:eastAsia="宋体"/>
                <w:snapToGrid/>
                <w:sz w:val="20"/>
                <w:highlight w:val="none"/>
                <w:lang w:eastAsia="zh-CN"/>
              </w:rPr>
            </w:pPr>
            <w:r>
              <w:rPr>
                <w:rFonts w:hint="eastAsia" w:eastAsia="宋体"/>
                <w:snapToGrid/>
                <w:sz w:val="20"/>
                <w:highlight w:val="none"/>
                <w:lang w:val="en-US" w:eastAsia="zh-CN"/>
              </w:rPr>
              <w:t>6</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DFE3A0">
            <w:pPr>
              <w:widowControl/>
              <w:autoSpaceDE/>
              <w:autoSpaceDN/>
              <w:snapToGrid/>
              <w:spacing w:line="240" w:lineRule="auto"/>
              <w:ind w:firstLine="0"/>
              <w:jc w:val="center"/>
              <w:rPr>
                <w:rFonts w:hint="eastAsia" w:eastAsia="宋体"/>
                <w:snapToGrid/>
                <w:sz w:val="20"/>
                <w:highlight w:val="none"/>
                <w:lang w:eastAsia="zh-CN"/>
              </w:rPr>
            </w:pPr>
            <w:r>
              <w:rPr>
                <w:rFonts w:hint="eastAsia" w:eastAsia="宋体"/>
                <w:snapToGrid/>
                <w:sz w:val="20"/>
                <w:highlight w:val="none"/>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335403">
            <w:pPr>
              <w:widowControl/>
              <w:autoSpaceDE/>
              <w:autoSpaceDN/>
              <w:snapToGrid/>
              <w:spacing w:line="240" w:lineRule="auto"/>
              <w:ind w:firstLine="0"/>
              <w:jc w:val="center"/>
              <w:rPr>
                <w:rFonts w:hint="eastAsia" w:eastAsia="宋体"/>
                <w:snapToGrid/>
                <w:sz w:val="20"/>
                <w:highlight w:val="none"/>
                <w:lang w:eastAsia="zh-CN"/>
              </w:rPr>
            </w:pPr>
            <w:r>
              <w:rPr>
                <w:rFonts w:hint="eastAsia" w:eastAsia="宋体"/>
                <w:snapToGrid/>
                <w:sz w:val="20"/>
                <w:highlight w:val="none"/>
                <w:lang w:val="en-US" w:eastAsia="zh-CN"/>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95F8B0">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D2F123">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A744D6">
            <w:pPr>
              <w:widowControl/>
              <w:autoSpaceDE/>
              <w:autoSpaceDN/>
              <w:snapToGrid/>
              <w:spacing w:line="240" w:lineRule="auto"/>
              <w:ind w:firstLine="0"/>
              <w:jc w:val="center"/>
              <w:rPr>
                <w:rFonts w:hint="eastAsia" w:eastAsia="宋体"/>
                <w:snapToGrid/>
                <w:sz w:val="20"/>
                <w:highlight w:val="none"/>
                <w:lang w:eastAsia="zh-CN"/>
              </w:rPr>
            </w:pPr>
            <w:r>
              <w:rPr>
                <w:rFonts w:hint="eastAsia" w:eastAsia="宋体"/>
                <w:snapToGrid/>
                <w:sz w:val="20"/>
                <w:highlight w:val="none"/>
                <w:lang w:val="en-US" w:eastAsia="zh-CN"/>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7C46C6">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8F807">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4658E4">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1C0828">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411526">
            <w:pPr>
              <w:widowControl/>
              <w:autoSpaceDE/>
              <w:autoSpaceDN/>
              <w:snapToGrid/>
              <w:spacing w:line="240" w:lineRule="auto"/>
              <w:ind w:firstLine="0"/>
              <w:jc w:val="center"/>
              <w:rPr>
                <w:rFonts w:eastAsia="宋体"/>
                <w:snapToGrid/>
                <w:sz w:val="20"/>
                <w:highlight w:val="none"/>
              </w:rPr>
            </w:pPr>
            <w:r>
              <w:rPr>
                <w:rFonts w:eastAsia="宋体"/>
                <w:snapToGrid/>
                <w:sz w:val="20"/>
                <w:highlight w:val="none"/>
              </w:rPr>
              <w:t>0</w:t>
            </w:r>
          </w:p>
        </w:tc>
      </w:tr>
    </w:tbl>
    <w:p w14:paraId="2133D182">
      <w:pPr>
        <w:spacing w:line="560" w:lineRule="exact"/>
        <w:ind w:firstLine="640" w:firstLineChars="200"/>
        <w:rPr>
          <w:rFonts w:eastAsia="黑体"/>
          <w:szCs w:val="32"/>
        </w:rPr>
      </w:pPr>
      <w:r>
        <w:rPr>
          <w:rFonts w:eastAsia="黑体"/>
          <w:szCs w:val="32"/>
        </w:rPr>
        <w:t>五、存在的主要问题及改进情况</w:t>
      </w:r>
    </w:p>
    <w:p w14:paraId="50587181">
      <w:pPr>
        <w:spacing w:line="560" w:lineRule="exact"/>
        <w:ind w:firstLine="640" w:firstLineChars="200"/>
        <w:rPr>
          <w:rFonts w:eastAsia="楷体_GB2312"/>
          <w:szCs w:val="32"/>
        </w:rPr>
      </w:pPr>
      <w:r>
        <w:rPr>
          <w:rFonts w:eastAsia="楷体_GB2312"/>
          <w:szCs w:val="32"/>
        </w:rPr>
        <w:t>（一）存在问题</w:t>
      </w:r>
    </w:p>
    <w:p w14:paraId="38D36D7A">
      <w:pPr>
        <w:spacing w:line="560" w:lineRule="exact"/>
        <w:ind w:firstLine="640" w:firstLineChars="200"/>
        <w:rPr>
          <w:rFonts w:hint="eastAsia" w:eastAsia="仿宋_GB2312"/>
          <w:szCs w:val="32"/>
          <w:lang w:eastAsia="zh-CN"/>
        </w:rPr>
      </w:pPr>
      <w:r>
        <w:rPr>
          <w:rFonts w:eastAsia="仿宋_GB2312"/>
          <w:szCs w:val="32"/>
        </w:rPr>
        <w:t>一是</w:t>
      </w:r>
      <w:r>
        <w:rPr>
          <w:rFonts w:hint="eastAsia" w:eastAsia="仿宋_GB2312"/>
          <w:szCs w:val="32"/>
        </w:rPr>
        <w:t>公共企事业单位信息公开呈现领域间显著差异：</w:t>
      </w:r>
      <w:r>
        <w:rPr>
          <w:rFonts w:hint="eastAsia" w:eastAsia="仿宋_GB2312"/>
          <w:szCs w:val="32"/>
          <w:lang w:val="en-US" w:eastAsia="zh-CN"/>
        </w:rPr>
        <w:t>医疗</w:t>
      </w:r>
      <w:r>
        <w:rPr>
          <w:rFonts w:hint="eastAsia" w:eastAsia="仿宋_GB2312"/>
          <w:szCs w:val="32"/>
        </w:rPr>
        <w:t>系统已建立标准化公开机制，其他领域存在信息更新滞后、关键内容</w:t>
      </w:r>
      <w:r>
        <w:rPr>
          <w:rFonts w:hint="eastAsia" w:eastAsia="仿宋_GB2312"/>
          <w:szCs w:val="32"/>
          <w:lang w:val="en-US" w:eastAsia="zh-CN"/>
        </w:rPr>
        <w:t>不明确</w:t>
      </w:r>
      <w:r>
        <w:rPr>
          <w:rFonts w:hint="eastAsia" w:eastAsia="仿宋_GB2312"/>
          <w:szCs w:val="32"/>
        </w:rPr>
        <w:t>等问题</w:t>
      </w:r>
      <w:r>
        <w:rPr>
          <w:rFonts w:hint="eastAsia" w:eastAsia="仿宋_GB2312"/>
          <w:szCs w:val="32"/>
          <w:lang w:eastAsia="zh-CN"/>
        </w:rPr>
        <w:t>。</w:t>
      </w:r>
    </w:p>
    <w:p w14:paraId="28B1B9A4">
      <w:pPr>
        <w:spacing w:line="560" w:lineRule="exact"/>
        <w:ind w:firstLine="640" w:firstLineChars="200"/>
        <w:rPr>
          <w:rFonts w:eastAsia="仿宋_GB2312"/>
          <w:szCs w:val="32"/>
        </w:rPr>
      </w:pPr>
      <w:r>
        <w:rPr>
          <w:rFonts w:eastAsia="仿宋_GB2312"/>
          <w:szCs w:val="32"/>
        </w:rPr>
        <w:t>二是</w:t>
      </w:r>
      <w:r>
        <w:rPr>
          <w:rFonts w:hint="eastAsia" w:eastAsia="仿宋_GB2312"/>
          <w:szCs w:val="32"/>
        </w:rPr>
        <w:t>政务公开队伍建设需进一步加强</w:t>
      </w:r>
      <w:r>
        <w:rPr>
          <w:rFonts w:hint="eastAsia" w:eastAsia="仿宋_GB2312"/>
          <w:szCs w:val="32"/>
          <w:lang w:eastAsia="zh-CN"/>
        </w:rPr>
        <w:t>，</w:t>
      </w:r>
      <w:r>
        <w:rPr>
          <w:rFonts w:hint="eastAsia" w:eastAsia="仿宋_GB2312"/>
          <w:szCs w:val="32"/>
          <w:lang w:val="en-US" w:eastAsia="zh-CN"/>
        </w:rPr>
        <w:t>部分单位工作人员变动较快，部分工作人员专业能力较弱</w:t>
      </w:r>
      <w:r>
        <w:rPr>
          <w:rFonts w:eastAsia="仿宋_GB2312"/>
          <w:szCs w:val="32"/>
        </w:rPr>
        <w:t>。</w:t>
      </w:r>
    </w:p>
    <w:p w14:paraId="092CC744">
      <w:pPr>
        <w:spacing w:line="560" w:lineRule="exact"/>
        <w:ind w:firstLine="640" w:firstLineChars="200"/>
        <w:rPr>
          <w:rFonts w:eastAsia="楷体_GB2312"/>
          <w:szCs w:val="32"/>
        </w:rPr>
      </w:pPr>
      <w:r>
        <w:rPr>
          <w:rFonts w:eastAsia="楷体_GB2312"/>
          <w:szCs w:val="32"/>
        </w:rPr>
        <w:t>（二）改进情况</w:t>
      </w:r>
    </w:p>
    <w:p w14:paraId="2CEEB843">
      <w:pPr>
        <w:spacing w:line="560" w:lineRule="exact"/>
        <w:ind w:firstLine="640" w:firstLineChars="200"/>
        <w:rPr>
          <w:rFonts w:hint="default" w:eastAsia="仿宋_GB2312"/>
          <w:szCs w:val="32"/>
          <w:lang w:val="en-US" w:eastAsia="zh-CN"/>
        </w:rPr>
      </w:pPr>
      <w:r>
        <w:rPr>
          <w:rFonts w:eastAsia="仿宋_GB2312"/>
          <w:szCs w:val="32"/>
        </w:rPr>
        <w:t>一是</w:t>
      </w:r>
      <w:r>
        <w:rPr>
          <w:rFonts w:hint="eastAsia" w:eastAsia="仿宋_GB2312"/>
          <w:szCs w:val="32"/>
          <w:lang w:val="en-US" w:eastAsia="zh-CN"/>
        </w:rPr>
        <w:t>制定公共企事业单位信息公开规范，统一各领域的信息公开目录、时限要求及格式标准。创新实施“检查-通报-整改-提升”闭环管理：开展3次专项检查覆盖重点领域，发布2期问题反馈清单强化监管问责，指导200余项问题限期整改到位，实现信息公开含金量与群众获得感双提升。</w:t>
      </w:r>
    </w:p>
    <w:p w14:paraId="12102C50">
      <w:pPr>
        <w:pStyle w:val="2"/>
        <w:rPr>
          <w:rFonts w:hint="eastAsia" w:ascii="Times New Roman" w:hAnsi="Times New Roman" w:eastAsia="仿宋_GB2312" w:cs="Times New Roman"/>
          <w:b w:val="0"/>
          <w:bCs/>
          <w:snapToGrid w:val="0"/>
          <w:kern w:val="0"/>
          <w:sz w:val="32"/>
          <w:szCs w:val="32"/>
          <w:lang w:val="en-US" w:eastAsia="zh-CN" w:bidi="ar-SA"/>
        </w:rPr>
      </w:pPr>
      <w:r>
        <w:rPr>
          <w:rFonts w:hint="eastAsia" w:ascii="Times New Roman" w:hAnsi="Times New Roman" w:eastAsia="仿宋_GB2312" w:cs="Times New Roman"/>
          <w:b w:val="0"/>
          <w:bCs w:val="0"/>
          <w:snapToGrid w:val="0"/>
          <w:kern w:val="0"/>
          <w:sz w:val="32"/>
          <w:szCs w:val="32"/>
          <w:lang w:val="en-US" w:eastAsia="zh-CN" w:bidi="ar-SA"/>
        </w:rPr>
        <w:t>二</w:t>
      </w:r>
      <w:r>
        <w:rPr>
          <w:rFonts w:ascii="Times New Roman" w:hAnsi="Times New Roman" w:eastAsia="仿宋_GB2312" w:cs="Times New Roman"/>
          <w:b w:val="0"/>
          <w:bCs w:val="0"/>
          <w:snapToGrid w:val="0"/>
          <w:kern w:val="0"/>
          <w:sz w:val="32"/>
          <w:szCs w:val="32"/>
          <w:lang w:val="en-US" w:eastAsia="zh-CN" w:bidi="ar-SA"/>
        </w:rPr>
        <w:t>是</w:t>
      </w:r>
      <w:r>
        <w:rPr>
          <w:rFonts w:hint="eastAsia" w:ascii="Times New Roman" w:hAnsi="Times New Roman" w:eastAsia="仿宋_GB2312" w:cs="Times New Roman"/>
          <w:b w:val="0"/>
          <w:bCs/>
          <w:snapToGrid w:val="0"/>
          <w:kern w:val="0"/>
          <w:sz w:val="32"/>
          <w:szCs w:val="32"/>
          <w:lang w:val="en-US" w:eastAsia="zh-CN" w:bidi="ar-SA"/>
        </w:rPr>
        <w:t>强化专职队伍建设。在各单位设立专职政务公开岗位，确保工作连续性。优化工作流程与监督机制。制定详细的信息发布和依申请公开操作手册，明确各环节责任和时限。针对政策解读薄弱环节，开展专项培训。</w:t>
      </w:r>
    </w:p>
    <w:p w14:paraId="3D42F253">
      <w:pPr>
        <w:spacing w:line="560" w:lineRule="exact"/>
        <w:ind w:firstLine="640" w:firstLineChars="200"/>
        <w:rPr>
          <w:rFonts w:eastAsia="黑体"/>
          <w:szCs w:val="32"/>
        </w:rPr>
      </w:pPr>
      <w:r>
        <w:rPr>
          <w:rFonts w:eastAsia="黑体"/>
          <w:szCs w:val="32"/>
        </w:rPr>
        <w:t>六、其他需要报告的事项</w:t>
      </w:r>
    </w:p>
    <w:p w14:paraId="5377F089">
      <w:pPr>
        <w:spacing w:line="560" w:lineRule="exact"/>
        <w:ind w:firstLine="640" w:firstLineChars="200"/>
        <w:jc w:val="left"/>
        <w:rPr>
          <w:rFonts w:eastAsia="楷体_GB2312"/>
          <w:szCs w:val="32"/>
        </w:rPr>
      </w:pPr>
      <w:r>
        <w:rPr>
          <w:rFonts w:eastAsia="楷体_GB2312"/>
          <w:szCs w:val="32"/>
        </w:rPr>
        <w:t>（一）政府信息公开信息处理费收取情况</w:t>
      </w:r>
    </w:p>
    <w:p w14:paraId="596D6B9C">
      <w:pPr>
        <w:spacing w:line="560" w:lineRule="exact"/>
        <w:ind w:firstLine="640" w:firstLineChars="200"/>
        <w:rPr>
          <w:rFonts w:eastAsia="仿宋_GB2312"/>
          <w:szCs w:val="32"/>
        </w:rPr>
      </w:pPr>
      <w:bookmarkStart w:id="0" w:name="OLE_LINK5"/>
      <w:bookmarkStart w:id="1" w:name="OLE_LINK4"/>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w:t>
      </w:r>
      <w:r>
        <w:rPr>
          <w:rFonts w:hint="eastAsia" w:eastAsia="仿宋_GB2312"/>
          <w:szCs w:val="32"/>
          <w:lang w:val="en-US" w:eastAsia="zh-CN"/>
        </w:rPr>
        <w:t>5</w:t>
      </w:r>
      <w:r>
        <w:rPr>
          <w:rFonts w:eastAsia="仿宋_GB2312"/>
          <w:szCs w:val="32"/>
        </w:rPr>
        <w:t>年全县各镇办、各部门在办理政府信息公开申请过程中未收取信息处理费。</w:t>
      </w:r>
    </w:p>
    <w:bookmarkEnd w:id="0"/>
    <w:bookmarkEnd w:id="1"/>
    <w:p w14:paraId="4BA5C68E">
      <w:pPr>
        <w:spacing w:line="560" w:lineRule="exact"/>
        <w:ind w:firstLine="640" w:firstLineChars="200"/>
        <w:jc w:val="left"/>
        <w:rPr>
          <w:rFonts w:eastAsia="楷体_GB2312"/>
          <w:szCs w:val="32"/>
        </w:rPr>
      </w:pPr>
      <w:r>
        <w:rPr>
          <w:rFonts w:eastAsia="楷体_GB2312"/>
          <w:szCs w:val="32"/>
        </w:rPr>
        <w:t>（二）落实上级年度政务公开工作要点情况</w:t>
      </w:r>
    </w:p>
    <w:p w14:paraId="63A1085A">
      <w:pPr>
        <w:spacing w:line="560" w:lineRule="exact"/>
        <w:ind w:firstLine="640" w:firstLineChars="200"/>
        <w:rPr>
          <w:rFonts w:eastAsia="仿宋_GB2312"/>
          <w:szCs w:val="32"/>
        </w:rPr>
      </w:pPr>
      <w:r>
        <w:rPr>
          <w:rFonts w:eastAsia="仿宋_GB2312"/>
          <w:szCs w:val="32"/>
        </w:rPr>
        <w:t>根据</w:t>
      </w:r>
      <w:r>
        <w:rPr>
          <w:rFonts w:hint="eastAsia" w:eastAsia="仿宋_GB2312"/>
          <w:szCs w:val="32"/>
        </w:rPr>
        <w:t>淄博市人民政府办公室关于印发</w:t>
      </w:r>
      <w:r>
        <w:rPr>
          <w:rFonts w:eastAsia="仿宋_GB2312"/>
          <w:szCs w:val="32"/>
        </w:rPr>
        <w:t>《</w:t>
      </w:r>
      <w:r>
        <w:rPr>
          <w:rFonts w:hint="eastAsia" w:eastAsia="仿宋_GB2312"/>
          <w:szCs w:val="32"/>
        </w:rPr>
        <w:t>淄博市贯彻落实〈2025年山东省政务公开工作要点〉实施方案的通知</w:t>
      </w:r>
      <w:r>
        <w:rPr>
          <w:rFonts w:eastAsia="仿宋_GB2312"/>
          <w:szCs w:val="32"/>
        </w:rPr>
        <w:t>》（淄政办字〔202</w:t>
      </w:r>
      <w:r>
        <w:rPr>
          <w:rFonts w:hint="eastAsia" w:eastAsia="仿宋_GB2312"/>
          <w:szCs w:val="32"/>
          <w:lang w:val="en-US" w:eastAsia="zh-CN"/>
        </w:rPr>
        <w:t>5</w:t>
      </w:r>
      <w:r>
        <w:rPr>
          <w:rFonts w:eastAsia="仿宋_GB2312"/>
          <w:szCs w:val="32"/>
        </w:rPr>
        <w:t>〕1</w:t>
      </w:r>
      <w:r>
        <w:rPr>
          <w:rFonts w:hint="eastAsia" w:eastAsia="仿宋_GB2312"/>
          <w:szCs w:val="32"/>
          <w:lang w:val="en-US" w:eastAsia="zh-CN"/>
        </w:rPr>
        <w:t>7</w:t>
      </w:r>
      <w:r>
        <w:rPr>
          <w:rFonts w:eastAsia="仿宋_GB2312"/>
          <w:szCs w:val="32"/>
        </w:rPr>
        <w:t>号）有关部署，</w:t>
      </w:r>
      <w:r>
        <w:rPr>
          <w:rFonts w:hint="eastAsia" w:eastAsia="仿宋_GB2312"/>
          <w:szCs w:val="32"/>
        </w:rPr>
        <w:t>印发</w:t>
      </w:r>
      <w:r>
        <w:rPr>
          <w:rFonts w:eastAsia="仿宋_GB2312"/>
          <w:szCs w:val="32"/>
        </w:rPr>
        <w:t>《202</w:t>
      </w:r>
      <w:r>
        <w:rPr>
          <w:rFonts w:hint="eastAsia" w:eastAsia="仿宋_GB2312"/>
          <w:szCs w:val="32"/>
          <w:lang w:val="en-US" w:eastAsia="zh-CN"/>
        </w:rPr>
        <w:t>5</w:t>
      </w:r>
      <w:r>
        <w:rPr>
          <w:rFonts w:eastAsia="仿宋_GB2312"/>
          <w:szCs w:val="32"/>
        </w:rPr>
        <w:t>年高青县政务公开工作方案》（高政办字〔202</w:t>
      </w:r>
      <w:r>
        <w:rPr>
          <w:rFonts w:hint="eastAsia" w:eastAsia="仿宋_GB2312"/>
          <w:szCs w:val="32"/>
          <w:lang w:val="en-US" w:eastAsia="zh-CN"/>
        </w:rPr>
        <w:t>5</w:t>
      </w:r>
      <w:r>
        <w:rPr>
          <w:rFonts w:eastAsia="仿宋_GB2312"/>
          <w:szCs w:val="32"/>
        </w:rPr>
        <w:t>〕</w:t>
      </w:r>
      <w:r>
        <w:rPr>
          <w:rFonts w:hint="eastAsia" w:eastAsia="仿宋_GB2312"/>
          <w:szCs w:val="32"/>
          <w:lang w:val="en-US" w:eastAsia="zh-CN"/>
        </w:rPr>
        <w:t>9</w:t>
      </w:r>
      <w:r>
        <w:rPr>
          <w:rFonts w:eastAsia="仿宋_GB2312"/>
          <w:szCs w:val="32"/>
        </w:rPr>
        <w:t>号），</w:t>
      </w:r>
      <w:r>
        <w:rPr>
          <w:rFonts w:hint="eastAsia" w:ascii="Times New Roman" w:hAnsi="Times New Roman" w:eastAsia="仿宋_GB2312" w:cs="Times New Roman"/>
          <w:bCs/>
          <w:sz w:val="32"/>
          <w:szCs w:val="32"/>
        </w:rPr>
        <w:t>着力健全政务公开长效机制，重点突破依申请公开办理中的堵点难点，创新政策解读传播方式</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一</w:t>
      </w:r>
      <w:r>
        <w:rPr>
          <w:rFonts w:ascii="Times New Roman" w:hAnsi="Times New Roman" w:eastAsia="仿宋_GB2312" w:cs="Times New Roman"/>
          <w:bCs/>
          <w:sz w:val="32"/>
          <w:szCs w:val="32"/>
        </w:rPr>
        <w:t>是全流程规范依申请公开办理。畅通受理渠道，坚持“群众少跑路、数据多跑腿”，开设“现场申</w:t>
      </w:r>
      <w:r>
        <w:rPr>
          <w:rFonts w:ascii="Times New Roman" w:eastAsia="仿宋_GB2312" w:cs="Times New Roman"/>
          <w:bCs/>
          <w:sz w:val="32"/>
          <w:szCs w:val="32"/>
        </w:rPr>
        <w:t>请+书面邮寄+网络提交”多重受理渠道，依托《政府信息公开指南》公开受理地址、信箱、网址以及操作教程、注意事项，并统一告知依申请公开范围，确保满足不同群体提交申请需求。规范办理流程，严格执行受理、审核、答复、送达、归档全流程闭环管理，统一答复文书模板，建立部门联合会商和“责任科室初审+法律顾问复核+负责人终审”三重审核机制，加强</w:t>
      </w:r>
      <w:r>
        <w:rPr>
          <w:rFonts w:ascii="Times New Roman" w:eastAsia="仿宋_GB2312" w:cs="Times New Roman"/>
          <w:sz w:val="32"/>
          <w:szCs w:val="32"/>
        </w:rPr>
        <w:t>办理过程中与申请人的沟通协商，</w:t>
      </w:r>
      <w:r>
        <w:rPr>
          <w:rFonts w:ascii="Times New Roman" w:eastAsia="仿宋_GB2312" w:cs="Times New Roman"/>
          <w:bCs/>
          <w:sz w:val="32"/>
          <w:szCs w:val="32"/>
        </w:rPr>
        <w:t>实质解决申请人诉求问题。</w:t>
      </w:r>
      <w:r>
        <w:rPr>
          <w:rFonts w:hint="eastAsia" w:eastAsia="仿宋_GB2312" w:cs="Times New Roman"/>
          <w:bCs/>
          <w:sz w:val="32"/>
          <w:szCs w:val="32"/>
          <w:lang w:val="en-US" w:eastAsia="zh-CN"/>
        </w:rPr>
        <w:t>二</w:t>
      </w:r>
      <w:r>
        <w:rPr>
          <w:rFonts w:ascii="Times New Roman" w:eastAsia="仿宋_GB2312" w:cs="Times New Roman"/>
          <w:bCs/>
          <w:sz w:val="32"/>
          <w:szCs w:val="32"/>
        </w:rPr>
        <w:t>是强化政策解读回应。优化解读机制，开展政策全周期解读。</w:t>
      </w:r>
      <w:r>
        <w:rPr>
          <w:rFonts w:ascii="Times New Roman" w:eastAsia="仿宋_GB2312" w:cs="Times New Roman"/>
          <w:kern w:val="2"/>
          <w:sz w:val="32"/>
          <w:szCs w:val="32"/>
        </w:rPr>
        <w:t>规范解读流程，制发《关于进一步做好县政府政策性文件解读工作的通知》，压实文件起草部门解读责任，</w:t>
      </w:r>
      <w:r>
        <w:rPr>
          <w:rFonts w:ascii="Times New Roman" w:eastAsia="仿宋_GB2312" w:cs="Times New Roman"/>
          <w:bCs/>
          <w:sz w:val="32"/>
          <w:szCs w:val="32"/>
        </w:rPr>
        <w:t>坚持政策解读与政策制定</w:t>
      </w:r>
      <w:r>
        <w:rPr>
          <w:rFonts w:hint="eastAsia" w:eastAsia="仿宋_GB2312" w:cs="Times New Roman"/>
          <w:bCs/>
          <w:sz w:val="32"/>
          <w:szCs w:val="32"/>
          <w:lang w:val="en-US" w:eastAsia="zh-CN"/>
        </w:rPr>
        <w:t>三同步</w:t>
      </w:r>
      <w:r>
        <w:rPr>
          <w:rFonts w:ascii="Times New Roman" w:eastAsia="仿宋_GB2312" w:cs="Times New Roman"/>
          <w:bCs/>
          <w:sz w:val="32"/>
          <w:szCs w:val="32"/>
        </w:rPr>
        <w:t>，将政策解读作为政策文件审签重要一环，</w:t>
      </w:r>
      <w:r>
        <w:rPr>
          <w:rFonts w:ascii="Times New Roman" w:eastAsia="仿宋_GB2312" w:cs="Times New Roman"/>
          <w:kern w:val="2"/>
          <w:sz w:val="32"/>
          <w:szCs w:val="32"/>
        </w:rPr>
        <w:t>进一步明确解读范围、形式、内容，以机制提升政策解读质效。</w:t>
      </w:r>
      <w:r>
        <w:rPr>
          <w:rFonts w:ascii="Times New Roman" w:eastAsia="仿宋_GB2312" w:cs="Times New Roman"/>
          <w:bCs/>
          <w:sz w:val="32"/>
          <w:szCs w:val="32"/>
        </w:rPr>
        <w:t>创新解读形式，坚持“通俗易懂”，在文字解读基础上，积极采用动漫、图表、H5等形式开展形象化、通俗化解读，满足不同受众群体需求，破解政策理解壁垒。2025年度</w:t>
      </w:r>
      <w:r>
        <w:rPr>
          <w:rFonts w:hint="eastAsia" w:eastAsia="仿宋_GB2312" w:cs="Times New Roman"/>
          <w:bCs/>
          <w:sz w:val="32"/>
          <w:szCs w:val="32"/>
          <w:lang w:val="en-US" w:eastAsia="zh-CN"/>
        </w:rPr>
        <w:t>图文解读</w:t>
      </w:r>
      <w:r>
        <w:rPr>
          <w:rFonts w:ascii="Times New Roman" w:eastAsia="仿宋_GB2312" w:cs="Times New Roman"/>
          <w:bCs/>
          <w:sz w:val="32"/>
          <w:szCs w:val="32"/>
        </w:rPr>
        <w:t>、动漫类解读占比达50%以上</w:t>
      </w:r>
      <w:r>
        <w:rPr>
          <w:rFonts w:ascii="Times New Roman" w:eastAsia="仿宋_GB2312" w:cs="Times New Roman"/>
          <w:sz w:val="32"/>
          <w:szCs w:val="32"/>
        </w:rPr>
        <w:t>。</w:t>
      </w:r>
    </w:p>
    <w:p w14:paraId="6F6C8290">
      <w:pPr>
        <w:spacing w:line="560" w:lineRule="exact"/>
        <w:ind w:firstLine="640" w:firstLineChars="200"/>
        <w:jc w:val="left"/>
        <w:rPr>
          <w:rFonts w:eastAsia="楷体_GB2312"/>
          <w:szCs w:val="32"/>
        </w:rPr>
      </w:pPr>
      <w:r>
        <w:rPr>
          <w:rFonts w:eastAsia="楷体_GB2312"/>
          <w:szCs w:val="32"/>
        </w:rPr>
        <w:t>（三）人大代表建议和政协委员提案办理结果公开情况</w:t>
      </w:r>
    </w:p>
    <w:p w14:paraId="27739C6D">
      <w:pPr>
        <w:spacing w:line="560" w:lineRule="exact"/>
        <w:ind w:firstLine="640" w:firstLineChars="200"/>
        <w:rPr>
          <w:rFonts w:eastAsia="仿宋_GB2312"/>
          <w:szCs w:val="32"/>
        </w:rPr>
      </w:pPr>
      <w:r>
        <w:rPr>
          <w:rFonts w:eastAsia="仿宋_GB2312"/>
          <w:szCs w:val="32"/>
        </w:rPr>
        <w:t>20</w:t>
      </w:r>
      <w:r>
        <w:rPr>
          <w:rFonts w:hint="eastAsia" w:eastAsia="仿宋_GB2312"/>
          <w:szCs w:val="32"/>
          <w:lang w:val="en-US" w:eastAsia="zh-CN"/>
        </w:rPr>
        <w:t>25</w:t>
      </w:r>
      <w:r>
        <w:rPr>
          <w:rFonts w:eastAsia="仿宋_GB2312"/>
          <w:szCs w:val="32"/>
        </w:rPr>
        <w:t>年全县政府系统共承办县十八届人大</w:t>
      </w:r>
      <w:r>
        <w:rPr>
          <w:rFonts w:hint="eastAsia" w:eastAsia="仿宋_GB2312"/>
          <w:szCs w:val="32"/>
          <w:lang w:val="en-US" w:eastAsia="zh-CN"/>
        </w:rPr>
        <w:t>四</w:t>
      </w:r>
      <w:r>
        <w:rPr>
          <w:rFonts w:eastAsia="仿宋_GB2312"/>
          <w:szCs w:val="32"/>
        </w:rPr>
        <w:t>次会议建议</w:t>
      </w:r>
      <w:r>
        <w:rPr>
          <w:rFonts w:hint="eastAsia" w:eastAsia="仿宋_GB2312"/>
          <w:szCs w:val="32"/>
          <w:lang w:val="en-US" w:eastAsia="zh-CN"/>
        </w:rPr>
        <w:t>61</w:t>
      </w:r>
      <w:r>
        <w:rPr>
          <w:rFonts w:eastAsia="仿宋_GB2312"/>
          <w:szCs w:val="32"/>
        </w:rPr>
        <w:t>件，承办县政协十五届</w:t>
      </w:r>
      <w:r>
        <w:rPr>
          <w:rFonts w:hint="eastAsia" w:eastAsia="仿宋_GB2312"/>
          <w:szCs w:val="32"/>
          <w:lang w:val="en-US" w:eastAsia="zh-CN"/>
        </w:rPr>
        <w:t>四</w:t>
      </w:r>
      <w:r>
        <w:rPr>
          <w:rFonts w:eastAsia="仿宋_GB2312"/>
          <w:szCs w:val="32"/>
        </w:rPr>
        <w:t>次会议提案</w:t>
      </w:r>
      <w:r>
        <w:rPr>
          <w:rFonts w:hint="eastAsia" w:eastAsia="仿宋_GB2312"/>
          <w:szCs w:val="32"/>
          <w:lang w:val="en-US" w:eastAsia="zh-CN"/>
        </w:rPr>
        <w:t>127</w:t>
      </w:r>
      <w:r>
        <w:rPr>
          <w:rFonts w:eastAsia="仿宋_GB2312"/>
          <w:szCs w:val="32"/>
        </w:rPr>
        <w:t>件，办复率均为100%。除涉及国家秘密、工作秘密的，所有建议提案办理复文或摘要以及办理总体情况均在县政府门户网站建议提案办理专题中予以公开。</w:t>
      </w:r>
    </w:p>
    <w:p w14:paraId="572B99C1">
      <w:pPr>
        <w:spacing w:line="560" w:lineRule="exact"/>
        <w:ind w:firstLine="640" w:firstLineChars="200"/>
        <w:jc w:val="left"/>
        <w:rPr>
          <w:rFonts w:eastAsia="楷体_GB2312"/>
          <w:szCs w:val="32"/>
        </w:rPr>
      </w:pPr>
      <w:r>
        <w:rPr>
          <w:rFonts w:eastAsia="楷体_GB2312"/>
          <w:szCs w:val="32"/>
        </w:rPr>
        <w:t>（四）政务公开工作创新情况</w:t>
      </w:r>
    </w:p>
    <w:p w14:paraId="6B402E0F">
      <w:pPr>
        <w:spacing w:line="56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以</w:t>
      </w:r>
      <w:r>
        <w:rPr>
          <w:rFonts w:hint="eastAsia" w:eastAsia="仿宋_GB2312" w:cs="Times New Roman"/>
          <w:szCs w:val="32"/>
          <w:lang w:eastAsia="zh-CN"/>
        </w:rPr>
        <w:t>“</w:t>
      </w:r>
      <w:r>
        <w:rPr>
          <w:rFonts w:hint="eastAsia" w:ascii="Times New Roman" w:hAnsi="Times New Roman" w:eastAsia="仿宋_GB2312" w:cs="Times New Roman"/>
          <w:szCs w:val="32"/>
        </w:rPr>
        <w:t>形式创新+技术赋能</w:t>
      </w:r>
      <w:r>
        <w:rPr>
          <w:rFonts w:hint="eastAsia" w:eastAsia="仿宋_GB2312" w:cs="Times New Roman"/>
          <w:szCs w:val="32"/>
          <w:lang w:eastAsia="zh-CN"/>
        </w:rPr>
        <w:t>”</w:t>
      </w:r>
      <w:r>
        <w:rPr>
          <w:rFonts w:hint="eastAsia" w:ascii="Times New Roman" w:hAnsi="Times New Roman" w:eastAsia="仿宋_GB2312" w:cs="Times New Roman"/>
          <w:szCs w:val="32"/>
        </w:rPr>
        <w:t>双轮驱动，构建政务公开新范式。</w:t>
      </w:r>
      <w:r>
        <w:rPr>
          <w:rFonts w:hint="eastAsia" w:ascii="Times New Roman" w:hAnsi="Times New Roman" w:eastAsia="仿宋_GB2312" w:cs="Times New Roman"/>
          <w:szCs w:val="32"/>
          <w:lang w:val="en-US" w:eastAsia="zh-CN"/>
        </w:rPr>
        <w:t>县公安局</w:t>
      </w:r>
      <w:r>
        <w:rPr>
          <w:rFonts w:hint="eastAsia" w:ascii="Times New Roman" w:hAnsi="Times New Roman" w:eastAsia="仿宋_GB2312" w:cs="Times New Roman"/>
          <w:szCs w:val="32"/>
        </w:rPr>
        <w:t>依托抖音平台推出</w:t>
      </w:r>
      <w:r>
        <w:rPr>
          <w:rFonts w:hint="eastAsia" w:eastAsia="仿宋_GB2312" w:cs="Times New Roman"/>
          <w:szCs w:val="32"/>
          <w:lang w:eastAsia="zh-CN"/>
        </w:rPr>
        <w:t>“</w:t>
      </w:r>
      <w:r>
        <w:rPr>
          <w:rFonts w:hint="eastAsia" w:ascii="Times New Roman" w:hAnsi="Times New Roman" w:eastAsia="仿宋_GB2312" w:cs="Times New Roman"/>
          <w:szCs w:val="32"/>
        </w:rPr>
        <w:t>法治情景剧</w:t>
      </w:r>
      <w:r>
        <w:rPr>
          <w:rFonts w:hint="eastAsia" w:eastAsia="仿宋_GB2312" w:cs="Times New Roman"/>
          <w:szCs w:val="32"/>
          <w:lang w:eastAsia="zh-CN"/>
        </w:rPr>
        <w:t>”</w:t>
      </w:r>
      <w:r>
        <w:rPr>
          <w:rFonts w:hint="eastAsia" w:ascii="Times New Roman" w:hAnsi="Times New Roman" w:eastAsia="仿宋_GB2312" w:cs="Times New Roman"/>
          <w:szCs w:val="32"/>
        </w:rPr>
        <w:t>系列，通过反诈角色扮演、禁毒课堂问答等短视频，将法律知识转化为生活场景，开展线上反诈、禁毒、个人信息保护等宣传活动</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让抽象的法律知识“活起来”</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行政审批服务局创新接入</w:t>
      </w:r>
      <w:r>
        <w:rPr>
          <w:rFonts w:hint="eastAsia" w:eastAsia="仿宋_GB2312" w:cs="Times New Roman"/>
          <w:szCs w:val="32"/>
          <w:lang w:eastAsia="zh-CN"/>
        </w:rPr>
        <w:t>“</w:t>
      </w:r>
      <w:r>
        <w:rPr>
          <w:rFonts w:hint="eastAsia" w:ascii="Times New Roman" w:hAnsi="Times New Roman" w:eastAsia="仿宋_GB2312" w:cs="Times New Roman"/>
          <w:szCs w:val="32"/>
        </w:rPr>
        <w:t>腾讯元宝</w:t>
      </w:r>
      <w:r>
        <w:rPr>
          <w:rFonts w:hint="eastAsia" w:eastAsia="仿宋_GB2312" w:cs="Times New Roman"/>
          <w:szCs w:val="32"/>
          <w:lang w:eastAsia="zh-CN"/>
        </w:rPr>
        <w:t>”</w:t>
      </w:r>
      <w:r>
        <w:rPr>
          <w:rFonts w:hint="eastAsia" w:ascii="Times New Roman" w:hAnsi="Times New Roman" w:eastAsia="仿宋_GB2312" w:cs="Times New Roman"/>
          <w:szCs w:val="32"/>
        </w:rPr>
        <w:t>AI助手，</w:t>
      </w:r>
      <w:r>
        <w:rPr>
          <w:rFonts w:hint="eastAsia" w:ascii="Times New Roman" w:hAnsi="Times New Roman" w:eastAsia="仿宋_GB2312" w:cs="Times New Roman"/>
          <w:szCs w:val="32"/>
          <w:lang w:val="en-US" w:eastAsia="zh-CN"/>
        </w:rPr>
        <w:t>建立</w:t>
      </w:r>
      <w:r>
        <w:rPr>
          <w:rFonts w:hint="eastAsia" w:eastAsia="仿宋_GB2312" w:cs="Times New Roman"/>
          <w:szCs w:val="32"/>
          <w:lang w:val="en-US" w:eastAsia="zh-CN"/>
        </w:rPr>
        <w:t>“</w:t>
      </w:r>
      <w:r>
        <w:rPr>
          <w:rFonts w:hint="eastAsia" w:ascii="Times New Roman" w:hAnsi="Times New Roman" w:eastAsia="仿宋_GB2312" w:cs="Times New Roman"/>
          <w:szCs w:val="32"/>
        </w:rPr>
        <w:t>黄河安澜 政务安心</w:t>
      </w:r>
      <w:r>
        <w:rPr>
          <w:rFonts w:hint="eastAsia" w:eastAsia="仿宋_GB2312" w:cs="Times New Roman"/>
          <w:szCs w:val="32"/>
          <w:lang w:val="en-US" w:eastAsia="zh-CN"/>
        </w:rPr>
        <w:t>”</w:t>
      </w:r>
      <w:r>
        <w:rPr>
          <w:rFonts w:hint="eastAsia" w:ascii="Times New Roman" w:hAnsi="Times New Roman" w:eastAsia="仿宋_GB2312" w:cs="Times New Roman"/>
          <w:szCs w:val="32"/>
        </w:rPr>
        <w:t>智能体，搭建市场准入领域专属知识库，“秒级回应”药品经营许可、市场主体登记、法律政策咨询等高频政务问题，开启政务服务AI“智办”新模式，实现“一号咨询”即时响应。</w:t>
      </w:r>
    </w:p>
    <w:p w14:paraId="56231384">
      <w:pPr>
        <w:spacing w:line="560" w:lineRule="exact"/>
        <w:ind w:firstLine="640" w:firstLineChars="200"/>
        <w:jc w:val="left"/>
        <w:rPr>
          <w:rFonts w:eastAsia="楷体_GB2312"/>
          <w:szCs w:val="32"/>
        </w:rPr>
      </w:pPr>
      <w:r>
        <w:rPr>
          <w:rFonts w:eastAsia="楷体_GB2312"/>
          <w:szCs w:val="32"/>
        </w:rPr>
        <w:t>（五）有关数据统计说明</w:t>
      </w:r>
    </w:p>
    <w:p w14:paraId="7F2B936D">
      <w:pPr>
        <w:spacing w:line="560" w:lineRule="exact"/>
        <w:ind w:firstLine="640" w:firstLineChars="200"/>
        <w:rPr>
          <w:rFonts w:eastAsia="仿宋_GB2312"/>
          <w:szCs w:val="32"/>
        </w:rPr>
      </w:pPr>
      <w:r>
        <w:rPr>
          <w:rFonts w:eastAsia="仿宋_GB2312"/>
          <w:szCs w:val="32"/>
        </w:rPr>
        <w:t>1. 报告中所列数据可能因四舍五入原因与数据直接相加之和存在尾数差异。</w:t>
      </w:r>
    </w:p>
    <w:p w14:paraId="7510CFF8">
      <w:pPr>
        <w:spacing w:line="560" w:lineRule="exact"/>
        <w:ind w:firstLine="640" w:firstLineChars="200"/>
        <w:rPr>
          <w:rFonts w:eastAsia="仿宋_GB2312"/>
          <w:szCs w:val="32"/>
        </w:rPr>
      </w:pPr>
      <w:r>
        <w:rPr>
          <w:rFonts w:eastAsia="仿宋_GB2312"/>
          <w:szCs w:val="32"/>
        </w:rPr>
        <w:t>2. 行政许可数量、行政处罚和行政强制数量，包括已公开和依法未公开的全部处理决定。</w:t>
      </w:r>
    </w:p>
    <w:p w14:paraId="3A65E52A">
      <w:pPr>
        <w:spacing w:line="560" w:lineRule="exact"/>
        <w:ind w:firstLine="640" w:firstLineChars="200"/>
        <w:rPr>
          <w:rFonts w:eastAsia="仿宋_GB2312"/>
          <w:szCs w:val="32"/>
        </w:rPr>
      </w:pPr>
      <w:r>
        <w:rPr>
          <w:rFonts w:eastAsia="仿宋_GB2312"/>
          <w:szCs w:val="32"/>
        </w:rPr>
        <w:t>3. 行政复议机关作为共同被告的行政诉讼案件，只计算原行为主体的案件数量，不计算行政复议机关的案件数量。</w:t>
      </w:r>
    </w:p>
    <w:p w14:paraId="1B4827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val="en-US"/>
        </w:rPr>
        <w:t> </w:t>
      </w:r>
    </w:p>
    <w:p w14:paraId="256B3FF8">
      <w:pPr>
        <w:spacing w:line="560" w:lineRule="exact"/>
        <w:ind w:firstLine="640" w:firstLineChars="200"/>
        <w:rPr>
          <w:rFonts w:ascii="Times New Roman" w:hAnsi="Times New Roman" w:eastAsia="仿宋_GB2312" w:cs="Times New Roman"/>
          <w:szCs w:val="32"/>
        </w:rPr>
      </w:pP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558"/>
      <w:docPartObj>
        <w:docPartGallery w:val="autotext"/>
      </w:docPartObj>
    </w:sdtPr>
    <w:sdtContent>
      <w:p w14:paraId="55536E0A">
        <w:pPr>
          <w:pStyle w:val="5"/>
          <w:jc w:val="center"/>
        </w:pPr>
        <w:r>
          <w:fldChar w:fldCharType="begin"/>
        </w:r>
        <w:r>
          <w:instrText xml:space="preserve">PAGE   \* MERGEFORMAT</w:instrText>
        </w:r>
        <w:r>
          <w:fldChar w:fldCharType="separate"/>
        </w:r>
        <w:r>
          <w:rPr>
            <w:lang w:val="zh-CN"/>
          </w:rPr>
          <w:t>1</w:t>
        </w:r>
        <w:r>
          <w:fldChar w:fldCharType="end"/>
        </w:r>
      </w:p>
    </w:sdtContent>
  </w:sdt>
  <w:p w14:paraId="25B143D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757E8"/>
    <w:rsid w:val="00075C28"/>
    <w:rsid w:val="00110130"/>
    <w:rsid w:val="00117733"/>
    <w:rsid w:val="00121DCF"/>
    <w:rsid w:val="00210F4D"/>
    <w:rsid w:val="00211942"/>
    <w:rsid w:val="002133C7"/>
    <w:rsid w:val="002961F2"/>
    <w:rsid w:val="002D1305"/>
    <w:rsid w:val="002E3543"/>
    <w:rsid w:val="00316CA1"/>
    <w:rsid w:val="00366B74"/>
    <w:rsid w:val="003B5255"/>
    <w:rsid w:val="003D6FCB"/>
    <w:rsid w:val="003E75A6"/>
    <w:rsid w:val="00415AB1"/>
    <w:rsid w:val="00441406"/>
    <w:rsid w:val="004622F8"/>
    <w:rsid w:val="004C1750"/>
    <w:rsid w:val="004D241E"/>
    <w:rsid w:val="00515DB1"/>
    <w:rsid w:val="00523855"/>
    <w:rsid w:val="005422B3"/>
    <w:rsid w:val="00591E5D"/>
    <w:rsid w:val="005B13CD"/>
    <w:rsid w:val="005C0F41"/>
    <w:rsid w:val="005D4EB6"/>
    <w:rsid w:val="0065765D"/>
    <w:rsid w:val="00673AC7"/>
    <w:rsid w:val="006947A5"/>
    <w:rsid w:val="00704FCD"/>
    <w:rsid w:val="007927EC"/>
    <w:rsid w:val="00855682"/>
    <w:rsid w:val="008812AC"/>
    <w:rsid w:val="008C4ED2"/>
    <w:rsid w:val="00915D0B"/>
    <w:rsid w:val="00996127"/>
    <w:rsid w:val="009B028C"/>
    <w:rsid w:val="00A928E2"/>
    <w:rsid w:val="00B55373"/>
    <w:rsid w:val="00B55E96"/>
    <w:rsid w:val="00BD0046"/>
    <w:rsid w:val="00BE3B41"/>
    <w:rsid w:val="00C3778D"/>
    <w:rsid w:val="00C461B5"/>
    <w:rsid w:val="00C542CC"/>
    <w:rsid w:val="00C67940"/>
    <w:rsid w:val="00C73BD0"/>
    <w:rsid w:val="00CC2BE7"/>
    <w:rsid w:val="00CC521B"/>
    <w:rsid w:val="00CD1D00"/>
    <w:rsid w:val="00D078CF"/>
    <w:rsid w:val="00D234BA"/>
    <w:rsid w:val="00D870B2"/>
    <w:rsid w:val="00D93ACC"/>
    <w:rsid w:val="00E01BAD"/>
    <w:rsid w:val="00E50639"/>
    <w:rsid w:val="00E60B5D"/>
    <w:rsid w:val="00E96EE8"/>
    <w:rsid w:val="00EA0721"/>
    <w:rsid w:val="00ED2963"/>
    <w:rsid w:val="00EF5607"/>
    <w:rsid w:val="00F70DD4"/>
    <w:rsid w:val="00FA216A"/>
    <w:rsid w:val="00FD5381"/>
    <w:rsid w:val="08084059"/>
    <w:rsid w:val="0C013622"/>
    <w:rsid w:val="12E44576"/>
    <w:rsid w:val="14D92988"/>
    <w:rsid w:val="158C796B"/>
    <w:rsid w:val="19C42189"/>
    <w:rsid w:val="1B484FD0"/>
    <w:rsid w:val="2200001F"/>
    <w:rsid w:val="23971A56"/>
    <w:rsid w:val="2C7D3BD5"/>
    <w:rsid w:val="2F271BCF"/>
    <w:rsid w:val="3B185E78"/>
    <w:rsid w:val="3DB64D77"/>
    <w:rsid w:val="49DD6711"/>
    <w:rsid w:val="4F2157BD"/>
    <w:rsid w:val="56DC2E51"/>
    <w:rsid w:val="5C270EC2"/>
    <w:rsid w:val="60E867C1"/>
    <w:rsid w:val="617C1CB0"/>
    <w:rsid w:val="61AB7676"/>
    <w:rsid w:val="625219F0"/>
    <w:rsid w:val="63402A5C"/>
    <w:rsid w:val="64726987"/>
    <w:rsid w:val="698E6A7D"/>
    <w:rsid w:val="69E1643F"/>
    <w:rsid w:val="6ACB7804"/>
    <w:rsid w:val="6EF36ECC"/>
    <w:rsid w:val="71A942DE"/>
    <w:rsid w:val="73192934"/>
    <w:rsid w:val="757108D4"/>
    <w:rsid w:val="75DB7DB4"/>
    <w:rsid w:val="76F667DF"/>
    <w:rsid w:val="78084F43"/>
    <w:rsid w:val="7A2050ED"/>
    <w:rsid w:val="7A7D454C"/>
    <w:rsid w:val="7CA06B4C"/>
    <w:rsid w:val="7F95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ind w:firstLine="200" w:firstLineChars="200"/>
      <w:jc w:val="left"/>
      <w:outlineLvl w:val="0"/>
    </w:pPr>
    <w:rPr>
      <w:rFonts w:ascii="Calibri Light" w:hAnsi="Calibri Light" w:eastAsia="黑体" w:cs="Times New Roman"/>
      <w:b/>
      <w:bCs/>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customStyle="1" w:styleId="12">
    <w:name w:val="页眉 Char"/>
    <w:basedOn w:val="10"/>
    <w:link w:val="6"/>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5"/>
    <w:qFormat/>
    <w:uiPriority w:val="99"/>
    <w:rPr>
      <w:rFonts w:ascii="Times New Roman" w:hAnsi="Times New Roman" w:eastAsia="方正仿宋_GBK" w:cs="Times New Roman"/>
      <w:snapToGrid w:val="0"/>
      <w:kern w:val="0"/>
      <w:sz w:val="18"/>
      <w:szCs w:val="18"/>
    </w:rPr>
  </w:style>
  <w:style w:type="character" w:customStyle="1" w:styleId="14">
    <w:name w:val="日期 Char"/>
    <w:basedOn w:val="10"/>
    <w:link w:val="3"/>
    <w:semiHidden/>
    <w:qFormat/>
    <w:uiPriority w:val="99"/>
    <w:rPr>
      <w:rFonts w:ascii="Times New Roman" w:hAnsi="Times New Roman" w:eastAsia="方正仿宋_GBK" w:cs="Times New Roman"/>
      <w:snapToGrid w:val="0"/>
      <w:kern w:val="0"/>
      <w:sz w:val="32"/>
      <w:szCs w:val="20"/>
    </w:rPr>
  </w:style>
  <w:style w:type="character" w:customStyle="1" w:styleId="15">
    <w:name w:val="批注框文本 Char"/>
    <w:basedOn w:val="10"/>
    <w:link w:val="4"/>
    <w:semiHidden/>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4097</Words>
  <Characters>4315</Characters>
  <Lines>38</Lines>
  <Paragraphs>10</Paragraphs>
  <TotalTime>9</TotalTime>
  <ScaleCrop>false</ScaleCrop>
  <LinksUpToDate>false</LinksUpToDate>
  <CharactersWithSpaces>4320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cp:lastPrinted>2025-01-27T01:37:00Z</cp:lastPrinted>
  <dcterms:modified xsi:type="dcterms:W3CDTF">2026-02-10T01:33:38Z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2052-12.1.0.25225</vt:lpwstr>
  </property>
  <property fmtid="{D5CDD505-2E9C-101B-9397-08002B2CF9AE}" pid="4" name="ICV">
    <vt:lpwstr>806FC4CECF394F69BE2FB91B62C08EE3_12</vt:lpwstr>
  </property>
</Properties>
</file>