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高青县常家镇人民政府</w:t>
      </w:r>
    </w:p>
    <w:p>
      <w:pPr>
        <w:spacing w:line="560" w:lineRule="exact"/>
        <w:ind w:firstLine="0"/>
        <w:jc w:val="center"/>
        <w:rPr>
          <w:rFonts w:ascii="方正小标宋简体" w:hAnsi="方正小标宋简体" w:eastAsia="方正小标宋简体" w:cs="方正小标宋简体"/>
          <w:sz w:val="44"/>
          <w:szCs w:val="44"/>
        </w:rPr>
      </w:pPr>
      <w:r>
        <w:rPr>
          <w:rFonts w:eastAsia="方正小标宋简体"/>
          <w:sz w:val="44"/>
          <w:szCs w:val="44"/>
        </w:rPr>
        <w:t>2023</w:t>
      </w:r>
      <w:r>
        <w:rPr>
          <w:rFonts w:hint="eastAsia" w:ascii="方正小标宋简体" w:hAnsi="方正小标宋简体" w:eastAsia="方正小标宋简体" w:cs="方正小标宋简体"/>
          <w:sz w:val="44"/>
          <w:szCs w:val="44"/>
        </w:rPr>
        <w:t>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w:t>
      </w:r>
      <w:r>
        <w:rPr>
          <w:rFonts w:eastAsia="仿宋_GB2312"/>
        </w:rPr>
        <w:t>711</w:t>
      </w:r>
      <w:r>
        <w:rPr>
          <w:rFonts w:hint="eastAsia" w:ascii="仿宋_GB2312" w:eastAsia="仿宋_GB2312"/>
        </w:rPr>
        <w:t>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eastAsia="仿宋_GB2312"/>
          <w:szCs w:val="32"/>
        </w:rPr>
        <w:t>2021</w:t>
      </w:r>
      <w:r>
        <w:rPr>
          <w:rFonts w:ascii="仿宋_GB2312" w:eastAsia="仿宋_GB2312"/>
          <w:szCs w:val="32"/>
        </w:rPr>
        <w:t>〕</w:t>
      </w:r>
      <w:r>
        <w:rPr>
          <w:rFonts w:eastAsia="仿宋_GB2312"/>
          <w:szCs w:val="32"/>
        </w:rPr>
        <w:t>30</w:t>
      </w:r>
      <w:r>
        <w:rPr>
          <w:rFonts w:ascii="仿宋_GB2312" w:eastAsia="仿宋_GB2312"/>
          <w:szCs w:val="32"/>
        </w:rPr>
        <w:t>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w:t>
      </w:r>
      <w:r>
        <w:rPr>
          <w:rFonts w:eastAsia="仿宋_GB2312"/>
        </w:rPr>
        <w:t>2023</w:t>
      </w:r>
      <w:r>
        <w:rPr>
          <w:rFonts w:hint="eastAsia" w:ascii="仿宋_GB2312" w:eastAsia="仿宋_GB2312"/>
        </w:rPr>
        <w:t>年</w:t>
      </w:r>
      <w:r>
        <w:rPr>
          <w:rFonts w:eastAsia="仿宋_GB2312"/>
        </w:rPr>
        <w:t>1</w:t>
      </w:r>
      <w:r>
        <w:rPr>
          <w:rFonts w:hint="eastAsia" w:ascii="仿宋_GB2312" w:eastAsia="仿宋_GB2312"/>
        </w:rPr>
        <w:t>月</w:t>
      </w:r>
      <w:r>
        <w:rPr>
          <w:rFonts w:eastAsia="仿宋_GB2312"/>
        </w:rPr>
        <w:t>1</w:t>
      </w:r>
      <w:r>
        <w:rPr>
          <w:rFonts w:hint="eastAsia" w:ascii="仿宋_GB2312" w:eastAsia="仿宋_GB2312"/>
        </w:rPr>
        <w:t>日始，至</w:t>
      </w:r>
      <w:r>
        <w:rPr>
          <w:rFonts w:eastAsia="仿宋_GB2312"/>
        </w:rPr>
        <w:t>2023</w:t>
      </w:r>
      <w:r>
        <w:rPr>
          <w:rFonts w:hint="eastAsia" w:ascii="仿宋_GB2312" w:eastAsia="仿宋_GB2312"/>
        </w:rPr>
        <w:t>年</w:t>
      </w:r>
      <w:r>
        <w:rPr>
          <w:rFonts w:eastAsia="仿宋_GB2312"/>
        </w:rPr>
        <w:t>12</w:t>
      </w:r>
      <w:r>
        <w:rPr>
          <w:rFonts w:hint="eastAsia" w:ascii="仿宋_GB2312" w:eastAsia="仿宋_GB2312"/>
        </w:rPr>
        <w:t>月</w:t>
      </w:r>
      <w:r>
        <w:rPr>
          <w:rFonts w:eastAsia="仿宋_GB2312"/>
        </w:rPr>
        <w:t>31</w:t>
      </w:r>
      <w:r>
        <w:rPr>
          <w:rFonts w:hint="eastAsia" w:ascii="仿宋_GB2312" w:eastAsia="仿宋_GB2312"/>
        </w:rPr>
        <w:t>日止。报告电子版可在高青县人民政府门户网站（www.gaoqing.gov.cn）查阅和下载。如对报告内容有疑问，请与高青县常家镇人民政府党政办公室联系（山东省淄博市高青县常家镇人民政府；邮编：</w:t>
      </w:r>
      <w:r>
        <w:rPr>
          <w:rFonts w:eastAsia="仿宋_GB2312"/>
        </w:rPr>
        <w:t>256309</w:t>
      </w:r>
      <w:r>
        <w:rPr>
          <w:rFonts w:hint="eastAsia" w:ascii="仿宋_GB2312" w:eastAsia="仿宋_GB2312"/>
        </w:rPr>
        <w:t>；电话：</w:t>
      </w:r>
      <w:r>
        <w:rPr>
          <w:rFonts w:eastAsia="仿宋_GB2312"/>
        </w:rPr>
        <w:t>0533</w:t>
      </w:r>
      <w:r>
        <w:rPr>
          <w:rFonts w:hint="eastAsia" w:ascii="仿宋_GB2312" w:eastAsia="仿宋_GB2312"/>
        </w:rPr>
        <w:t>-</w:t>
      </w:r>
      <w:r>
        <w:rPr>
          <w:rFonts w:eastAsia="仿宋_GB2312"/>
        </w:rPr>
        <w:t>6970767</w:t>
      </w:r>
      <w:r>
        <w:rPr>
          <w:rFonts w:hint="eastAsia" w:ascii="仿宋_GB2312" w:eastAsia="仿宋_GB2312"/>
        </w:rPr>
        <w:t>；传真：</w:t>
      </w:r>
      <w:r>
        <w:rPr>
          <w:rFonts w:eastAsia="仿宋_GB2312"/>
        </w:rPr>
        <w:t>0533</w:t>
      </w:r>
      <w:r>
        <w:rPr>
          <w:rFonts w:hint="eastAsia" w:ascii="仿宋_GB2312" w:eastAsia="仿宋_GB2312"/>
        </w:rPr>
        <w:t>-</w:t>
      </w:r>
      <w:r>
        <w:rPr>
          <w:rFonts w:eastAsia="仿宋_GB2312"/>
        </w:rPr>
        <w:t>6970767</w:t>
      </w:r>
      <w:r>
        <w:rPr>
          <w:rFonts w:hint="eastAsia" w:ascii="仿宋_GB2312" w:eastAsia="仿宋_GB2312"/>
        </w:rPr>
        <w:t>；电子邮箱：gqxcjz@zb.shandong.cn）。</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rPr>
          <w:rFonts w:ascii="仿宋_GB2312" w:eastAsia="仿宋_GB2312"/>
        </w:rPr>
      </w:pPr>
      <w:r>
        <w:rPr>
          <w:rFonts w:eastAsia="仿宋_GB2312"/>
        </w:rPr>
        <w:t>2023</w:t>
      </w:r>
      <w:r>
        <w:rPr>
          <w:rFonts w:hint="eastAsia" w:ascii="仿宋_GB2312" w:eastAsia="仿宋_GB2312"/>
        </w:rPr>
        <w:t>年，高青县常家镇人民政府坚持以习近平新时代中国特色社会主义思想为指导，坚持把政务公开作为促进依法行政的重要抓手，持续做好主动公开、依申请公开、政策解读、回应关切各项工作，不断提升信息公开的</w:t>
      </w:r>
      <w:r>
        <w:rPr>
          <w:rFonts w:ascii="仿宋_GB2312" w:eastAsia="仿宋_GB2312"/>
        </w:rPr>
        <w:t>“</w:t>
      </w:r>
      <w:r>
        <w:rPr>
          <w:rFonts w:hint="eastAsia" w:ascii="仿宋_GB2312" w:eastAsia="仿宋_GB2312"/>
        </w:rPr>
        <w:t>含金量</w:t>
      </w:r>
      <w:r>
        <w:rPr>
          <w:rFonts w:ascii="仿宋_GB2312" w:eastAsia="仿宋_GB2312"/>
        </w:rPr>
        <w:t>”</w:t>
      </w:r>
      <w:r>
        <w:rPr>
          <w:rFonts w:hint="eastAsia" w:ascii="仿宋_GB2312" w:eastAsia="仿宋_GB2312"/>
        </w:rPr>
        <w:t>，政务公开工作取得明显实效。</w:t>
      </w:r>
    </w:p>
    <w:p>
      <w:pPr>
        <w:spacing w:line="56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rPr>
      </w:pPr>
      <w:r>
        <w:rPr>
          <w:rFonts w:hint="eastAsia" w:ascii="仿宋_GB2312" w:eastAsia="仿宋_GB2312"/>
        </w:rPr>
        <w:t>制发《高青县常家镇</w:t>
      </w:r>
      <w:r>
        <w:rPr>
          <w:rFonts w:eastAsia="仿宋_GB2312"/>
        </w:rPr>
        <w:t>2023</w:t>
      </w:r>
      <w:r>
        <w:rPr>
          <w:rFonts w:hint="eastAsia" w:eastAsia="仿宋_GB2312"/>
        </w:rPr>
        <w:t>年</w:t>
      </w:r>
      <w:r>
        <w:rPr>
          <w:rFonts w:hint="eastAsia" w:ascii="仿宋_GB2312" w:eastAsia="仿宋_GB2312"/>
        </w:rPr>
        <w:t>政务公开工作实施方案》，围绕乡村振兴、城乡低保、特困救助等方面，做好群众关心关注关切的重点领域信息公开工作。</w:t>
      </w:r>
      <w:r>
        <w:rPr>
          <w:rFonts w:hint="eastAsia" w:eastAsia="仿宋_GB2312"/>
        </w:rPr>
        <w:t>2023</w:t>
      </w:r>
      <w:r>
        <w:rPr>
          <w:rFonts w:hint="eastAsia" w:ascii="仿宋_GB2312" w:eastAsia="仿宋_GB2312"/>
        </w:rPr>
        <w:t>年公开信息</w:t>
      </w:r>
      <w:r>
        <w:rPr>
          <w:rFonts w:eastAsia="仿宋_GB2312"/>
        </w:rPr>
        <w:t>500</w:t>
      </w:r>
      <w:r>
        <w:rPr>
          <w:rFonts w:hint="eastAsia" w:ascii="仿宋_GB2312" w:eastAsia="仿宋_GB2312"/>
        </w:rPr>
        <w:t>余条，比上年度增加</w:t>
      </w:r>
      <w:r>
        <w:rPr>
          <w:rFonts w:eastAsia="仿宋_GB2312"/>
        </w:rPr>
        <w:t>40</w:t>
      </w:r>
      <w:r>
        <w:rPr>
          <w:rFonts w:hint="eastAsia" w:ascii="仿宋_GB2312" w:eastAsia="仿宋_GB2312"/>
        </w:rPr>
        <w:t>%，其中通过政府网站公开信息</w:t>
      </w:r>
      <w:r>
        <w:rPr>
          <w:rFonts w:eastAsia="仿宋_GB2312"/>
        </w:rPr>
        <w:t>130</w:t>
      </w:r>
      <w:r>
        <w:rPr>
          <w:rFonts w:hint="eastAsia" w:eastAsia="仿宋_GB2312"/>
        </w:rPr>
        <w:t>余</w:t>
      </w:r>
      <w:r>
        <w:rPr>
          <w:rFonts w:hint="eastAsia" w:ascii="仿宋_GB2312" w:eastAsia="仿宋_GB2312"/>
        </w:rPr>
        <w:t>条，通过政务新媒体公开信息</w:t>
      </w:r>
      <w:r>
        <w:rPr>
          <w:rFonts w:eastAsia="仿宋_GB2312"/>
        </w:rPr>
        <w:t>3</w:t>
      </w:r>
      <w:r>
        <w:rPr>
          <w:rFonts w:hint="eastAsia" w:eastAsia="仿宋_GB2312"/>
        </w:rPr>
        <w:t>00余</w:t>
      </w:r>
      <w:r>
        <w:rPr>
          <w:rFonts w:hint="eastAsia" w:ascii="仿宋_GB2312" w:eastAsia="仿宋_GB2312"/>
        </w:rPr>
        <w:t>条，通过其他方式公开信息</w:t>
      </w:r>
      <w:r>
        <w:rPr>
          <w:rFonts w:eastAsia="仿宋_GB2312"/>
        </w:rPr>
        <w:t>70</w:t>
      </w:r>
      <w:r>
        <w:rPr>
          <w:rFonts w:hint="eastAsia" w:ascii="仿宋_GB2312" w:eastAsia="仿宋_GB2312"/>
        </w:rPr>
        <w:t>余条。综合运用政策问答、图解、视频、动漫等形式对政策文件开展全面解读，发布政策解读材料</w:t>
      </w:r>
      <w:r>
        <w:rPr>
          <w:rFonts w:eastAsia="仿宋_GB2312"/>
        </w:rPr>
        <w:t>3</w:t>
      </w:r>
      <w:r>
        <w:rPr>
          <w:rFonts w:hint="eastAsia" w:ascii="仿宋_GB2312" w:eastAsia="仿宋_GB2312"/>
        </w:rPr>
        <w:t>篇。积极回应公众关心关切，</w:t>
      </w:r>
      <w:r>
        <w:rPr>
          <w:rFonts w:eastAsia="仿宋_GB2312"/>
          <w:szCs w:val="32"/>
        </w:rPr>
        <w:t>12345</w:t>
      </w:r>
      <w:r>
        <w:rPr>
          <w:rFonts w:hint="eastAsia" w:ascii="仿宋_GB2312" w:hAnsi="仿宋_GB2312" w:eastAsia="仿宋_GB2312" w:cs="仿宋_GB2312"/>
          <w:szCs w:val="32"/>
        </w:rPr>
        <w:t>政务服务热线共接收办理</w:t>
      </w:r>
      <w:r>
        <w:rPr>
          <w:rFonts w:eastAsia="仿宋_GB2312"/>
          <w:szCs w:val="32"/>
        </w:rPr>
        <w:t>2424</w:t>
      </w:r>
      <w:r>
        <w:rPr>
          <w:rFonts w:hint="eastAsia" w:ascii="仿宋_GB2312" w:hAnsi="仿宋_GB2312" w:eastAsia="仿宋_GB2312" w:cs="仿宋_GB2312"/>
          <w:szCs w:val="32"/>
        </w:rPr>
        <w:t>件，满意率达</w:t>
      </w:r>
      <w:r>
        <w:rPr>
          <w:rFonts w:eastAsia="仿宋_GB2312"/>
        </w:rPr>
        <w:t>95</w:t>
      </w:r>
      <w:r>
        <w:rPr>
          <w:rFonts w:hint="eastAsia" w:ascii="仿宋_GB2312" w:eastAsia="仿宋_GB2312"/>
        </w:rPr>
        <w:t>%。</w:t>
      </w:r>
    </w:p>
    <w:p>
      <w:pPr>
        <w:spacing w:line="560" w:lineRule="exact"/>
        <w:jc w:val="left"/>
        <w:rPr>
          <w:rFonts w:ascii="楷体_GB2312" w:eastAsia="楷体_GB2312"/>
        </w:rPr>
      </w:pPr>
      <w:r>
        <w:rPr>
          <w:rFonts w:hint="eastAsia" w:ascii="楷体_GB2312" w:eastAsia="楷体_GB2312"/>
        </w:rPr>
        <w:drawing>
          <wp:anchor distT="0" distB="0" distL="114300" distR="114300" simplePos="0" relativeHeight="251659264" behindDoc="0" locked="0" layoutInCell="1" allowOverlap="1">
            <wp:simplePos x="0" y="0"/>
            <wp:positionH relativeFrom="column">
              <wp:posOffset>524510</wp:posOffset>
            </wp:positionH>
            <wp:positionV relativeFrom="paragraph">
              <wp:posOffset>51435</wp:posOffset>
            </wp:positionV>
            <wp:extent cx="4460240" cy="2496185"/>
            <wp:effectExtent l="4445" t="4445" r="12065" b="139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60" w:lineRule="exact"/>
        <w:jc w:val="left"/>
        <w:rPr>
          <w:rFonts w:ascii="楷体_GB2312" w:eastAsia="楷体_GB2312"/>
        </w:rPr>
      </w:pPr>
    </w:p>
    <w:p>
      <w:pPr>
        <w:spacing w:line="560" w:lineRule="exact"/>
        <w:jc w:val="left"/>
        <w:rPr>
          <w:rFonts w:ascii="楷体_GB2312" w:eastAsia="楷体_GB2312"/>
        </w:rPr>
      </w:pPr>
    </w:p>
    <w:p>
      <w:pPr>
        <w:spacing w:line="560" w:lineRule="exact"/>
        <w:ind w:firstLine="0"/>
        <w:jc w:val="left"/>
        <w:rPr>
          <w:rFonts w:ascii="楷体_GB2312" w:eastAsia="楷体_GB2312"/>
        </w:rPr>
      </w:pPr>
    </w:p>
    <w:p>
      <w:pPr>
        <w:spacing w:line="560" w:lineRule="exact"/>
        <w:jc w:val="left"/>
        <w:rPr>
          <w:rFonts w:ascii="楷体_GB2312" w:eastAsia="楷体_GB2312"/>
        </w:rPr>
      </w:pPr>
    </w:p>
    <w:p>
      <w:pPr>
        <w:spacing w:line="560" w:lineRule="exact"/>
        <w:jc w:val="left"/>
        <w:rPr>
          <w:rFonts w:ascii="楷体_GB2312" w:eastAsia="楷体_GB2312"/>
        </w:rPr>
      </w:pPr>
    </w:p>
    <w:p>
      <w:pPr>
        <w:spacing w:line="560" w:lineRule="exact"/>
        <w:jc w:val="left"/>
        <w:rPr>
          <w:rFonts w:ascii="楷体_GB2312" w:eastAsia="楷体_GB2312"/>
        </w:rPr>
      </w:pPr>
    </w:p>
    <w:p>
      <w:pPr>
        <w:spacing w:line="56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rPr>
        <w:t>严格规范依申请公开办理程序，明确了从申请受理、登记、办理、审核、答复、归档等一系列流程的责任分工，真正实现流程清晰、责任到人。</w:t>
      </w:r>
      <w:r>
        <w:rPr>
          <w:rFonts w:hint="eastAsia" w:eastAsia="仿宋_GB2312"/>
        </w:rPr>
        <w:t>2023</w:t>
      </w:r>
      <w:r>
        <w:rPr>
          <w:rFonts w:hint="eastAsia" w:ascii="仿宋_GB2312" w:eastAsia="仿宋_GB2312"/>
          <w:szCs w:val="32"/>
        </w:rPr>
        <w:t>年未收到政府信息公开申请，上年度结转</w:t>
      </w:r>
      <w:r>
        <w:rPr>
          <w:rFonts w:hint="eastAsia" w:eastAsia="仿宋_GB2312"/>
        </w:rPr>
        <w:t>0</w:t>
      </w:r>
      <w:r>
        <w:rPr>
          <w:rFonts w:hint="eastAsia" w:ascii="仿宋_GB2312" w:eastAsia="仿宋_GB2312"/>
          <w:szCs w:val="32"/>
        </w:rPr>
        <w:t>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动态调整更新政府信息主动公开基本目录，新增“县十八届人大二次会议”“县政协十五届二次会议”等目录。</w:t>
      </w:r>
      <w:r>
        <w:rPr>
          <w:rFonts w:hint="eastAsia" w:ascii="仿宋_GB2312" w:eastAsia="仿宋_GB2312"/>
          <w:color w:val="000000" w:themeColor="text1"/>
          <w:szCs w:val="32"/>
          <w14:textFill>
            <w14:solidFill>
              <w14:schemeClr w14:val="tx1"/>
            </w14:solidFill>
          </w14:textFill>
        </w:rPr>
        <w:t>加强信息公开前的审核力度，建立政策文件定期评估、清理机制，进行信息动态管理。</w:t>
      </w:r>
      <w:r>
        <w:rPr>
          <w:rFonts w:hint="eastAsia" w:ascii="仿宋_GB2312" w:eastAsia="仿宋_GB2312"/>
          <w:szCs w:val="32"/>
        </w:rPr>
        <w:t>制定《常家镇政府信息公开保密审查制度》，严格遵循“先审查、后公开，谁公开、谁负责”原则，严格做到依法、及时、全面、准确、合理，确保政府信息安全。</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szCs w:val="32"/>
        </w:rPr>
      </w:pPr>
      <w:r>
        <w:rPr>
          <w:rFonts w:hint="eastAsia" w:ascii="仿宋_GB2312" w:eastAsia="仿宋_GB2312"/>
          <w:szCs w:val="32"/>
        </w:rPr>
        <w:t>多次优化调整</w:t>
      </w:r>
      <w:r>
        <w:rPr>
          <w:rFonts w:hint="eastAsia" w:eastAsia="仿宋_GB2312"/>
        </w:rPr>
        <w:t>政府网站政务公开</w:t>
      </w:r>
      <w:r>
        <w:rPr>
          <w:rFonts w:hint="eastAsia" w:ascii="仿宋_GB2312" w:eastAsia="仿宋_GB2312"/>
          <w:szCs w:val="32"/>
        </w:rPr>
        <w:t>栏目设置，细化“规划计划”“政策解读”等栏目分类。强化政务新媒体管理，在“常家镇人民政府”微信公众号开设“便民服务”栏目，公开各类政务服务事项的办事指南等信息。依托便民服务大厅设立政府信息公开专区。专区集信息查询、事项办理等多种功能为一体，打通服务群众的“最后一公里”。</w:t>
      </w:r>
    </w:p>
    <w:p>
      <w:pPr>
        <w:spacing w:line="56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黑体" w:hAnsi="黑体" w:eastAsia="黑体"/>
          <w:szCs w:val="32"/>
        </w:rPr>
      </w:pPr>
      <w:r>
        <w:rPr>
          <w:rFonts w:hint="eastAsia" w:ascii="仿宋_GB2312" w:eastAsia="仿宋_GB2312"/>
          <w:szCs w:val="32"/>
        </w:rPr>
        <w:t>进一步完善政务公开的组织领导机制，调整政务公开领导小组，由镇党委书记总牵头，由分管负责人具体负责。领导小组成员由各科室、管区负责人构成，定期召开会议研究部署政务公开工作。领导小组下设办公室于镇党政办，由</w:t>
      </w:r>
      <w:r>
        <w:rPr>
          <w:rFonts w:hint="eastAsia" w:eastAsia="仿宋_GB2312"/>
        </w:rPr>
        <w:t>1</w:t>
      </w:r>
      <w:r>
        <w:rPr>
          <w:rFonts w:hint="eastAsia" w:ascii="仿宋_GB2312" w:eastAsia="仿宋_GB2312"/>
          <w:szCs w:val="32"/>
        </w:rPr>
        <w:t>名专职人员负责相关工作的协调推进。制定政务公开培训计划，开展政务公开培训会</w:t>
      </w:r>
      <w:r>
        <w:rPr>
          <w:rFonts w:hint="eastAsia" w:eastAsia="仿宋_GB2312"/>
        </w:rPr>
        <w:t>3</w:t>
      </w:r>
      <w:r>
        <w:rPr>
          <w:rFonts w:hint="eastAsia" w:ascii="仿宋_GB2312" w:eastAsia="仿宋_GB2312"/>
          <w:szCs w:val="32"/>
        </w:rPr>
        <w:t>次，提高了政务公开工作标准。</w:t>
      </w: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bookmarkStart w:id="0" w:name="_GoBack"/>
      <w:bookmarkEnd w:id="0"/>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eastAsia="黑体"/>
                <w:sz w:val="20"/>
              </w:rPr>
              <w:t>0</w:t>
            </w:r>
          </w:p>
        </w:tc>
        <w:tc>
          <w:tcPr>
            <w:tcW w:w="2131" w:type="dxa"/>
            <w:vAlign w:val="center"/>
          </w:tcPr>
          <w:p>
            <w:pPr>
              <w:spacing w:line="240" w:lineRule="auto"/>
              <w:ind w:firstLine="0"/>
              <w:jc w:val="center"/>
              <w:rPr>
                <w:rFonts w:ascii="黑体" w:hAnsi="黑体" w:eastAsia="黑体"/>
                <w:sz w:val="20"/>
              </w:rPr>
            </w:pPr>
            <w:r>
              <w:rPr>
                <w:rFonts w:eastAsia="黑体"/>
                <w:sz w:val="20"/>
              </w:rPr>
              <w:t>0</w:t>
            </w:r>
          </w:p>
        </w:tc>
        <w:tc>
          <w:tcPr>
            <w:tcW w:w="2131" w:type="dxa"/>
            <w:vAlign w:val="center"/>
          </w:tcPr>
          <w:p>
            <w:pPr>
              <w:spacing w:line="240" w:lineRule="auto"/>
              <w:ind w:firstLine="0"/>
              <w:jc w:val="center"/>
              <w:rPr>
                <w:rFonts w:ascii="黑体" w:hAnsi="黑体"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eastAsia="黑体"/>
                <w:sz w:val="20"/>
              </w:rPr>
              <w:t>0</w:t>
            </w:r>
          </w:p>
        </w:tc>
        <w:tc>
          <w:tcPr>
            <w:tcW w:w="2131" w:type="dxa"/>
            <w:vAlign w:val="center"/>
          </w:tcPr>
          <w:p>
            <w:pPr>
              <w:spacing w:line="240" w:lineRule="auto"/>
              <w:ind w:firstLine="0"/>
              <w:jc w:val="center"/>
              <w:rPr>
                <w:rFonts w:ascii="黑体" w:hAnsi="黑体" w:eastAsia="黑体"/>
                <w:sz w:val="20"/>
              </w:rPr>
            </w:pPr>
            <w:r>
              <w:rPr>
                <w:rFonts w:eastAsia="黑体"/>
                <w:sz w:val="20"/>
              </w:rPr>
              <w:t>0</w:t>
            </w:r>
          </w:p>
        </w:tc>
        <w:tc>
          <w:tcPr>
            <w:tcW w:w="2131" w:type="dxa"/>
            <w:vAlign w:val="center"/>
          </w:tcPr>
          <w:p>
            <w:pPr>
              <w:spacing w:line="240" w:lineRule="auto"/>
              <w:ind w:firstLine="0"/>
              <w:jc w:val="center"/>
              <w:rPr>
                <w:rFonts w:ascii="黑体" w:hAnsi="黑体"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eastAsia="黑体"/>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eastAsia="黑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1</w:t>
            </w:r>
            <w:r>
              <w:rPr>
                <w:rFonts w:hint="eastAsia" w:ascii="宋体" w:hAnsi="宋体" w:eastAsia="宋体" w:cs="宋体"/>
                <w:snapToGrid/>
                <w:sz w:val="20"/>
              </w:rPr>
              <w:t>.属于国家秘密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2</w:t>
            </w:r>
            <w:r>
              <w:rPr>
                <w:rFonts w:hint="eastAsia" w:ascii="宋体" w:hAnsi="宋体" w:eastAsia="宋体" w:cs="宋体"/>
                <w:snapToGrid/>
                <w:sz w:val="20"/>
              </w:rPr>
              <w:t>.其他法律行政法规禁止公开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3</w:t>
            </w:r>
            <w:r>
              <w:rPr>
                <w:rFonts w:hint="eastAsia" w:ascii="宋体" w:hAnsi="宋体" w:eastAsia="宋体" w:cs="宋体"/>
                <w:snapToGrid/>
                <w:sz w:val="20"/>
              </w:rPr>
              <w:t>.危及“三安全一稳定”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4</w:t>
            </w:r>
            <w:r>
              <w:rPr>
                <w:rFonts w:hint="eastAsia" w:ascii="宋体" w:hAnsi="宋体" w:eastAsia="宋体" w:cs="宋体"/>
                <w:snapToGrid/>
                <w:sz w:val="20"/>
              </w:rPr>
              <w:t>.保护第三方合法权益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5</w:t>
            </w:r>
            <w:r>
              <w:rPr>
                <w:rFonts w:hint="eastAsia" w:ascii="宋体" w:hAnsi="宋体" w:eastAsia="宋体" w:cs="宋体"/>
                <w:snapToGrid/>
                <w:sz w:val="20"/>
              </w:rPr>
              <w:t>.属于三类内部事务信息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6</w:t>
            </w:r>
            <w:r>
              <w:rPr>
                <w:rFonts w:hint="eastAsia" w:ascii="宋体" w:hAnsi="宋体" w:eastAsia="宋体" w:cs="宋体"/>
                <w:snapToGrid/>
                <w:sz w:val="20"/>
              </w:rPr>
              <w:t>.属于四类过程性信息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7</w:t>
            </w:r>
            <w:r>
              <w:rPr>
                <w:rFonts w:hint="eastAsia" w:ascii="宋体" w:hAnsi="宋体" w:eastAsia="宋体" w:cs="宋体"/>
                <w:snapToGrid/>
                <w:sz w:val="20"/>
              </w:rPr>
              <w:t>.属于行政执法案卷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8</w:t>
            </w:r>
            <w:r>
              <w:rPr>
                <w:rFonts w:hint="eastAsia" w:ascii="宋体" w:hAnsi="宋体" w:eastAsia="宋体" w:cs="宋体"/>
                <w:snapToGrid/>
                <w:sz w:val="20"/>
              </w:rPr>
              <w:t>.属于行政查询事项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1</w:t>
            </w:r>
            <w:r>
              <w:rPr>
                <w:rFonts w:hint="eastAsia" w:ascii="宋体" w:hAnsi="宋体" w:eastAsia="宋体" w:cs="宋体"/>
                <w:snapToGrid/>
                <w:sz w:val="20"/>
              </w:rPr>
              <w:t>.本机关不掌握相关政府信息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2</w:t>
            </w:r>
            <w:r>
              <w:rPr>
                <w:rFonts w:hint="eastAsia" w:ascii="宋体" w:hAnsi="宋体" w:eastAsia="宋体" w:cs="宋体"/>
                <w:snapToGrid/>
                <w:sz w:val="20"/>
              </w:rPr>
              <w:t>.没有现成信息需要另行制作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3</w:t>
            </w:r>
            <w:r>
              <w:rPr>
                <w:rFonts w:hint="eastAsia" w:ascii="宋体" w:hAnsi="宋体" w:eastAsia="宋体" w:cs="宋体"/>
                <w:snapToGrid/>
                <w:sz w:val="20"/>
              </w:rPr>
              <w:t>.补正后申请内容仍不明确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1</w:t>
            </w:r>
            <w:r>
              <w:rPr>
                <w:rFonts w:hint="eastAsia" w:ascii="宋体" w:hAnsi="宋体" w:eastAsia="宋体" w:cs="宋体"/>
                <w:snapToGrid/>
                <w:sz w:val="20"/>
              </w:rPr>
              <w:t>.信访举报投诉类申请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2</w:t>
            </w:r>
            <w:r>
              <w:rPr>
                <w:rFonts w:hint="eastAsia" w:ascii="宋体" w:hAnsi="宋体" w:eastAsia="宋体" w:cs="宋体"/>
                <w:snapToGrid/>
                <w:sz w:val="20"/>
              </w:rPr>
              <w:t>.重复申请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3</w:t>
            </w:r>
            <w:r>
              <w:rPr>
                <w:rFonts w:hint="eastAsia" w:ascii="宋体" w:hAnsi="宋体" w:eastAsia="宋体" w:cs="宋体"/>
                <w:snapToGrid/>
                <w:sz w:val="20"/>
              </w:rPr>
              <w:t>.要求提供公开出版物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4</w:t>
            </w:r>
            <w:r>
              <w:rPr>
                <w:rFonts w:hint="eastAsia" w:ascii="宋体" w:hAnsi="宋体" w:eastAsia="宋体" w:cs="宋体"/>
                <w:snapToGrid/>
                <w:sz w:val="20"/>
              </w:rPr>
              <w:t>.无正当理由大量反复申请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eastAsia="宋体"/>
                <w:snapToGrid/>
                <w:sz w:val="20"/>
              </w:rPr>
              <w:t>5</w:t>
            </w:r>
            <w:r>
              <w:rPr>
                <w:rFonts w:hint="eastAsia" w:ascii="宋体" w:hAnsi="宋体" w:eastAsia="宋体" w:cs="宋体"/>
                <w:snapToGrid/>
                <w:sz w:val="20"/>
              </w:rPr>
              <w:t>.要求行政机关确认或重新出具已获取信息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eastAsia="宋体"/>
                <w:snapToGrid/>
                <w:sz w:val="20"/>
              </w:rPr>
              <w:t>1</w:t>
            </w:r>
            <w:r>
              <w:rPr>
                <w:rFonts w:hint="eastAsia" w:ascii="宋体" w:hAnsi="宋体" w:eastAsia="宋体" w:cs="宋体"/>
                <w:snapToGrid/>
                <w:sz w:val="20"/>
              </w:rPr>
              <w:t>.申请人无正当理由逾期不补正、行政机关不再处理其政府信息公开申请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eastAsia="宋体"/>
                <w:snapToGrid/>
                <w:sz w:val="20"/>
              </w:rPr>
              <w:t>2</w:t>
            </w:r>
            <w:r>
              <w:rPr>
                <w:rFonts w:hint="eastAsia" w:ascii="宋体" w:hAnsi="宋体" w:eastAsia="宋体" w:cs="宋体"/>
                <w:snapToGrid/>
                <w:sz w:val="20"/>
              </w:rPr>
              <w:t>.申请人逾期未按收费通知要求缴纳费用、行政机关不再处理其政府信息公开申请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eastAsia="宋体"/>
                <w:snapToGrid/>
                <w:sz w:val="20"/>
              </w:rPr>
              <w:t>3</w:t>
            </w:r>
            <w:r>
              <w:rPr>
                <w:rFonts w:hint="eastAsia" w:ascii="宋体" w:hAnsi="宋体" w:eastAsia="宋体" w:cs="宋体"/>
                <w:snapToGrid/>
                <w:sz w:val="20"/>
              </w:rPr>
              <w:t>.其他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4"/>
                <w:szCs w:val="24"/>
              </w:rPr>
              <w:t>0</w:t>
            </w:r>
          </w:p>
        </w:tc>
      </w:tr>
    </w:tbl>
    <w:p>
      <w:pPr>
        <w:numPr>
          <w:ilvl w:val="0"/>
          <w:numId w:val="1"/>
        </w:numPr>
        <w:spacing w:line="560" w:lineRule="exact"/>
        <w:ind w:firstLine="640" w:firstLineChars="200"/>
        <w:rPr>
          <w:rFonts w:ascii="黑体" w:hAnsi="黑体" w:eastAsia="黑体"/>
          <w:szCs w:val="32"/>
        </w:rPr>
      </w:pPr>
      <w:r>
        <w:rPr>
          <w:rFonts w:hint="eastAsia" w:ascii="黑体" w:hAnsi="黑体" w:eastAsia="黑体"/>
          <w:szCs w:val="32"/>
        </w:rPr>
        <w:t>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一是政策解读质量不高，部分解读材料与政策文件内容重复度过高，没有根据群众需求对政策文件进行深入解读。</w:t>
      </w:r>
    </w:p>
    <w:p>
      <w:pPr>
        <w:spacing w:line="560" w:lineRule="exact"/>
        <w:ind w:firstLine="640" w:firstLineChars="200"/>
        <w:rPr>
          <w:rFonts w:ascii="仿宋_GB2312" w:eastAsia="仿宋_GB2312"/>
          <w:szCs w:val="32"/>
        </w:rPr>
      </w:pPr>
      <w:r>
        <w:rPr>
          <w:rFonts w:hint="eastAsia" w:ascii="仿宋_GB2312" w:eastAsia="仿宋_GB2312"/>
          <w:szCs w:val="32"/>
        </w:rPr>
        <w:t>二是对《条例》以及上级政务公开工作要点学习不够深入，工作中没有做到将单位业务与政务公开相结合，导致对工作重点把握不到位、工作任务落实不够等问题。</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spacing w:line="560" w:lineRule="exact"/>
        <w:ind w:firstLine="640" w:firstLineChars="200"/>
        <w:rPr>
          <w:rFonts w:ascii="仿宋_GB2312" w:eastAsia="仿宋_GB2312"/>
          <w:szCs w:val="32"/>
        </w:rPr>
      </w:pPr>
      <w:r>
        <w:rPr>
          <w:rFonts w:hint="eastAsia" w:ascii="仿宋_GB2312" w:eastAsia="仿宋_GB2312"/>
          <w:szCs w:val="32"/>
        </w:rPr>
        <w:t>一是提高政策解读质量，结合群众需求和语言习惯，从政策文件的起草背景、出台目的、主要内容等方面进行解读，对政策中的新名词、新说法进行重点解读，年内发布解读材料3篇，均严格规范进行了解读。</w:t>
      </w:r>
    </w:p>
    <w:p>
      <w:pPr>
        <w:spacing w:line="560" w:lineRule="exact"/>
        <w:ind w:firstLine="640" w:firstLineChars="200"/>
        <w:rPr>
          <w:rFonts w:ascii="仿宋_GB2312" w:eastAsia="仿宋_GB2312"/>
          <w:szCs w:val="32"/>
        </w:rPr>
      </w:pPr>
      <w:r>
        <w:rPr>
          <w:rFonts w:hint="eastAsia" w:ascii="仿宋_GB2312" w:eastAsia="仿宋_GB2312"/>
          <w:szCs w:val="32"/>
        </w:rPr>
        <w:t>二是强化政务公开学习培训，利用年初全镇集体学习机会集中开展《条例》学习1次，组织开展培训会议</w:t>
      </w:r>
      <w:r>
        <w:rPr>
          <w:rFonts w:eastAsia="仿宋_GB2312"/>
          <w:szCs w:val="32"/>
        </w:rPr>
        <w:t>3</w:t>
      </w:r>
      <w:r>
        <w:rPr>
          <w:rFonts w:hint="eastAsia" w:ascii="仿宋_GB2312" w:eastAsia="仿宋_GB2312"/>
          <w:szCs w:val="32"/>
        </w:rPr>
        <w:t>次，邀请各科室、委办负责人轮流讲述相关业务的公开要求，将政务公开与业务工作结合起来，有效推动了政务公开工作落实。</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根据《国务院办公厅关于印发&lt;政府信息公开信息处理费管理办法&gt;的通知》（国办函〔</w:t>
      </w:r>
      <w:r>
        <w:rPr>
          <w:rFonts w:hint="eastAsia" w:eastAsia="仿宋_GB2312"/>
        </w:rPr>
        <w:t>2020〕109</w:t>
      </w:r>
      <w:r>
        <w:rPr>
          <w:rFonts w:hint="eastAsia" w:ascii="仿宋_GB2312" w:eastAsia="仿宋_GB2312"/>
          <w:szCs w:val="32"/>
        </w:rPr>
        <w:t>号）和《山东省人民政府办公厅关于做好政府信息公开信息处理费管理工作有关事项的通知》（鲁政办字〔</w:t>
      </w:r>
      <w:r>
        <w:rPr>
          <w:rFonts w:hint="eastAsia" w:eastAsia="仿宋_GB2312"/>
        </w:rPr>
        <w:t>2020〕179</w:t>
      </w:r>
      <w:r>
        <w:rPr>
          <w:rFonts w:hint="eastAsia" w:ascii="仿宋_GB2312" w:eastAsia="仿宋_GB2312"/>
          <w:szCs w:val="32"/>
        </w:rPr>
        <w:t>号）规定，2023年本机关依申请公开政府信息未收取任何费用。</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根据《</w:t>
      </w:r>
      <w:r>
        <w:rPr>
          <w:rFonts w:hint="eastAsia" w:eastAsia="仿宋_GB2312"/>
        </w:rPr>
        <w:t>2023</w:t>
      </w:r>
      <w:r>
        <w:rPr>
          <w:rFonts w:hint="eastAsia" w:ascii="仿宋_GB2312" w:eastAsia="仿宋_GB2312"/>
          <w:szCs w:val="32"/>
        </w:rPr>
        <w:t>年山东省政务公开工作要点》《</w:t>
      </w:r>
      <w:r>
        <w:rPr>
          <w:rFonts w:hint="eastAsia" w:eastAsia="仿宋_GB2312"/>
        </w:rPr>
        <w:t>2023</w:t>
      </w:r>
      <w:r>
        <w:rPr>
          <w:rFonts w:hint="eastAsia" w:ascii="仿宋_GB2312" w:eastAsia="仿宋_GB2312"/>
          <w:szCs w:val="32"/>
        </w:rPr>
        <w:t>年淄博市政务公开工作方案》《</w:t>
      </w:r>
      <w:r>
        <w:rPr>
          <w:rFonts w:hint="eastAsia" w:eastAsia="仿宋_GB2312"/>
        </w:rPr>
        <w:t>2023</w:t>
      </w:r>
      <w:r>
        <w:rPr>
          <w:rFonts w:hint="eastAsia" w:ascii="仿宋_GB2312" w:eastAsia="仿宋_GB2312"/>
          <w:szCs w:val="32"/>
        </w:rPr>
        <w:t>年高青县政务公开工作方案》，制定了《高青县常家镇</w:t>
      </w:r>
      <w:r>
        <w:rPr>
          <w:rFonts w:hint="eastAsia" w:eastAsia="仿宋_GB2312"/>
        </w:rPr>
        <w:t>2023</w:t>
      </w:r>
      <w:r>
        <w:rPr>
          <w:rFonts w:hint="eastAsia" w:ascii="仿宋_GB2312" w:eastAsia="仿宋_GB2312"/>
          <w:szCs w:val="32"/>
        </w:rPr>
        <w:t>年政务公开工作实施方案》，严格按照要求推进工作落实。一是强化组织领导。调整政务公开领导小组，形成“主要领导亲自抓、分管领导具体抓、专人负责抓落实”的工作机制。召开政务公开工作安排部署会议，推进政务公开工作有序开展。二是加强重点领域信息公开。推进政务公开标准化规范化建设，完善公开事项，细化公开内容，重点做好就业创业、社会社会保障、户籍办理等领域信息公开。三是做好政策解读。不断创新方式，采用文字解读、图表图解等方式解读政策文件，让群众听得进、看得懂，第一时间了解政策。</w:t>
      </w:r>
    </w:p>
    <w:p>
      <w:pPr>
        <w:spacing w:line="560" w:lineRule="exact"/>
        <w:jc w:val="left"/>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jc w:val="left"/>
        <w:rPr>
          <w:rFonts w:eastAsia="仿宋_GB2312" w:cs="仿宋_GB2312"/>
          <w:szCs w:val="32"/>
        </w:rPr>
      </w:pPr>
      <w:r>
        <w:rPr>
          <w:rFonts w:eastAsia="仿宋_GB2312"/>
          <w:szCs w:val="32"/>
        </w:rPr>
        <w:t>2023</w:t>
      </w:r>
      <w:r>
        <w:rPr>
          <w:rFonts w:hint="eastAsia" w:ascii="仿宋_GB2312" w:eastAsia="仿宋_GB2312"/>
          <w:szCs w:val="32"/>
        </w:rPr>
        <w:t>年共承办县十八届人大二次会议建议</w:t>
      </w:r>
      <w:r>
        <w:rPr>
          <w:rFonts w:eastAsia="仿宋_GB2312"/>
          <w:szCs w:val="32"/>
        </w:rPr>
        <w:t>2</w:t>
      </w:r>
      <w:r>
        <w:rPr>
          <w:rFonts w:hint="eastAsia" w:ascii="仿宋_GB2312" w:eastAsia="仿宋_GB2312"/>
          <w:szCs w:val="32"/>
        </w:rPr>
        <w:t>件，承办县政协十五届二次会议提案</w:t>
      </w:r>
      <w:r>
        <w:rPr>
          <w:rFonts w:eastAsia="仿宋_GB2312"/>
          <w:szCs w:val="32"/>
        </w:rPr>
        <w:t>4</w:t>
      </w:r>
      <w:r>
        <w:rPr>
          <w:rFonts w:hint="eastAsia" w:ascii="仿宋_GB2312" w:eastAsia="仿宋_GB2312"/>
          <w:szCs w:val="32"/>
        </w:rPr>
        <w:t>件，办复率均为</w:t>
      </w:r>
      <w:r>
        <w:rPr>
          <w:rFonts w:eastAsia="仿宋_GB2312"/>
          <w:szCs w:val="32"/>
        </w:rPr>
        <w:t>100</w:t>
      </w:r>
      <w:r>
        <w:rPr>
          <w:rFonts w:hint="eastAsia" w:ascii="仿宋_GB2312" w:eastAsia="仿宋_GB2312"/>
          <w:szCs w:val="32"/>
        </w:rPr>
        <w:t>%。</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pPr>
        <w:spacing w:line="560" w:lineRule="exact"/>
        <w:ind w:firstLine="640" w:firstLineChars="200"/>
        <w:jc w:val="left"/>
        <w:rPr>
          <w:rFonts w:eastAsia="仿宋_GB2312" w:cs="仿宋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一是打造政府信息公开专区，标准化建设相关功能区，配备设施设备，拓展信息公开渠道。二</w:t>
      </w:r>
      <w:r>
        <w:rPr>
          <w:rFonts w:ascii="仿宋_GB2312" w:eastAsia="仿宋_GB2312"/>
          <w:szCs w:val="32"/>
        </w:rPr>
        <w:t>是推动基层政务公开向</w:t>
      </w:r>
      <w:r>
        <w:rPr>
          <w:rFonts w:hint="eastAsia" w:ascii="仿宋_GB2312" w:eastAsia="仿宋_GB2312"/>
          <w:szCs w:val="32"/>
        </w:rPr>
        <w:t>村居</w:t>
      </w:r>
      <w:r>
        <w:rPr>
          <w:rFonts w:ascii="仿宋_GB2312" w:eastAsia="仿宋_GB2312"/>
          <w:szCs w:val="32"/>
        </w:rPr>
        <w:t>延伸</w:t>
      </w:r>
      <w:r>
        <w:rPr>
          <w:rFonts w:hint="eastAsia" w:ascii="仿宋_GB2312" w:eastAsia="仿宋_GB2312"/>
          <w:szCs w:val="32"/>
        </w:rPr>
        <w:t>。通过各村政务公开栏、文化宣传栏等及时通俗的</w:t>
      </w:r>
      <w:r>
        <w:rPr>
          <w:rFonts w:ascii="仿宋_GB2312" w:eastAsia="仿宋_GB2312"/>
          <w:szCs w:val="32"/>
        </w:rPr>
        <w:t>深入解读</w:t>
      </w:r>
      <w:r>
        <w:rPr>
          <w:rFonts w:hint="eastAsia" w:ascii="仿宋_GB2312" w:eastAsia="仿宋_GB2312"/>
          <w:szCs w:val="32"/>
        </w:rPr>
        <w:t>涉农</w:t>
      </w:r>
      <w:r>
        <w:rPr>
          <w:rFonts w:ascii="仿宋_GB2312" w:eastAsia="仿宋_GB2312"/>
          <w:szCs w:val="32"/>
        </w:rPr>
        <w:t>政策</w:t>
      </w:r>
      <w:r>
        <w:rPr>
          <w:rFonts w:hint="eastAsia" w:ascii="仿宋_GB2312" w:eastAsia="仿宋_GB2312"/>
          <w:szCs w:val="32"/>
        </w:rPr>
        <w:t>，普及政府</w:t>
      </w:r>
      <w:r>
        <w:rPr>
          <w:rFonts w:ascii="仿宋_GB2312" w:eastAsia="仿宋_GB2312"/>
          <w:szCs w:val="32"/>
        </w:rPr>
        <w:t>决策背景依据、制定意义、创新举措等要素，切实保障</w:t>
      </w:r>
      <w:r>
        <w:rPr>
          <w:rFonts w:hint="eastAsia" w:ascii="仿宋_GB2312" w:eastAsia="仿宋_GB2312"/>
          <w:szCs w:val="32"/>
        </w:rPr>
        <w:t>群众</w:t>
      </w:r>
      <w:r>
        <w:rPr>
          <w:rFonts w:ascii="仿宋_GB2312" w:eastAsia="仿宋_GB2312"/>
          <w:szCs w:val="32"/>
        </w:rPr>
        <w:t>知情权。</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eastAsia="仿宋_GB2312"/>
          <w:szCs w:val="32"/>
        </w:rPr>
        <w:t>1</w:t>
      </w:r>
      <w:r>
        <w:rPr>
          <w:rFonts w:hint="eastAsia" w:ascii="仿宋_GB2312" w:eastAsia="仿宋_GB2312"/>
          <w:szCs w:val="32"/>
        </w:rPr>
        <w:t>.报告中所列数据可能因四舍五入原因与数据直接相加之和存在尾数差异。</w:t>
      </w:r>
    </w:p>
    <w:p>
      <w:pPr>
        <w:spacing w:line="560" w:lineRule="exact"/>
        <w:ind w:firstLine="640" w:firstLineChars="200"/>
        <w:rPr>
          <w:rFonts w:ascii="仿宋_GB2312" w:eastAsia="仿宋_GB2312"/>
          <w:szCs w:val="32"/>
        </w:rPr>
      </w:pPr>
      <w:r>
        <w:rPr>
          <w:rFonts w:eastAsia="仿宋_GB2312"/>
          <w:szCs w:val="32"/>
        </w:rPr>
        <w:t>2</w:t>
      </w:r>
      <w:r>
        <w:rPr>
          <w:rFonts w:hint="eastAsia" w:ascii="仿宋_GB2312" w:eastAsia="仿宋_GB2312"/>
          <w:szCs w:val="32"/>
        </w:rPr>
        <w:t>.行政许可数量、行政处罚和行政强制数量，包括已公开和依法未公开的全部处理决定。</w:t>
      </w:r>
    </w:p>
    <w:p>
      <w:pPr>
        <w:spacing w:line="560" w:lineRule="exact"/>
        <w:ind w:firstLine="640" w:firstLineChars="200"/>
        <w:rPr>
          <w:rFonts w:ascii="方正小标宋简体" w:hAnsi="方正小标宋简体" w:eastAsia="方正小标宋简体" w:cs="方正小标宋简体"/>
          <w:szCs w:val="32"/>
        </w:rPr>
      </w:pPr>
      <w:r>
        <w:rPr>
          <w:rFonts w:eastAsia="仿宋_GB2312"/>
          <w:szCs w:val="32"/>
        </w:rPr>
        <w:t>3</w:t>
      </w:r>
      <w:r>
        <w:rPr>
          <w:rFonts w:hint="eastAsia" w:ascii="仿宋_GB2312" w:eastAsia="仿宋_GB2312"/>
          <w:szCs w:val="32"/>
        </w:rPr>
        <w:t>.行政复议机关作为共同被告的行政诉讼案件，只计算原行为主体的案件数量，不计算行政复议机关的案件数量。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2EC26"/>
    <w:multiLevelType w:val="singleLevel"/>
    <w:tmpl w:val="3072EC2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Yzk4YTg4OWM0OGUxNWQ4ZDI1ODAwYTZlOThiYjQifQ=="/>
    <w:docVar w:name="KSO_WPS_MARK_KEY" w:val="953042d6-6e83-4bc3-9ac7-d49f9caf5c6e"/>
  </w:docVars>
  <w:rsids>
    <w:rsidRoot w:val="00CD7B14"/>
    <w:rsid w:val="000169E0"/>
    <w:rsid w:val="00082959"/>
    <w:rsid w:val="001551A7"/>
    <w:rsid w:val="003765C4"/>
    <w:rsid w:val="004A28E0"/>
    <w:rsid w:val="005A489F"/>
    <w:rsid w:val="00752332"/>
    <w:rsid w:val="007F3CF6"/>
    <w:rsid w:val="00897A87"/>
    <w:rsid w:val="009314C3"/>
    <w:rsid w:val="00A168F4"/>
    <w:rsid w:val="00A55BDB"/>
    <w:rsid w:val="00AC52F7"/>
    <w:rsid w:val="00AF469A"/>
    <w:rsid w:val="00B03A8D"/>
    <w:rsid w:val="00B314F5"/>
    <w:rsid w:val="00C71B38"/>
    <w:rsid w:val="00C71FED"/>
    <w:rsid w:val="00CD7B14"/>
    <w:rsid w:val="04516A8F"/>
    <w:rsid w:val="06CE4694"/>
    <w:rsid w:val="1EB8717C"/>
    <w:rsid w:val="2C557BE5"/>
    <w:rsid w:val="2F3935EC"/>
    <w:rsid w:val="311461BE"/>
    <w:rsid w:val="394B65A9"/>
    <w:rsid w:val="3D27591C"/>
    <w:rsid w:val="401C6F68"/>
    <w:rsid w:val="41501270"/>
    <w:rsid w:val="455E2A37"/>
    <w:rsid w:val="580655DE"/>
    <w:rsid w:val="5FAC0C7D"/>
    <w:rsid w:val="63E570CD"/>
    <w:rsid w:val="6FFA44BF"/>
    <w:rsid w:val="71C03AD6"/>
    <w:rsid w:val="76170E88"/>
    <w:rsid w:val="77FD2195"/>
    <w:rsid w:val="93F7DD22"/>
    <w:rsid w:val="F0FCB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pacing w:line="240" w:lineRule="atLeast"/>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qFormat/>
    <w:uiPriority w:val="0"/>
    <w:pPr>
      <w:spacing w:beforeAutospacing="1" w:afterAutospacing="1"/>
      <w:jc w:val="left"/>
    </w:pPr>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0"/>
    <w:rPr>
      <w:rFonts w:eastAsia="方正仿宋_GBK"/>
      <w:snapToGrid w:val="0"/>
      <w:sz w:val="18"/>
      <w:szCs w:val="18"/>
    </w:rPr>
  </w:style>
  <w:style w:type="character" w:customStyle="1" w:styleId="11">
    <w:name w:val="页脚 Char"/>
    <w:basedOn w:val="8"/>
    <w:link w:val="3"/>
    <w:qFormat/>
    <w:uiPriority w:val="0"/>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2023年公开信息数量</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政府网站</c:v>
                </c:pt>
                <c:pt idx="1">
                  <c:v>政务新媒体</c:v>
                </c:pt>
                <c:pt idx="2">
                  <c:v>其他渠道</c:v>
                </c:pt>
              </c:strCache>
            </c:strRef>
          </c:cat>
          <c:val>
            <c:numRef>
              <c:f>Sheet1!$B$2:$B$4</c:f>
              <c:numCache>
                <c:formatCode>General</c:formatCode>
                <c:ptCount val="3"/>
                <c:pt idx="0">
                  <c:v>130</c:v>
                </c:pt>
                <c:pt idx="1">
                  <c:v>326</c:v>
                </c:pt>
                <c:pt idx="2">
                  <c:v>70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592</Words>
  <Characters>3378</Characters>
  <Lines>28</Lines>
  <Paragraphs>7</Paragraphs>
  <TotalTime>89</TotalTime>
  <ScaleCrop>false</ScaleCrop>
  <LinksUpToDate>false</LinksUpToDate>
  <CharactersWithSpaces>3963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2024-01-08T16:44:00Z</dcterms:created>
  <dc:creator>Administrator</dc:creator>
  <cp:lastModifiedBy>贾义祥</cp:lastModifiedBy>
  <dcterms:modified xsi:type="dcterms:W3CDTF">2024-01-26T07:00:30Z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B12A77FA5EF8451BB7D2253AABE0D4D3_13</vt:lpwstr>
  </property>
</Properties>
</file>