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383" w:rsidRDefault="00D74DD2">
      <w:pPr>
        <w:spacing w:line="560" w:lineRule="exact"/>
        <w:ind w:firstLine="0"/>
        <w:jc w:val="center"/>
        <w:rPr>
          <w:rFonts w:ascii="方正小标宋简体" w:eastAsia="方正小标宋简体" w:hAnsi="仿宋_GB2312" w:cs="仿宋_GB2312"/>
          <w:spacing w:val="-2"/>
          <w:sz w:val="44"/>
          <w:szCs w:val="44"/>
        </w:rPr>
      </w:pPr>
      <w:bookmarkStart w:id="0" w:name="_GoBack"/>
      <w:r>
        <w:rPr>
          <w:rFonts w:ascii="方正小标宋简体" w:eastAsia="方正小标宋简体" w:hAnsi="仿宋_GB2312" w:cs="仿宋_GB2312" w:hint="eastAsia"/>
          <w:spacing w:val="-2"/>
          <w:sz w:val="44"/>
          <w:szCs w:val="44"/>
        </w:rPr>
        <w:t>高青县常家镇</w:t>
      </w:r>
      <w:r w:rsidR="002B0A9E">
        <w:rPr>
          <w:rFonts w:ascii="方正小标宋简体" w:eastAsia="方正小标宋简体" w:hAnsi="仿宋_GB2312" w:cs="仿宋_GB2312" w:hint="eastAsia"/>
          <w:spacing w:val="-2"/>
          <w:sz w:val="44"/>
          <w:szCs w:val="44"/>
        </w:rPr>
        <w:t>人民政府</w:t>
      </w:r>
    </w:p>
    <w:p w:rsidR="00A37383" w:rsidRDefault="00D74DD2">
      <w:pPr>
        <w:spacing w:line="560" w:lineRule="exact"/>
        <w:ind w:firstLine="0"/>
        <w:jc w:val="center"/>
        <w:rPr>
          <w:rFonts w:ascii="方正小标宋简体" w:eastAsia="方正小标宋简体" w:hAnsi="仿宋_GB2312" w:cs="仿宋_GB2312"/>
          <w:spacing w:val="-2"/>
          <w:sz w:val="44"/>
          <w:szCs w:val="44"/>
        </w:rPr>
      </w:pPr>
      <w:r>
        <w:rPr>
          <w:rFonts w:ascii="方正小标宋简体" w:eastAsia="方正小标宋简体" w:hAnsi="仿宋_GB2312" w:cs="仿宋_GB2312" w:hint="eastAsia"/>
          <w:spacing w:val="-2"/>
          <w:sz w:val="44"/>
          <w:szCs w:val="44"/>
        </w:rPr>
        <w:t>2021</w:t>
      </w:r>
      <w:r>
        <w:rPr>
          <w:rFonts w:ascii="方正小标宋简体" w:eastAsia="方正小标宋简体" w:hAnsi="仿宋_GB2312" w:cs="仿宋_GB2312" w:hint="eastAsia"/>
          <w:spacing w:val="-2"/>
          <w:sz w:val="44"/>
          <w:szCs w:val="44"/>
        </w:rPr>
        <w:t>年政府信息公开工作年度报告</w:t>
      </w:r>
    </w:p>
    <w:bookmarkEnd w:id="0"/>
    <w:p w:rsidR="00A37383" w:rsidRDefault="00A37383">
      <w:pPr>
        <w:spacing w:line="560" w:lineRule="exact"/>
        <w:ind w:firstLine="0"/>
        <w:rPr>
          <w:rFonts w:ascii="仿宋_GB2312" w:eastAsia="仿宋_GB2312" w:hAnsi="仿宋_GB2312" w:cs="仿宋_GB2312"/>
          <w:spacing w:val="-2"/>
          <w:szCs w:val="32"/>
        </w:rPr>
      </w:pP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t>本报告根据《中华人民共和国政府信息公开条例》（国务院令第</w:t>
      </w:r>
      <w:r>
        <w:rPr>
          <w:rFonts w:ascii="仿宋_GB2312" w:eastAsia="仿宋_GB2312" w:hAnsi="仿宋_GB2312" w:cs="仿宋_GB2312" w:hint="eastAsia"/>
          <w:spacing w:val="-2"/>
          <w:szCs w:val="32"/>
        </w:rPr>
        <w:t>711</w:t>
      </w:r>
      <w:r>
        <w:rPr>
          <w:rFonts w:ascii="仿宋_GB2312" w:eastAsia="仿宋_GB2312" w:hAnsi="仿宋_GB2312" w:cs="仿宋_GB2312" w:hint="eastAsia"/>
          <w:spacing w:val="-2"/>
          <w:szCs w:val="32"/>
        </w:rPr>
        <w:t>号，以下简称《条例》）要求编制。报告全文分总体情况、主动公开政府信息情况、收到和处理政府信息公开申请情况、政府信息公开行政复议行政诉讼情况、存在的主要问题及改进情况、其他需要报告的事项</w:t>
      </w:r>
      <w:r>
        <w:rPr>
          <w:rFonts w:ascii="仿宋_GB2312" w:eastAsia="仿宋_GB2312" w:hAnsi="仿宋_GB2312" w:cs="仿宋_GB2312" w:hint="eastAsia"/>
          <w:spacing w:val="-2"/>
          <w:szCs w:val="32"/>
        </w:rPr>
        <w:t>6</w:t>
      </w:r>
      <w:r>
        <w:rPr>
          <w:rFonts w:ascii="仿宋_GB2312" w:eastAsia="仿宋_GB2312" w:hAnsi="仿宋_GB2312" w:cs="仿宋_GB2312" w:hint="eastAsia"/>
          <w:spacing w:val="-2"/>
          <w:szCs w:val="32"/>
        </w:rPr>
        <w:t>个部分。</w:t>
      </w: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t>报告中所列数据统计期限自</w:t>
      </w:r>
      <w:r>
        <w:rPr>
          <w:rFonts w:ascii="仿宋_GB2312" w:eastAsia="仿宋_GB2312" w:hAnsi="仿宋_GB2312" w:cs="仿宋_GB2312" w:hint="eastAsia"/>
          <w:spacing w:val="-2"/>
          <w:szCs w:val="32"/>
        </w:rPr>
        <w:t>2021</w:t>
      </w:r>
      <w:r>
        <w:rPr>
          <w:rFonts w:ascii="仿宋_GB2312" w:eastAsia="仿宋_GB2312" w:hAnsi="仿宋_GB2312" w:cs="仿宋_GB2312" w:hint="eastAsia"/>
          <w:spacing w:val="-2"/>
          <w:szCs w:val="32"/>
        </w:rPr>
        <w:t>年</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月</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日始，至</w:t>
      </w:r>
      <w:r>
        <w:rPr>
          <w:rFonts w:ascii="仿宋_GB2312" w:eastAsia="仿宋_GB2312" w:hAnsi="仿宋_GB2312" w:cs="仿宋_GB2312" w:hint="eastAsia"/>
          <w:spacing w:val="-2"/>
          <w:szCs w:val="32"/>
        </w:rPr>
        <w:t>2021</w:t>
      </w:r>
      <w:r>
        <w:rPr>
          <w:rFonts w:ascii="仿宋_GB2312" w:eastAsia="仿宋_GB2312" w:hAnsi="仿宋_GB2312" w:cs="仿宋_GB2312" w:hint="eastAsia"/>
          <w:spacing w:val="-2"/>
          <w:szCs w:val="32"/>
        </w:rPr>
        <w:t>年</w:t>
      </w:r>
      <w:r>
        <w:rPr>
          <w:rFonts w:ascii="仿宋_GB2312" w:eastAsia="仿宋_GB2312" w:hAnsi="仿宋_GB2312" w:cs="仿宋_GB2312" w:hint="eastAsia"/>
          <w:spacing w:val="-2"/>
          <w:szCs w:val="32"/>
        </w:rPr>
        <w:t>12</w:t>
      </w:r>
      <w:r>
        <w:rPr>
          <w:rFonts w:ascii="仿宋_GB2312" w:eastAsia="仿宋_GB2312" w:hAnsi="仿宋_GB2312" w:cs="仿宋_GB2312" w:hint="eastAsia"/>
          <w:spacing w:val="-2"/>
          <w:szCs w:val="32"/>
        </w:rPr>
        <w:t>月</w:t>
      </w:r>
      <w:r>
        <w:rPr>
          <w:rFonts w:ascii="仿宋_GB2312" w:eastAsia="仿宋_GB2312" w:hAnsi="仿宋_GB2312" w:cs="仿宋_GB2312" w:hint="eastAsia"/>
          <w:spacing w:val="-2"/>
          <w:szCs w:val="32"/>
        </w:rPr>
        <w:t>31</w:t>
      </w:r>
      <w:r>
        <w:rPr>
          <w:rFonts w:ascii="仿宋_GB2312" w:eastAsia="仿宋_GB2312" w:hAnsi="仿宋_GB2312" w:cs="仿宋_GB2312" w:hint="eastAsia"/>
          <w:spacing w:val="-2"/>
          <w:szCs w:val="32"/>
        </w:rPr>
        <w:t>日止。报告电子版可在高青县人民政府门户网站（</w:t>
      </w:r>
      <w:r>
        <w:rPr>
          <w:rFonts w:ascii="仿宋_GB2312" w:eastAsia="仿宋_GB2312" w:hAnsi="仿宋_GB2312" w:cs="仿宋_GB2312" w:hint="eastAsia"/>
          <w:spacing w:val="-2"/>
          <w:szCs w:val="32"/>
        </w:rPr>
        <w:t>www.gaoqing.gov.cn</w:t>
      </w:r>
      <w:r>
        <w:rPr>
          <w:rFonts w:ascii="仿宋_GB2312" w:eastAsia="仿宋_GB2312" w:hAnsi="仿宋_GB2312" w:cs="仿宋_GB2312" w:hint="eastAsia"/>
          <w:spacing w:val="-2"/>
          <w:szCs w:val="32"/>
        </w:rPr>
        <w:t>）查阅和下载。如对报告内容有疑问，请与高青县常家镇党政办办公室联系（地址：山东省淄博市高青县常家镇人民政府；邮编：</w:t>
      </w:r>
      <w:r>
        <w:rPr>
          <w:rFonts w:ascii="仿宋_GB2312" w:eastAsia="仿宋_GB2312" w:hAnsi="仿宋_GB2312" w:cs="仿宋_GB2312" w:hint="eastAsia"/>
          <w:spacing w:val="-2"/>
          <w:szCs w:val="32"/>
        </w:rPr>
        <w:t>256309</w:t>
      </w:r>
      <w:r>
        <w:rPr>
          <w:rFonts w:ascii="仿宋_GB2312" w:eastAsia="仿宋_GB2312" w:hAnsi="仿宋_GB2312" w:cs="仿宋_GB2312" w:hint="eastAsia"/>
          <w:spacing w:val="-2"/>
          <w:szCs w:val="32"/>
        </w:rPr>
        <w:t>；电话：</w:t>
      </w:r>
      <w:r>
        <w:rPr>
          <w:rFonts w:ascii="仿宋_GB2312" w:eastAsia="仿宋_GB2312" w:hAnsi="仿宋_GB2312" w:cs="仿宋_GB2312" w:hint="eastAsia"/>
          <w:spacing w:val="-2"/>
          <w:szCs w:val="32"/>
        </w:rPr>
        <w:t>0533-6970767</w:t>
      </w:r>
      <w:r>
        <w:rPr>
          <w:rFonts w:ascii="仿宋_GB2312" w:eastAsia="仿宋_GB2312" w:hAnsi="仿宋_GB2312" w:cs="仿宋_GB2312" w:hint="eastAsia"/>
          <w:spacing w:val="-2"/>
          <w:szCs w:val="32"/>
        </w:rPr>
        <w:t>；传真：</w:t>
      </w:r>
      <w:r>
        <w:rPr>
          <w:rFonts w:ascii="仿宋_GB2312" w:eastAsia="仿宋_GB2312" w:hAnsi="仿宋_GB2312" w:cs="仿宋_GB2312" w:hint="eastAsia"/>
          <w:spacing w:val="-2"/>
          <w:szCs w:val="32"/>
        </w:rPr>
        <w:t>0533-6970767</w:t>
      </w:r>
      <w:r>
        <w:rPr>
          <w:rFonts w:ascii="仿宋_GB2312" w:eastAsia="仿宋_GB2312" w:hAnsi="仿宋_GB2312" w:cs="仿宋_GB2312" w:hint="eastAsia"/>
          <w:spacing w:val="-2"/>
          <w:szCs w:val="32"/>
        </w:rPr>
        <w:t>；电子邮箱：</w:t>
      </w:r>
      <w:r>
        <w:rPr>
          <w:rFonts w:ascii="仿宋_GB2312" w:eastAsia="仿宋_GB2312" w:hAnsi="仿宋_GB2312" w:cs="仿宋_GB2312" w:hint="eastAsia"/>
          <w:spacing w:val="-2"/>
          <w:szCs w:val="32"/>
        </w:rPr>
        <w:t>gqxcjz@zb.shandong.cn</w:t>
      </w:r>
      <w:r>
        <w:rPr>
          <w:rFonts w:ascii="仿宋_GB2312" w:eastAsia="仿宋_GB2312" w:hAnsi="仿宋_GB2312" w:cs="仿宋_GB2312" w:hint="eastAsia"/>
          <w:spacing w:val="-2"/>
          <w:szCs w:val="32"/>
        </w:rPr>
        <w:t>）。</w:t>
      </w:r>
    </w:p>
    <w:p w:rsidR="00A37383" w:rsidRDefault="00D74DD2">
      <w:pPr>
        <w:spacing w:line="560" w:lineRule="exact"/>
        <w:ind w:firstLineChars="200" w:firstLine="632"/>
        <w:rPr>
          <w:rFonts w:ascii="黑体" w:eastAsia="黑体" w:hAnsi="黑体" w:cs="仿宋_GB2312"/>
          <w:spacing w:val="-2"/>
          <w:szCs w:val="32"/>
        </w:rPr>
      </w:pPr>
      <w:r>
        <w:rPr>
          <w:rFonts w:ascii="黑体" w:eastAsia="黑体" w:hAnsi="黑体" w:cs="仿宋_GB2312" w:hint="eastAsia"/>
          <w:spacing w:val="-2"/>
          <w:szCs w:val="32"/>
        </w:rPr>
        <w:t>一、总体情况</w:t>
      </w:r>
    </w:p>
    <w:p w:rsidR="00A37383" w:rsidRDefault="00D74DD2">
      <w:pPr>
        <w:spacing w:line="560" w:lineRule="exact"/>
        <w:ind w:firstLineChars="200" w:firstLine="632"/>
        <w:rPr>
          <w:rFonts w:ascii="楷体_GB2312" w:eastAsia="楷体_GB2312" w:hAnsi="仿宋_GB2312" w:cs="仿宋_GB2312"/>
          <w:spacing w:val="-2"/>
          <w:szCs w:val="32"/>
        </w:rPr>
      </w:pPr>
      <w:r>
        <w:rPr>
          <w:rFonts w:ascii="楷体_GB2312" w:eastAsia="楷体_GB2312" w:hAnsi="仿宋_GB2312" w:cs="仿宋_GB2312" w:hint="eastAsia"/>
          <w:spacing w:val="-2"/>
          <w:szCs w:val="32"/>
        </w:rPr>
        <w:t>（一）主动公开</w:t>
      </w: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t>完善《高青县常家镇人民政府主动公开基本目录》，进一步保障和推动了信息公开工作的开展。</w:t>
      </w:r>
      <w:r>
        <w:rPr>
          <w:rFonts w:ascii="仿宋_GB2312" w:eastAsia="仿宋_GB2312" w:hAnsi="仿宋_GB2312" w:cs="仿宋_GB2312" w:hint="eastAsia"/>
          <w:spacing w:val="-2"/>
          <w:szCs w:val="32"/>
        </w:rPr>
        <w:t>按照政府信息公开要求，在县政府网站发布机构职能信息</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条，部门文件信息</w:t>
      </w:r>
      <w:r>
        <w:rPr>
          <w:rFonts w:ascii="仿宋_GB2312" w:eastAsia="仿宋_GB2312" w:hAnsi="仿宋_GB2312" w:cs="仿宋_GB2312" w:hint="eastAsia"/>
          <w:spacing w:val="-2"/>
          <w:szCs w:val="32"/>
        </w:rPr>
        <w:t>3</w:t>
      </w:r>
      <w:r>
        <w:rPr>
          <w:rFonts w:ascii="仿宋_GB2312" w:eastAsia="仿宋_GB2312" w:hAnsi="仿宋_GB2312" w:cs="仿宋_GB2312" w:hint="eastAsia"/>
          <w:spacing w:val="-2"/>
          <w:szCs w:val="32"/>
        </w:rPr>
        <w:t>条，规划计划信息</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条，重要部署执行信息</w:t>
      </w:r>
      <w:r>
        <w:rPr>
          <w:rFonts w:ascii="仿宋_GB2312" w:eastAsia="仿宋_GB2312" w:hAnsi="仿宋_GB2312" w:cs="仿宋_GB2312" w:hint="eastAsia"/>
          <w:spacing w:val="-2"/>
          <w:szCs w:val="32"/>
        </w:rPr>
        <w:t>10</w:t>
      </w:r>
      <w:r>
        <w:rPr>
          <w:rFonts w:ascii="仿宋_GB2312" w:eastAsia="仿宋_GB2312" w:hAnsi="仿宋_GB2312" w:cs="仿宋_GB2312" w:hint="eastAsia"/>
          <w:spacing w:val="-2"/>
          <w:szCs w:val="32"/>
        </w:rPr>
        <w:t>条。将政策解读作为政府信息公开的重要内容，建立解读队伍，积极探索、创新解读形式，提高政策解读的针对性、科学性、有效性。本单位收到群众留言</w:t>
      </w:r>
      <w:r>
        <w:rPr>
          <w:rFonts w:ascii="仿宋_GB2312" w:eastAsia="仿宋_GB2312" w:hAnsi="仿宋_GB2312" w:cs="仿宋_GB2312" w:hint="eastAsia"/>
          <w:spacing w:val="-2"/>
          <w:szCs w:val="32"/>
        </w:rPr>
        <w:t>5</w:t>
      </w:r>
      <w:r>
        <w:rPr>
          <w:rFonts w:ascii="仿宋_GB2312" w:eastAsia="仿宋_GB2312" w:hAnsi="仿宋_GB2312" w:cs="仿宋_GB2312" w:hint="eastAsia"/>
          <w:spacing w:val="-2"/>
          <w:szCs w:val="32"/>
        </w:rPr>
        <w:t>件，主要涉及待遇补助，滩区建设等方面，均在</w:t>
      </w:r>
      <w:r>
        <w:rPr>
          <w:rFonts w:ascii="仿宋_GB2312" w:eastAsia="仿宋_GB2312" w:hAnsi="仿宋_GB2312" w:cs="仿宋_GB2312" w:hint="eastAsia"/>
          <w:spacing w:val="-2"/>
          <w:szCs w:val="32"/>
        </w:rPr>
        <w:t>5</w:t>
      </w:r>
      <w:r>
        <w:rPr>
          <w:rFonts w:ascii="仿宋_GB2312" w:eastAsia="仿宋_GB2312" w:hAnsi="仿宋_GB2312" w:cs="仿宋_GB2312" w:hint="eastAsia"/>
          <w:spacing w:val="-2"/>
          <w:szCs w:val="32"/>
        </w:rPr>
        <w:t>个工作日内回复。</w:t>
      </w:r>
    </w:p>
    <w:p w:rsidR="00A37383" w:rsidRDefault="00A37383" w:rsidP="002B0A9E">
      <w:pPr>
        <w:spacing w:line="240" w:lineRule="auto"/>
        <w:ind w:firstLineChars="197" w:firstLine="623"/>
        <w:rPr>
          <w:rFonts w:ascii="仿宋_GB2312" w:eastAsia="仿宋_GB2312" w:hAnsi="仿宋_GB2312" w:cs="仿宋_GB2312"/>
          <w:spacing w:val="-2"/>
          <w:szCs w:val="32"/>
        </w:rPr>
      </w:pPr>
    </w:p>
    <w:p w:rsidR="00A37383" w:rsidRDefault="00A37383" w:rsidP="002B0A9E">
      <w:pPr>
        <w:spacing w:line="240" w:lineRule="auto"/>
        <w:ind w:firstLineChars="197" w:firstLine="623"/>
        <w:rPr>
          <w:rFonts w:ascii="仿宋_GB2312" w:eastAsia="仿宋_GB2312" w:hAnsi="仿宋_GB2312" w:cs="仿宋_GB2312"/>
          <w:spacing w:val="-2"/>
          <w:szCs w:val="32"/>
        </w:rPr>
      </w:pPr>
    </w:p>
    <w:p w:rsidR="00A37383" w:rsidRDefault="00D74DD2" w:rsidP="002B0A9E">
      <w:pPr>
        <w:spacing w:line="240" w:lineRule="auto"/>
        <w:ind w:firstLineChars="197" w:firstLine="630"/>
        <w:rPr>
          <w:rFonts w:ascii="仿宋_GB2312" w:eastAsia="仿宋_GB2312" w:hAnsi="仿宋_GB2312" w:cs="仿宋_GB2312"/>
          <w:spacing w:val="-2"/>
          <w:szCs w:val="32"/>
        </w:rPr>
      </w:pPr>
      <w:r>
        <w:rPr>
          <w:rFonts w:ascii="仿宋_GB2312" w:eastAsia="仿宋_GB2312" w:hAnsi="仿宋_GB2312" w:cs="仿宋_GB2312" w:hint="eastAsia"/>
          <w:noProof/>
          <w:spacing w:val="-2"/>
          <w:szCs w:val="32"/>
        </w:rPr>
        <w:drawing>
          <wp:inline distT="0" distB="0" distL="114300" distR="114300">
            <wp:extent cx="5274310" cy="3956685"/>
            <wp:effectExtent l="0" t="0" r="2540" b="5715"/>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8"/>
                    <a:stretch>
                      <a:fillRect/>
                    </a:stretch>
                  </pic:blipFill>
                  <pic:spPr>
                    <a:xfrm>
                      <a:off x="0" y="0"/>
                      <a:ext cx="5274310" cy="3956685"/>
                    </a:xfrm>
                    <a:prstGeom prst="rect">
                      <a:avLst/>
                    </a:prstGeom>
                  </pic:spPr>
                </pic:pic>
              </a:graphicData>
            </a:graphic>
          </wp:inline>
        </w:drawing>
      </w:r>
    </w:p>
    <w:p w:rsidR="00A37383" w:rsidRDefault="00D74DD2">
      <w:pPr>
        <w:spacing w:line="560" w:lineRule="exact"/>
        <w:ind w:firstLineChars="200" w:firstLine="632"/>
        <w:rPr>
          <w:rFonts w:ascii="楷体_GB2312" w:eastAsia="楷体_GB2312" w:hAnsi="仿宋_GB2312" w:cs="仿宋_GB2312"/>
          <w:spacing w:val="-2"/>
          <w:szCs w:val="32"/>
        </w:rPr>
      </w:pPr>
      <w:r>
        <w:rPr>
          <w:rFonts w:ascii="楷体_GB2312" w:eastAsia="楷体_GB2312" w:hAnsi="仿宋_GB2312" w:cs="仿宋_GB2312" w:hint="eastAsia"/>
          <w:spacing w:val="-2"/>
          <w:szCs w:val="32"/>
        </w:rPr>
        <w:t>（二）依申请公开</w:t>
      </w:r>
    </w:p>
    <w:p w:rsidR="00A37383" w:rsidRDefault="00D74DD2">
      <w:pPr>
        <w:spacing w:line="560" w:lineRule="exact"/>
        <w:ind w:firstLineChars="200" w:firstLine="640"/>
      </w:pPr>
      <w:r>
        <w:rPr>
          <w:rFonts w:ascii="仿宋_GB2312" w:eastAsia="仿宋_GB2312" w:hint="eastAsia"/>
          <w:szCs w:val="32"/>
        </w:rPr>
        <w:t>2021</w:t>
      </w:r>
      <w:r>
        <w:rPr>
          <w:rFonts w:ascii="仿宋_GB2312" w:eastAsia="仿宋_GB2312" w:hint="eastAsia"/>
          <w:szCs w:val="32"/>
        </w:rPr>
        <w:t>年未收到政府信息公开申请，上年度未结转政府信息公开申请，未因政府信息公开被申请行政复议、提起行政诉讼。</w:t>
      </w:r>
    </w:p>
    <w:p w:rsidR="00A37383" w:rsidRDefault="00D74DD2">
      <w:pPr>
        <w:spacing w:line="560" w:lineRule="exact"/>
        <w:ind w:firstLineChars="200" w:firstLine="632"/>
        <w:rPr>
          <w:rFonts w:ascii="楷体_GB2312" w:eastAsia="楷体_GB2312" w:hAnsi="仿宋_GB2312" w:cs="仿宋_GB2312"/>
          <w:spacing w:val="-2"/>
          <w:szCs w:val="32"/>
        </w:rPr>
      </w:pPr>
      <w:r>
        <w:rPr>
          <w:rFonts w:ascii="楷体_GB2312" w:eastAsia="楷体_GB2312" w:hAnsi="仿宋_GB2312" w:cs="仿宋_GB2312" w:hint="eastAsia"/>
          <w:spacing w:val="-2"/>
          <w:szCs w:val="32"/>
        </w:rPr>
        <w:t>（三）政府信息管理</w:t>
      </w: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t>建立了信息发布审查制度，成立领导小组，在信</w:t>
      </w:r>
      <w:r>
        <w:rPr>
          <w:rFonts w:ascii="仿宋_GB2312" w:eastAsia="仿宋_GB2312" w:hAnsi="仿宋_GB2312" w:cs="仿宋_GB2312" w:hint="eastAsia"/>
          <w:spacing w:val="-2"/>
          <w:szCs w:val="32"/>
        </w:rPr>
        <w:t>息发布前依照法律、法规和国家有关规定进行审核，审查信息内容是否正确、公开事项范围是否准确等，确保做到机制到位、责任到位、信息到位。建立政府信息动态管理机制，对之前发布的文件、公开的信息进行实时调整，加强动态化规范管理，及时清理废止、失效的公开的文件以及政府信息等，确保政府信息发布的规范性、准确性和统一性。</w:t>
      </w:r>
    </w:p>
    <w:p w:rsidR="00A37383" w:rsidRDefault="00D74DD2">
      <w:pPr>
        <w:spacing w:line="560" w:lineRule="exact"/>
        <w:ind w:firstLineChars="200" w:firstLine="632"/>
        <w:rPr>
          <w:rFonts w:ascii="楷体_GB2312" w:eastAsia="楷体_GB2312" w:hAnsi="仿宋_GB2312" w:cs="仿宋_GB2312"/>
          <w:spacing w:val="-2"/>
          <w:szCs w:val="32"/>
        </w:rPr>
      </w:pPr>
      <w:r>
        <w:rPr>
          <w:rFonts w:ascii="楷体_GB2312" w:eastAsia="楷体_GB2312" w:hAnsi="仿宋_GB2312" w:cs="仿宋_GB2312" w:hint="eastAsia"/>
          <w:spacing w:val="-2"/>
          <w:szCs w:val="32"/>
        </w:rPr>
        <w:t>（四）政府信息公开平台建设</w:t>
      </w: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lastRenderedPageBreak/>
        <w:t>完善县政府网站常家镇政务公开版块栏目设置，根据《高青县常家镇人民政府主动公开基本目录》，及时更新内容，规范发布内容；加强对常家镇人民政府微信公众号的维护和利用，及时公开和更新信</w:t>
      </w:r>
      <w:r>
        <w:rPr>
          <w:rFonts w:ascii="仿宋_GB2312" w:eastAsia="仿宋_GB2312" w:hAnsi="仿宋_GB2312" w:cs="仿宋_GB2312" w:hint="eastAsia"/>
          <w:spacing w:val="-2"/>
          <w:szCs w:val="32"/>
        </w:rPr>
        <w:t>息和政策。</w:t>
      </w:r>
    </w:p>
    <w:p w:rsidR="00A37383" w:rsidRDefault="00D74DD2">
      <w:pPr>
        <w:spacing w:line="560" w:lineRule="exact"/>
        <w:ind w:firstLineChars="200" w:firstLine="632"/>
        <w:rPr>
          <w:rFonts w:ascii="楷体_GB2312" w:eastAsia="楷体_GB2312" w:hAnsi="仿宋_GB2312" w:cs="仿宋_GB2312"/>
          <w:spacing w:val="-2"/>
          <w:szCs w:val="32"/>
        </w:rPr>
      </w:pPr>
      <w:r>
        <w:rPr>
          <w:rFonts w:ascii="楷体_GB2312" w:eastAsia="楷体_GB2312" w:hAnsi="仿宋_GB2312" w:cs="仿宋_GB2312" w:hint="eastAsia"/>
          <w:spacing w:val="-2"/>
          <w:szCs w:val="32"/>
        </w:rPr>
        <w:t>（五）监督保障</w:t>
      </w:r>
    </w:p>
    <w:p w:rsidR="00A37383" w:rsidRDefault="00D74DD2">
      <w:pPr>
        <w:spacing w:line="560" w:lineRule="exact"/>
        <w:ind w:firstLineChars="200" w:firstLine="632"/>
        <w:rPr>
          <w:rFonts w:ascii="仿宋_GB2312" w:eastAsia="仿宋_GB2312" w:hAnsi="仿宋_GB2312" w:cs="仿宋_GB2312"/>
          <w:spacing w:val="-2"/>
          <w:szCs w:val="32"/>
        </w:rPr>
      </w:pPr>
      <w:r>
        <w:rPr>
          <w:rFonts w:ascii="仿宋_GB2312" w:eastAsia="仿宋_GB2312" w:hAnsi="仿宋_GB2312" w:cs="仿宋_GB2312" w:hint="eastAsia"/>
          <w:spacing w:val="-2"/>
          <w:szCs w:val="32"/>
        </w:rPr>
        <w:t>调整政务公开领导小组，由主要负责人任组长，健全完善领导体制和工作机制。明确党政办公室负责政府信息公开工作，并配备了</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名专职人员、</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名兼职人员。</w:t>
      </w:r>
      <w:r>
        <w:rPr>
          <w:rFonts w:ascii="仿宋_GB2312" w:eastAsia="仿宋_GB2312" w:hAnsi="仿宋_GB2312" w:cs="仿宋_GB2312" w:hint="eastAsia"/>
          <w:spacing w:val="-2"/>
          <w:szCs w:val="32"/>
        </w:rPr>
        <w:t>2021</w:t>
      </w:r>
      <w:r>
        <w:rPr>
          <w:rFonts w:ascii="仿宋_GB2312" w:eastAsia="仿宋_GB2312" w:hAnsi="仿宋_GB2312" w:cs="仿宋_GB2312" w:hint="eastAsia"/>
          <w:spacing w:val="-2"/>
          <w:szCs w:val="32"/>
        </w:rPr>
        <w:t>年开展了</w:t>
      </w:r>
      <w:r>
        <w:rPr>
          <w:rFonts w:ascii="仿宋_GB2312" w:eastAsia="仿宋_GB2312" w:hAnsi="仿宋_GB2312" w:cs="仿宋_GB2312" w:hint="eastAsia"/>
          <w:spacing w:val="-2"/>
          <w:szCs w:val="32"/>
        </w:rPr>
        <w:t>1</w:t>
      </w:r>
      <w:r>
        <w:rPr>
          <w:rFonts w:ascii="仿宋_GB2312" w:eastAsia="仿宋_GB2312" w:hAnsi="仿宋_GB2312" w:cs="仿宋_GB2312" w:hint="eastAsia"/>
          <w:spacing w:val="-2"/>
          <w:szCs w:val="32"/>
        </w:rPr>
        <w:t>次培训，培训内容为《中华人民共和国政府信息公开条例》，提高工作人员的政府信息公开业务水平，推动政务信息公开工作深入开展。</w:t>
      </w:r>
    </w:p>
    <w:p w:rsidR="00A37383" w:rsidRDefault="00A37383">
      <w:pPr>
        <w:spacing w:line="560" w:lineRule="exact"/>
        <w:ind w:firstLineChars="200" w:firstLine="632"/>
        <w:rPr>
          <w:rFonts w:ascii="仿宋_GB2312" w:eastAsia="仿宋_GB2312" w:hAnsi="仿宋_GB2312" w:cs="仿宋_GB2312"/>
          <w:spacing w:val="-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D74DD2">
      <w:pPr>
        <w:adjustRightInd w:val="0"/>
        <w:spacing w:line="560" w:lineRule="exact"/>
        <w:ind w:firstLineChars="200" w:firstLine="640"/>
        <w:rPr>
          <w:rFonts w:ascii="黑体" w:eastAsia="黑体" w:hAnsi="黑体"/>
          <w:szCs w:val="32"/>
        </w:rPr>
      </w:pPr>
      <w:r>
        <w:rPr>
          <w:rFonts w:ascii="黑体" w:eastAsia="黑体" w:hAnsi="黑体" w:hint="eastAsia"/>
          <w:szCs w:val="32"/>
        </w:rPr>
        <w:lastRenderedPageBreak/>
        <w:t>二、主动公开政府信息情况</w:t>
      </w:r>
    </w:p>
    <w:tbl>
      <w:tblPr>
        <w:tblStyle w:val="aa"/>
        <w:tblW w:w="0" w:type="auto"/>
        <w:jc w:val="center"/>
        <w:tblLook w:val="04A0" w:firstRow="1" w:lastRow="0" w:firstColumn="1" w:lastColumn="0" w:noHBand="0" w:noVBand="1"/>
      </w:tblPr>
      <w:tblGrid>
        <w:gridCol w:w="2454"/>
        <w:gridCol w:w="2022"/>
        <w:gridCol w:w="2023"/>
        <w:gridCol w:w="2023"/>
      </w:tblGrid>
      <w:tr w:rsidR="00A37383">
        <w:trPr>
          <w:trHeight w:hRule="exact" w:val="567"/>
          <w:jc w:val="center"/>
        </w:trPr>
        <w:tc>
          <w:tcPr>
            <w:tcW w:w="8981" w:type="dxa"/>
            <w:gridSpan w:val="4"/>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第二十条第（一）项</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信息内容</w:t>
            </w:r>
          </w:p>
        </w:tc>
        <w:tc>
          <w:tcPr>
            <w:tcW w:w="2130"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本年制发件数</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本年废止件数</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现行有效件数</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规章</w:t>
            </w:r>
          </w:p>
        </w:tc>
        <w:tc>
          <w:tcPr>
            <w:tcW w:w="2130"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行政规范性文件</w:t>
            </w:r>
          </w:p>
        </w:tc>
        <w:tc>
          <w:tcPr>
            <w:tcW w:w="2130"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2131"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hRule="exact" w:val="567"/>
          <w:jc w:val="center"/>
        </w:trPr>
        <w:tc>
          <w:tcPr>
            <w:tcW w:w="8981" w:type="dxa"/>
            <w:gridSpan w:val="4"/>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第二十条第（五）项</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信息内容</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本年处理决定数量</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行政许可</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hRule="exact" w:val="567"/>
          <w:jc w:val="center"/>
        </w:trPr>
        <w:tc>
          <w:tcPr>
            <w:tcW w:w="8981" w:type="dxa"/>
            <w:gridSpan w:val="4"/>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第二十条第（六）项</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信息内容</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本年处理决定数量</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行政处罚</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行政强制</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hRule="exact" w:val="567"/>
          <w:jc w:val="center"/>
        </w:trPr>
        <w:tc>
          <w:tcPr>
            <w:tcW w:w="8981" w:type="dxa"/>
            <w:gridSpan w:val="4"/>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第二十条第（八）项</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信息内容</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本年收费金额（单位：万元）</w:t>
            </w:r>
          </w:p>
        </w:tc>
      </w:tr>
      <w:tr w:rsidR="00A37383">
        <w:trPr>
          <w:trHeight w:hRule="exact" w:val="567"/>
          <w:jc w:val="center"/>
        </w:trPr>
        <w:tc>
          <w:tcPr>
            <w:tcW w:w="2589" w:type="dxa"/>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行政事业性收费</w:t>
            </w:r>
          </w:p>
        </w:tc>
        <w:tc>
          <w:tcPr>
            <w:tcW w:w="6392" w:type="dxa"/>
            <w:gridSpan w:val="3"/>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bl>
    <w:p w:rsidR="00A37383" w:rsidRDefault="00A37383">
      <w:pPr>
        <w:spacing w:line="240" w:lineRule="auto"/>
        <w:ind w:firstLine="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D74DD2">
      <w:pPr>
        <w:spacing w:afterLines="50" w:after="156" w:line="240" w:lineRule="auto"/>
        <w:ind w:firstLineChars="200" w:firstLine="640"/>
        <w:rPr>
          <w:rFonts w:ascii="仿宋_GB2312" w:eastAsia="仿宋_GB2312" w:hAnsi="仿宋_GB2312" w:cs="仿宋_GB2312"/>
          <w:szCs w:val="32"/>
        </w:rPr>
      </w:pPr>
      <w:r>
        <w:rPr>
          <w:rFonts w:ascii="黑体" w:eastAsia="黑体" w:hAnsi="黑体" w:hint="eastAsia"/>
          <w:szCs w:val="32"/>
        </w:rPr>
        <w:lastRenderedPageBreak/>
        <w:t>三、收到和处理政府信息公开申请情况</w:t>
      </w:r>
    </w:p>
    <w:tbl>
      <w:tblPr>
        <w:tblW w:w="9935"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768"/>
        <w:gridCol w:w="943"/>
        <w:gridCol w:w="2838"/>
        <w:gridCol w:w="850"/>
        <w:gridCol w:w="709"/>
        <w:gridCol w:w="709"/>
        <w:gridCol w:w="802"/>
        <w:gridCol w:w="851"/>
        <w:gridCol w:w="709"/>
        <w:gridCol w:w="756"/>
      </w:tblGrid>
      <w:tr w:rsidR="00A37383">
        <w:trPr>
          <w:jc w:val="center"/>
        </w:trPr>
        <w:tc>
          <w:tcPr>
            <w:tcW w:w="4549" w:type="dxa"/>
            <w:gridSpan w:val="3"/>
            <w:vMerge w:val="restart"/>
            <w:tcBorders>
              <w:bottom w:val="inset"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（本列数据的勾稽关系为：第一项加第二项之和，等于第三项加第四项之和）</w:t>
            </w:r>
          </w:p>
        </w:tc>
        <w:tc>
          <w:tcPr>
            <w:tcW w:w="5386" w:type="dxa"/>
            <w:gridSpan w:val="7"/>
            <w:tcBorders>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申请人情况</w:t>
            </w:r>
          </w:p>
        </w:tc>
      </w:tr>
      <w:tr w:rsidR="00A37383">
        <w:trPr>
          <w:jc w:val="center"/>
        </w:trPr>
        <w:tc>
          <w:tcPr>
            <w:tcW w:w="4549" w:type="dxa"/>
            <w:gridSpan w:val="3"/>
            <w:vMerge/>
            <w:tcBorders>
              <w:top w:val="single" w:sz="8" w:space="0" w:color="auto"/>
              <w:bottom w:val="inset" w:sz="8"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法人或其他组织</w:t>
            </w:r>
          </w:p>
        </w:tc>
        <w:tc>
          <w:tcPr>
            <w:tcW w:w="756" w:type="dxa"/>
            <w:vMerge w:val="restart"/>
            <w:tcBorders>
              <w:top w:val="single" w:sz="8" w:space="0" w:color="auto"/>
              <w:left w:val="nil"/>
              <w:bottom w:val="inset"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总计</w:t>
            </w:r>
          </w:p>
        </w:tc>
      </w:tr>
      <w:tr w:rsidR="00A37383">
        <w:trPr>
          <w:jc w:val="center"/>
        </w:trPr>
        <w:tc>
          <w:tcPr>
            <w:tcW w:w="4549" w:type="dxa"/>
            <w:gridSpan w:val="3"/>
            <w:vMerge/>
            <w:tcBorders>
              <w:top w:val="single" w:sz="8" w:space="0" w:color="auto"/>
              <w:bottom w:val="inset" w:sz="8"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850" w:type="dxa"/>
            <w:vMerge/>
            <w:tcBorders>
              <w:top w:val="nil"/>
              <w:left w:val="nil"/>
              <w:bottom w:val="single" w:sz="8"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商业</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科研</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tc>
        <w:tc>
          <w:tcPr>
            <w:tcW w:w="756" w:type="dxa"/>
            <w:vMerge/>
            <w:tcBorders>
              <w:top w:val="single" w:sz="8" w:space="0" w:color="auto"/>
              <w:left w:val="nil"/>
              <w:bottom w:val="inset"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r>
      <w:tr w:rsidR="00A37383">
        <w:trPr>
          <w:jc w:val="center"/>
        </w:trPr>
        <w:tc>
          <w:tcPr>
            <w:tcW w:w="4549" w:type="dxa"/>
            <w:gridSpan w:val="3"/>
            <w:tcBorders>
              <w:top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4549" w:type="dxa"/>
            <w:gridSpan w:val="3"/>
            <w:tcBorders>
              <w:top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二、上年结转政府信息公开申请数量</w:t>
            </w:r>
          </w:p>
        </w:tc>
        <w:tc>
          <w:tcPr>
            <w:tcW w:w="850"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4"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768" w:type="dxa"/>
            <w:vMerge w:val="restart"/>
            <w:tcBorders>
              <w:top w:val="single" w:sz="4" w:space="0" w:color="auto"/>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三、本年度办理结果</w:t>
            </w:r>
          </w:p>
        </w:tc>
        <w:tc>
          <w:tcPr>
            <w:tcW w:w="3781" w:type="dxa"/>
            <w:gridSpan w:val="2"/>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（一）予以公开</w:t>
            </w:r>
          </w:p>
        </w:tc>
        <w:tc>
          <w:tcPr>
            <w:tcW w:w="850"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single" w:sz="4" w:space="0" w:color="auto"/>
              <w:left w:val="nil"/>
              <w:bottom w:val="single" w:sz="4"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single" w:sz="4" w:space="0" w:color="auto"/>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3781" w:type="dxa"/>
            <w:gridSpan w:val="2"/>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（二）部分公开（区分处理的，只计这一情形，不计其他情形）</w:t>
            </w:r>
          </w:p>
        </w:tc>
        <w:tc>
          <w:tcPr>
            <w:tcW w:w="850"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single" w:sz="4" w:space="0" w:color="auto"/>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（三）不予公开</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single" w:sz="8" w:space="0" w:color="auto"/>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危及“三安全一稳定”</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4.</w:t>
            </w:r>
            <w:r>
              <w:rPr>
                <w:rFonts w:ascii="仿宋_GB2312" w:eastAsia="仿宋_GB2312" w:hAnsi="仿宋_GB2312" w:cs="仿宋_GB2312" w:hint="eastAsia"/>
                <w:snapToGrid/>
                <w:sz w:val="20"/>
              </w:rPr>
              <w:t>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5.</w:t>
            </w:r>
            <w:r>
              <w:rPr>
                <w:rFonts w:ascii="仿宋_GB2312" w:eastAsia="仿宋_GB2312" w:hAnsi="仿宋_GB2312" w:cs="仿宋_GB2312" w:hint="eastAsia"/>
                <w:snapToGrid/>
                <w:sz w:val="20"/>
              </w:rPr>
              <w:t>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6.</w:t>
            </w:r>
            <w:r>
              <w:rPr>
                <w:rFonts w:ascii="仿宋_GB2312" w:eastAsia="仿宋_GB2312" w:hAnsi="仿宋_GB2312" w:cs="仿宋_GB2312" w:hint="eastAsia"/>
                <w:snapToGrid/>
                <w:sz w:val="20"/>
              </w:rPr>
              <w:t>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7.</w:t>
            </w:r>
            <w:r>
              <w:rPr>
                <w:rFonts w:ascii="仿宋_GB2312" w:eastAsia="仿宋_GB2312" w:hAnsi="仿宋_GB2312" w:cs="仿宋_GB2312" w:hint="eastAsia"/>
                <w:snapToGrid/>
                <w:sz w:val="20"/>
              </w:rPr>
              <w:t>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8.</w:t>
            </w:r>
            <w:r>
              <w:rPr>
                <w:rFonts w:ascii="仿宋_GB2312" w:eastAsia="仿宋_GB2312" w:hAnsi="仿宋_GB2312" w:cs="仿宋_GB2312" w:hint="eastAsia"/>
                <w:snapToGrid/>
                <w:sz w:val="20"/>
              </w:rPr>
              <w:t>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（四）无法提供</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single" w:sz="4"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single" w:sz="4"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补正后申请内容仍不明确</w:t>
            </w:r>
          </w:p>
        </w:tc>
        <w:tc>
          <w:tcPr>
            <w:tcW w:w="850"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4"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single" w:sz="4"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943" w:type="dxa"/>
            <w:vMerge w:val="restart"/>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（五）不予处理</w:t>
            </w:r>
          </w:p>
        </w:tc>
        <w:tc>
          <w:tcPr>
            <w:tcW w:w="2838"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信访举报投诉类申请</w:t>
            </w:r>
          </w:p>
        </w:tc>
        <w:tc>
          <w:tcPr>
            <w:tcW w:w="850"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single" w:sz="4" w:space="0" w:color="auto"/>
              <w:left w:val="nil"/>
              <w:bottom w:val="single" w:sz="4"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single" w:sz="4" w:space="0" w:color="auto"/>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single" w:sz="4" w:space="0" w:color="auto"/>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重复申请</w:t>
            </w:r>
          </w:p>
        </w:tc>
        <w:tc>
          <w:tcPr>
            <w:tcW w:w="850"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single" w:sz="4" w:space="0" w:color="auto"/>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single" w:sz="4" w:space="0" w:color="auto"/>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4.</w:t>
            </w:r>
            <w:r>
              <w:rPr>
                <w:rFonts w:ascii="仿宋_GB2312" w:eastAsia="仿宋_GB2312" w:hAnsi="仿宋_GB2312" w:cs="仿宋_GB2312" w:hint="eastAsia"/>
                <w:snapToGrid/>
                <w:sz w:val="20"/>
              </w:rPr>
              <w:t>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trHeight w:val="779"/>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nil"/>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5.</w:t>
            </w:r>
            <w:r>
              <w:rPr>
                <w:rFonts w:ascii="仿宋_GB2312" w:eastAsia="仿宋_GB2312" w:hAnsi="仿宋_GB2312" w:cs="仿宋_GB2312" w:hint="eastAsia"/>
                <w:snapToGrid/>
                <w:sz w:val="20"/>
              </w:rPr>
              <w:t>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inset"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（六）其他处理</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1.</w:t>
            </w:r>
            <w:r>
              <w:rPr>
                <w:rFonts w:ascii="仿宋_GB2312" w:eastAsia="仿宋_GB2312" w:hAnsi="仿宋_GB2312" w:cs="仿宋_GB2312" w:hint="eastAsia"/>
                <w:snapToGrid/>
                <w:sz w:val="20"/>
              </w:rPr>
              <w:t>申请人无正当理由逾期不补正、行政机关不再处理其政府信息公开申请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inset" w:sz="8" w:space="0" w:color="auto"/>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2.</w:t>
            </w:r>
            <w:r>
              <w:rPr>
                <w:rFonts w:ascii="仿宋_GB2312" w:eastAsia="仿宋_GB2312" w:hAnsi="仿宋_GB2312" w:cs="仿宋_GB2312" w:hint="eastAsia"/>
                <w:snapToGrid/>
                <w:sz w:val="20"/>
              </w:rPr>
              <w:t>申请人逾期未按收费通知要求缴纳费用、行政机关不再处理其政府信息公开申请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0" w:type="auto"/>
            <w:vMerge/>
            <w:tcBorders>
              <w:top w:val="inset" w:sz="8" w:space="0" w:color="auto"/>
              <w:left w:val="nil"/>
              <w:bottom w:val="inset" w:sz="8" w:space="0" w:color="auto"/>
              <w:right w:val="single" w:sz="8" w:space="0" w:color="auto"/>
            </w:tcBorders>
            <w:vAlign w:val="center"/>
          </w:tcPr>
          <w:p w:rsidR="00A37383" w:rsidRDefault="00A37383">
            <w:pPr>
              <w:widowControl/>
              <w:autoSpaceDE/>
              <w:autoSpaceDN/>
              <w:snapToGrid/>
              <w:spacing w:line="240" w:lineRule="auto"/>
              <w:ind w:firstLine="0"/>
              <w:rPr>
                <w:rFonts w:ascii="仿宋_GB2312" w:eastAsia="仿宋_GB2312" w:hAnsi="仿宋_GB2312" w:cs="仿宋_GB2312"/>
                <w:snapToGrid/>
                <w:sz w:val="20"/>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3.</w:t>
            </w:r>
            <w:r>
              <w:rPr>
                <w:rFonts w:ascii="仿宋_GB2312" w:eastAsia="仿宋_GB2312" w:hAnsi="仿宋_GB2312" w:cs="仿宋_GB2312" w:hint="eastAsia"/>
                <w:snapToGrid/>
                <w:sz w:val="20"/>
              </w:rPr>
              <w:t>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0" w:type="auto"/>
            <w:vMerge/>
            <w:tcBorders>
              <w:top w:val="nil"/>
              <w:bottom w:val="inset" w:sz="8"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left"/>
              <w:rPr>
                <w:rFonts w:ascii="仿宋_GB2312" w:eastAsia="仿宋_GB2312" w:hAnsi="仿宋_GB2312" w:cs="仿宋_GB2312"/>
                <w:snapToGrid/>
                <w:sz w:val="20"/>
              </w:rPr>
            </w:pPr>
            <w:r>
              <w:rPr>
                <w:rFonts w:ascii="仿宋_GB2312" w:eastAsia="仿宋_GB2312" w:hAnsi="仿宋_GB2312" w:cs="仿宋_GB2312" w:hint="eastAsia"/>
                <w:snapToGrid/>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bottom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r w:rsidR="00A37383">
        <w:trPr>
          <w:jc w:val="center"/>
        </w:trPr>
        <w:tc>
          <w:tcPr>
            <w:tcW w:w="4549" w:type="dxa"/>
            <w:gridSpan w:val="3"/>
            <w:tcBorders>
              <w:top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left"/>
              <w:rPr>
                <w:rFonts w:ascii="仿宋_GB2312" w:eastAsia="仿宋_GB2312" w:hAnsi="仿宋_GB2312" w:cs="仿宋_GB2312"/>
                <w:snapToGrid/>
                <w:sz w:val="20"/>
              </w:rPr>
            </w:pPr>
            <w:r>
              <w:rPr>
                <w:rFonts w:ascii="仿宋_GB2312" w:eastAsia="仿宋_GB2312" w:hAnsi="仿宋_GB2312" w:cs="仿宋_GB2312" w:hint="eastAsia"/>
                <w:snapToGrid/>
                <w:sz w:val="20"/>
              </w:rPr>
              <w:t>四、结转下年度继续办理</w:t>
            </w:r>
          </w:p>
        </w:tc>
        <w:tc>
          <w:tcPr>
            <w:tcW w:w="850"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02"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851"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09" w:type="dxa"/>
            <w:tcBorders>
              <w:top w:val="nil"/>
              <w:left w:val="nil"/>
              <w:right w:val="single" w:sz="8" w:space="0" w:color="auto"/>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c>
          <w:tcPr>
            <w:tcW w:w="756" w:type="dxa"/>
            <w:tcBorders>
              <w:top w:val="nil"/>
              <w:left w:val="nil"/>
            </w:tcBorders>
            <w:tcMar>
              <w:top w:w="0" w:type="dxa"/>
              <w:left w:w="57" w:type="dxa"/>
              <w:bottom w:w="0" w:type="dxa"/>
              <w:right w:w="57"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bl>
    <w:p w:rsidR="00A37383" w:rsidRDefault="00A37383">
      <w:pPr>
        <w:spacing w:afterLines="50" w:after="156" w:line="240" w:lineRule="auto"/>
        <w:ind w:firstLine="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A37383">
      <w:pPr>
        <w:spacing w:afterLines="50" w:after="156" w:line="240" w:lineRule="auto"/>
        <w:ind w:firstLineChars="200" w:firstLine="640"/>
        <w:rPr>
          <w:rFonts w:ascii="仿宋_GB2312" w:eastAsia="仿宋_GB2312" w:hAnsi="仿宋_GB2312" w:cs="仿宋_GB2312"/>
          <w:szCs w:val="32"/>
        </w:rPr>
      </w:pPr>
    </w:p>
    <w:p w:rsidR="00A37383" w:rsidRDefault="00D74DD2">
      <w:pPr>
        <w:adjustRightInd w:val="0"/>
        <w:spacing w:line="560" w:lineRule="exact"/>
        <w:ind w:firstLineChars="200" w:firstLine="640"/>
        <w:rPr>
          <w:rFonts w:ascii="黑体" w:eastAsia="黑体" w:hAnsi="黑体"/>
          <w:szCs w:val="32"/>
        </w:rPr>
      </w:pPr>
      <w:r>
        <w:rPr>
          <w:rFonts w:ascii="黑体" w:eastAsia="黑体" w:hAnsi="黑体" w:hint="eastAsia"/>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A37383">
        <w:trPr>
          <w:jc w:val="center"/>
        </w:trPr>
        <w:tc>
          <w:tcPr>
            <w:tcW w:w="3210" w:type="dxa"/>
            <w:gridSpan w:val="5"/>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行政复议</w:t>
            </w:r>
          </w:p>
        </w:tc>
        <w:tc>
          <w:tcPr>
            <w:tcW w:w="6428" w:type="dxa"/>
            <w:gridSpan w:val="10"/>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行政诉讼</w:t>
            </w:r>
          </w:p>
        </w:tc>
      </w:tr>
      <w:tr w:rsidR="00A37383">
        <w:trPr>
          <w:trHeight w:val="900"/>
          <w:jc w:val="center"/>
        </w:trPr>
        <w:tc>
          <w:tcPr>
            <w:tcW w:w="642" w:type="dxa"/>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未经复议直接起诉</w:t>
            </w:r>
          </w:p>
        </w:tc>
        <w:tc>
          <w:tcPr>
            <w:tcW w:w="3215" w:type="dxa"/>
            <w:gridSpan w:val="5"/>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复议后起诉</w:t>
            </w:r>
          </w:p>
        </w:tc>
      </w:tr>
      <w:tr w:rsidR="00A37383">
        <w:trPr>
          <w:jc w:val="center"/>
        </w:trPr>
        <w:tc>
          <w:tcPr>
            <w:tcW w:w="0" w:type="auto"/>
            <w:vMerge/>
            <w:tcBorders>
              <w:top w:val="nil"/>
              <w:left w:val="single" w:sz="4"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0" w:type="auto"/>
            <w:vMerge/>
            <w:tcBorders>
              <w:top w:val="nil"/>
              <w:left w:val="single" w:sz="8"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0" w:type="auto"/>
            <w:vMerge/>
            <w:tcBorders>
              <w:top w:val="single" w:sz="8" w:space="0" w:color="auto"/>
              <w:left w:val="single" w:sz="8" w:space="0" w:color="auto"/>
              <w:bottom w:val="single" w:sz="4" w:space="0" w:color="auto"/>
              <w:right w:val="single" w:sz="8" w:space="0" w:color="auto"/>
            </w:tcBorders>
            <w:vAlign w:val="center"/>
          </w:tcPr>
          <w:p w:rsidR="00A37383" w:rsidRDefault="00A37383">
            <w:pPr>
              <w:widowControl/>
              <w:autoSpaceDE/>
              <w:autoSpaceDN/>
              <w:snapToGrid/>
              <w:spacing w:line="240" w:lineRule="auto"/>
              <w:ind w:firstLine="0"/>
              <w:jc w:val="center"/>
              <w:rPr>
                <w:rFonts w:ascii="仿宋_GB2312" w:eastAsia="仿宋_GB2312" w:hAnsi="仿宋_GB2312" w:cs="仿宋_GB2312"/>
                <w:snapToGrid/>
                <w:sz w:val="20"/>
              </w:rPr>
            </w:pPr>
          </w:p>
        </w:tc>
        <w:tc>
          <w:tcPr>
            <w:tcW w:w="6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维持</w:t>
            </w:r>
          </w:p>
        </w:tc>
        <w:tc>
          <w:tcPr>
            <w:tcW w:w="6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纠正</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审结</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总计</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维持</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纠正</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其他</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结果</w:t>
            </w:r>
          </w:p>
        </w:tc>
        <w:tc>
          <w:tcPr>
            <w:tcW w:w="64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尚未</w:t>
            </w:r>
          </w:p>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审结</w:t>
            </w:r>
          </w:p>
        </w:tc>
        <w:tc>
          <w:tcPr>
            <w:tcW w:w="643"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jc w:val="center"/>
              <w:rPr>
                <w:rFonts w:ascii="仿宋_GB2312" w:eastAsia="仿宋_GB2312" w:hAnsi="仿宋_GB2312" w:cs="仿宋_GB2312"/>
                <w:snapToGrid/>
                <w:sz w:val="20"/>
              </w:rPr>
            </w:pPr>
            <w:r>
              <w:rPr>
                <w:rFonts w:ascii="仿宋_GB2312" w:eastAsia="仿宋_GB2312" w:hAnsi="仿宋_GB2312" w:cs="仿宋_GB2312" w:hint="eastAsia"/>
                <w:snapToGrid/>
                <w:sz w:val="20"/>
              </w:rPr>
              <w:t>总计</w:t>
            </w:r>
          </w:p>
        </w:tc>
      </w:tr>
      <w:tr w:rsidR="00A37383">
        <w:trPr>
          <w:trHeight w:val="662"/>
          <w:jc w:val="center"/>
        </w:trPr>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0 </w:t>
            </w:r>
          </w:p>
        </w:tc>
        <w:tc>
          <w:tcPr>
            <w:tcW w:w="6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0 </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 0</w:t>
            </w:r>
          </w:p>
        </w:tc>
        <w:tc>
          <w:tcPr>
            <w:tcW w:w="6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37383" w:rsidRDefault="00D74DD2">
            <w:pPr>
              <w:widowControl/>
              <w:autoSpaceDE/>
              <w:autoSpaceDN/>
              <w:snapToGrid/>
              <w:spacing w:line="240" w:lineRule="auto"/>
              <w:ind w:firstLine="0"/>
              <w:rPr>
                <w:rFonts w:ascii="仿宋_GB2312" w:eastAsia="仿宋_GB2312" w:hAnsi="仿宋_GB2312" w:cs="仿宋_GB2312"/>
                <w:snapToGrid/>
                <w:sz w:val="20"/>
              </w:rPr>
            </w:pPr>
            <w:r>
              <w:rPr>
                <w:rFonts w:ascii="仿宋_GB2312" w:eastAsia="仿宋_GB2312" w:hAnsi="仿宋_GB2312" w:cs="仿宋_GB2312" w:hint="eastAsia"/>
                <w:snapToGrid/>
                <w:sz w:val="20"/>
              </w:rPr>
              <w:t>0</w:t>
            </w:r>
          </w:p>
        </w:tc>
      </w:tr>
    </w:tbl>
    <w:p w:rsidR="00A37383" w:rsidRDefault="00A37383">
      <w:pPr>
        <w:spacing w:line="240" w:lineRule="auto"/>
        <w:ind w:firstLineChars="200" w:firstLine="640"/>
        <w:rPr>
          <w:rFonts w:ascii="仿宋_GB2312" w:eastAsia="仿宋_GB2312" w:hAnsi="仿宋_GB2312" w:cs="仿宋_GB2312"/>
          <w:szCs w:val="32"/>
        </w:rPr>
      </w:pPr>
    </w:p>
    <w:p w:rsidR="00A37383" w:rsidRDefault="00D74DD2">
      <w:pPr>
        <w:adjustRightInd w:val="0"/>
        <w:spacing w:line="560" w:lineRule="exact"/>
        <w:ind w:firstLineChars="200" w:firstLine="640"/>
        <w:rPr>
          <w:rFonts w:ascii="黑体" w:eastAsia="黑体" w:hAnsi="黑体"/>
          <w:szCs w:val="32"/>
        </w:rPr>
      </w:pPr>
      <w:r>
        <w:rPr>
          <w:rFonts w:ascii="黑体" w:eastAsia="黑体" w:hAnsi="黑体" w:hint="eastAsia"/>
          <w:szCs w:val="32"/>
        </w:rPr>
        <w:t>五、存在的主要问题及改进情况</w:t>
      </w:r>
    </w:p>
    <w:p w:rsidR="00A37383" w:rsidRDefault="00D74DD2">
      <w:pPr>
        <w:adjustRightInd w:val="0"/>
        <w:spacing w:line="560" w:lineRule="exact"/>
        <w:rPr>
          <w:rFonts w:ascii="楷体_GB2312" w:eastAsia="楷体_GB2312"/>
        </w:rPr>
      </w:pPr>
      <w:r>
        <w:rPr>
          <w:rFonts w:ascii="楷体_GB2312" w:eastAsia="楷体_GB2312" w:hint="eastAsia"/>
        </w:rPr>
        <w:t>（一）主要问题</w:t>
      </w:r>
    </w:p>
    <w:p w:rsidR="00A37383" w:rsidRDefault="00D74DD2">
      <w:pPr>
        <w:pStyle w:val="a4"/>
        <w:spacing w:before="0" w:line="560" w:lineRule="exact"/>
        <w:ind w:left="0" w:firstLineChars="200" w:firstLine="640"/>
        <w:rPr>
          <w:lang w:val="en-US" w:bidi="ar-SA"/>
        </w:rPr>
      </w:pPr>
      <w:r>
        <w:rPr>
          <w:rFonts w:hint="eastAsia"/>
          <w:lang w:val="en-US" w:bidi="ar-SA"/>
        </w:rPr>
        <w:t>2021</w:t>
      </w:r>
      <w:r>
        <w:rPr>
          <w:rFonts w:hint="eastAsia"/>
          <w:lang w:val="en-US" w:bidi="ar-SA"/>
        </w:rPr>
        <w:t>年政府信息公开工作虽然取得了一定成效，但与建设法治政府的新要求、人民群众的新期待，还存在一些差距。主要表现为：一是政务信息公开力度有待进一步加大；二是政务信息公开的内容还不够全面；三是信息公开更新还不够及时。</w:t>
      </w:r>
    </w:p>
    <w:p w:rsidR="00A37383" w:rsidRDefault="00D74DD2">
      <w:pPr>
        <w:adjustRightInd w:val="0"/>
        <w:spacing w:line="560" w:lineRule="exact"/>
        <w:rPr>
          <w:rFonts w:ascii="楷体_GB2312" w:eastAsia="楷体_GB2312"/>
        </w:rPr>
      </w:pPr>
      <w:r>
        <w:rPr>
          <w:rFonts w:ascii="楷体_GB2312" w:eastAsia="楷体_GB2312" w:hint="eastAsia"/>
        </w:rPr>
        <w:t>（二）改进措施</w:t>
      </w:r>
    </w:p>
    <w:p w:rsidR="00A37383" w:rsidRDefault="00D74DD2">
      <w:pPr>
        <w:pStyle w:val="a4"/>
        <w:spacing w:before="0" w:line="560" w:lineRule="exact"/>
        <w:ind w:left="0" w:firstLineChars="200" w:firstLine="640"/>
        <w:rPr>
          <w:lang w:val="en-US" w:bidi="ar-SA"/>
        </w:rPr>
      </w:pPr>
      <w:r>
        <w:rPr>
          <w:rFonts w:hint="eastAsia"/>
          <w:lang w:val="en-US" w:bidi="ar-SA"/>
        </w:rPr>
        <w:t>一是加大信息公开力度。进一步完善信息公开制度，强化信息公开的责任意识、大局意识、服务意识，确保政务信息公开工作及时、准确；二是更好地接受社会公众对信息公开情况的监督；三是大力开展</w:t>
      </w:r>
      <w:r>
        <w:rPr>
          <w:rFonts w:hint="eastAsia"/>
          <w:lang w:val="en-US" w:bidi="ar-SA"/>
        </w:rPr>
        <w:t>政府</w:t>
      </w:r>
      <w:r>
        <w:rPr>
          <w:rFonts w:hint="eastAsia"/>
          <w:lang w:val="en-US" w:bidi="ar-SA"/>
        </w:rPr>
        <w:t>信息宣传活动，增强群众对政务信息公开工作的认知度。</w:t>
      </w:r>
    </w:p>
    <w:p w:rsidR="00A37383" w:rsidRDefault="00D74DD2">
      <w:pPr>
        <w:adjustRightInd w:val="0"/>
        <w:spacing w:line="560" w:lineRule="exact"/>
        <w:ind w:firstLineChars="200" w:firstLine="640"/>
        <w:rPr>
          <w:rFonts w:ascii="黑体" w:eastAsia="黑体" w:hAnsi="黑体"/>
          <w:szCs w:val="32"/>
        </w:rPr>
      </w:pPr>
      <w:r>
        <w:rPr>
          <w:rFonts w:ascii="黑体" w:eastAsia="黑体" w:hAnsi="黑体" w:hint="eastAsia"/>
          <w:szCs w:val="32"/>
        </w:rPr>
        <w:t>六、其他需要报告的事项</w:t>
      </w:r>
    </w:p>
    <w:p w:rsidR="00A37383" w:rsidRDefault="00D74DD2">
      <w:pPr>
        <w:adjustRightInd w:val="0"/>
        <w:spacing w:line="560" w:lineRule="exact"/>
        <w:rPr>
          <w:rFonts w:ascii="楷体_GB2312" w:eastAsia="楷体_GB2312"/>
        </w:rPr>
      </w:pPr>
      <w:r>
        <w:rPr>
          <w:rFonts w:ascii="楷体_GB2312" w:eastAsia="楷体_GB2312" w:hint="eastAsia"/>
        </w:rPr>
        <w:t>（一）收取信息处理费情况</w:t>
      </w:r>
    </w:p>
    <w:p w:rsidR="00A37383" w:rsidRDefault="00D74DD2">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本机关依申请提供政府信息，按照《国务院办公厅关于印发</w:t>
      </w:r>
      <w:r>
        <w:rPr>
          <w:rFonts w:ascii="仿宋_GB2312" w:eastAsia="仿宋_GB2312" w:hAnsi="仿宋_GB2312" w:cs="仿宋_GB2312" w:hint="eastAsia"/>
          <w:szCs w:val="32"/>
        </w:rPr>
        <w:t>&lt;</w:t>
      </w:r>
      <w:r>
        <w:rPr>
          <w:rFonts w:ascii="仿宋_GB2312" w:eastAsia="仿宋_GB2312" w:hAnsi="仿宋_GB2312" w:cs="仿宋_GB2312" w:hint="eastAsia"/>
          <w:szCs w:val="32"/>
        </w:rPr>
        <w:t>政府信息公开信息处理费管理办法</w:t>
      </w:r>
      <w:r>
        <w:rPr>
          <w:rFonts w:ascii="仿宋_GB2312" w:eastAsia="仿宋_GB2312" w:hAnsi="仿宋_GB2312" w:cs="仿宋_GB2312" w:hint="eastAsia"/>
          <w:szCs w:val="32"/>
        </w:rPr>
        <w:t>&gt;</w:t>
      </w:r>
      <w:r>
        <w:rPr>
          <w:rFonts w:ascii="仿宋_GB2312" w:eastAsia="仿宋_GB2312" w:hAnsi="仿宋_GB2312" w:cs="仿宋_GB2312" w:hint="eastAsia"/>
          <w:szCs w:val="32"/>
        </w:rPr>
        <w:t>的通知》（国办函〔</w:t>
      </w:r>
      <w:r>
        <w:rPr>
          <w:rFonts w:ascii="仿宋_GB2312" w:eastAsia="仿宋_GB2312" w:hAnsi="仿宋_GB2312" w:cs="仿宋_GB2312" w:hint="eastAsia"/>
          <w:szCs w:val="32"/>
        </w:rPr>
        <w:t>2020</w:t>
      </w:r>
      <w:r>
        <w:rPr>
          <w:rFonts w:ascii="仿宋_GB2312" w:eastAsia="仿宋_GB2312" w:hAnsi="仿宋_GB2312" w:cs="仿宋_GB2312" w:hint="eastAsia"/>
          <w:szCs w:val="32"/>
        </w:rPr>
        <w:t>〕</w:t>
      </w:r>
      <w:r>
        <w:rPr>
          <w:rFonts w:ascii="仿宋_GB2312" w:eastAsia="仿宋_GB2312" w:hAnsi="仿宋_GB2312" w:cs="仿宋_GB2312" w:hint="eastAsia"/>
          <w:szCs w:val="32"/>
        </w:rPr>
        <w:t>109</w:t>
      </w:r>
      <w:r>
        <w:rPr>
          <w:rFonts w:ascii="仿宋_GB2312" w:eastAsia="仿宋_GB2312" w:hAnsi="仿宋_GB2312" w:cs="仿宋_GB2312" w:hint="eastAsia"/>
          <w:szCs w:val="32"/>
        </w:rPr>
        <w:t>号）和《山东省人民政府办公厅关于做好政府</w:t>
      </w:r>
      <w:r>
        <w:rPr>
          <w:rFonts w:ascii="仿宋_GB2312" w:eastAsia="仿宋_GB2312" w:hAnsi="仿宋_GB2312" w:cs="仿宋_GB2312" w:hint="eastAsia"/>
          <w:szCs w:val="32"/>
        </w:rPr>
        <w:lastRenderedPageBreak/>
        <w:t>信息公开信息处理费管理工作有关事项的通知》（鲁政办字〔</w:t>
      </w:r>
      <w:r>
        <w:rPr>
          <w:rFonts w:ascii="仿宋_GB2312" w:eastAsia="仿宋_GB2312" w:hAnsi="仿宋_GB2312" w:cs="仿宋_GB2312" w:hint="eastAsia"/>
          <w:szCs w:val="32"/>
        </w:rPr>
        <w:t>2020</w:t>
      </w:r>
      <w:r>
        <w:rPr>
          <w:rFonts w:ascii="仿宋_GB2312" w:eastAsia="仿宋_GB2312" w:hAnsi="仿宋_GB2312" w:cs="仿宋_GB2312" w:hint="eastAsia"/>
          <w:szCs w:val="32"/>
        </w:rPr>
        <w:t>〕</w:t>
      </w:r>
      <w:r>
        <w:rPr>
          <w:rFonts w:ascii="仿宋_GB2312" w:eastAsia="仿宋_GB2312" w:hAnsi="仿宋_GB2312" w:cs="仿宋_GB2312" w:hint="eastAsia"/>
          <w:szCs w:val="32"/>
        </w:rPr>
        <w:t>179</w:t>
      </w:r>
      <w:r>
        <w:rPr>
          <w:rFonts w:ascii="仿宋_GB2312" w:eastAsia="仿宋_GB2312" w:hAnsi="仿宋_GB2312" w:cs="仿宋_GB2312" w:hint="eastAsia"/>
          <w:szCs w:val="32"/>
        </w:rPr>
        <w:t>号）收取信息处理费。</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年，本机关依申请公开政府信息未收取任何费用。</w:t>
      </w:r>
    </w:p>
    <w:p w:rsidR="00A37383" w:rsidRDefault="00D74DD2">
      <w:pPr>
        <w:adjustRightInd w:val="0"/>
        <w:spacing w:line="560" w:lineRule="exact"/>
        <w:rPr>
          <w:rFonts w:ascii="楷体_GB2312" w:eastAsia="楷体_GB2312"/>
        </w:rPr>
      </w:pPr>
      <w:r>
        <w:rPr>
          <w:rFonts w:ascii="楷体_GB2312" w:eastAsia="楷体_GB2312" w:hint="eastAsia"/>
        </w:rPr>
        <w:t>（二）落实上级年度政务公开工作要点情况</w:t>
      </w:r>
    </w:p>
    <w:p w:rsidR="00A37383" w:rsidRDefault="00D74DD2">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严格落实《国务院办公厅关于印发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年政务公开工作要点的通知》（国办发〔</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12</w:t>
      </w:r>
      <w:r>
        <w:rPr>
          <w:rFonts w:ascii="仿宋_GB2312" w:eastAsia="仿宋_GB2312" w:hAnsi="仿宋_GB2312" w:cs="仿宋_GB2312" w:hint="eastAsia"/>
          <w:szCs w:val="32"/>
        </w:rPr>
        <w:t>号）、《山东省人民政府办公厅关于印发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年山东省政</w:t>
      </w:r>
      <w:r>
        <w:rPr>
          <w:rFonts w:ascii="仿宋_GB2312" w:eastAsia="仿宋_GB2312" w:hAnsi="仿宋_GB2312" w:cs="仿宋_GB2312" w:hint="eastAsia"/>
          <w:szCs w:val="32"/>
        </w:rPr>
        <w:t>务公开工作要点的通知》（鲁政办发〔</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5</w:t>
      </w:r>
      <w:r>
        <w:rPr>
          <w:rFonts w:ascii="仿宋_GB2312" w:eastAsia="仿宋_GB2312" w:hAnsi="仿宋_GB2312" w:cs="仿宋_GB2312" w:hint="eastAsia"/>
          <w:szCs w:val="32"/>
        </w:rPr>
        <w:t>号）、《淄博市人民政府办公室关于印发</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年淄博市政务公开工作要点的通知》（淄政办字〔</w:t>
      </w:r>
      <w:r>
        <w:rPr>
          <w:rFonts w:ascii="仿宋_GB2312" w:eastAsia="仿宋_GB2312" w:hAnsi="仿宋_GB2312" w:cs="仿宋_GB2312" w:hint="eastAsia"/>
          <w:szCs w:val="32"/>
        </w:rPr>
        <w:t>2021</w:t>
      </w:r>
      <w:r>
        <w:rPr>
          <w:rFonts w:ascii="仿宋_GB2312" w:eastAsia="仿宋_GB2312" w:hAnsi="仿宋_GB2312" w:cs="仿宋_GB2312" w:hint="eastAsia"/>
          <w:szCs w:val="32"/>
        </w:rPr>
        <w:t>〕</w:t>
      </w:r>
      <w:r>
        <w:rPr>
          <w:rFonts w:ascii="仿宋_GB2312" w:eastAsia="仿宋_GB2312" w:hAnsi="仿宋_GB2312" w:cs="仿宋_GB2312" w:hint="eastAsia"/>
          <w:szCs w:val="32"/>
        </w:rPr>
        <w:t>39</w:t>
      </w:r>
      <w:r>
        <w:rPr>
          <w:rFonts w:ascii="仿宋_GB2312" w:eastAsia="仿宋_GB2312" w:hAnsi="仿宋_GB2312" w:cs="仿宋_GB2312" w:hint="eastAsia"/>
          <w:szCs w:val="32"/>
        </w:rPr>
        <w:t>号）各项规定，制定了《高青县常家镇</w:t>
      </w:r>
      <w:r>
        <w:rPr>
          <w:rFonts w:ascii="仿宋_GB2312" w:eastAsia="仿宋_GB2312" w:hAnsi="仿宋_GB2312" w:cs="仿宋_GB2312" w:hint="eastAsia"/>
          <w:szCs w:val="32"/>
        </w:rPr>
        <w:t>2021</w:t>
      </w:r>
      <w:r>
        <w:rPr>
          <w:rFonts w:ascii="仿宋_GB2312" w:eastAsia="仿宋_GB2312" w:hAnsi="仿宋_GB2312" w:cs="仿宋_GB2312" w:hint="eastAsia"/>
          <w:szCs w:val="32"/>
        </w:rPr>
        <w:t>年政务公开工作实施方案》，根据要点要求，重点做好公共法律服务领域、机构职能、规划计划、重要部署执行、财政信息、应急管理、优化营商环境等试点领域标准目录信息公开工作，并对每季度的《政府工作报告》重点任务、民生实事项目、</w:t>
      </w:r>
      <w:r>
        <w:rPr>
          <w:rFonts w:ascii="仿宋_GB2312" w:eastAsia="仿宋_GB2312" w:hAnsi="仿宋_GB2312" w:cs="仿宋_GB2312" w:hint="eastAsia"/>
          <w:szCs w:val="32"/>
        </w:rPr>
        <w:t>2021</w:t>
      </w:r>
      <w:r>
        <w:rPr>
          <w:rFonts w:ascii="仿宋_GB2312" w:eastAsia="仿宋_GB2312" w:hAnsi="仿宋_GB2312" w:cs="仿宋_GB2312" w:hint="eastAsia"/>
          <w:szCs w:val="32"/>
        </w:rPr>
        <w:t>年度重点工作进展情况进行了及时公开，进一步加强群众监督，提高群众知晓度，确保基层政务公开标准化规范</w:t>
      </w:r>
      <w:r>
        <w:rPr>
          <w:rFonts w:ascii="仿宋_GB2312" w:eastAsia="仿宋_GB2312" w:hAnsi="仿宋_GB2312" w:cs="仿宋_GB2312" w:hint="eastAsia"/>
          <w:szCs w:val="32"/>
        </w:rPr>
        <w:t>化工作有序推进、取得实效。</w:t>
      </w:r>
    </w:p>
    <w:p w:rsidR="00A37383" w:rsidRDefault="00D74DD2">
      <w:pPr>
        <w:adjustRightInd w:val="0"/>
        <w:spacing w:line="560" w:lineRule="exact"/>
        <w:rPr>
          <w:rFonts w:ascii="楷体_GB2312" w:eastAsia="楷体_GB2312"/>
        </w:rPr>
      </w:pPr>
      <w:r>
        <w:rPr>
          <w:rFonts w:ascii="楷体_GB2312" w:eastAsia="楷体_GB2312" w:hint="eastAsia"/>
        </w:rPr>
        <w:t>（三）人大代表建议和政协委员提案办理结果公开情况</w:t>
      </w:r>
    </w:p>
    <w:p w:rsidR="00A37383" w:rsidRDefault="00D74DD2">
      <w:pPr>
        <w:spacing w:line="560" w:lineRule="exact"/>
        <w:ind w:firstLineChars="200" w:firstLine="640"/>
        <w:rPr>
          <w:rFonts w:ascii="仿宋_GB2312" w:eastAsia="仿宋_GB2312" w:hAnsi="仿宋_GB2312" w:cs="仿宋_GB2312"/>
          <w:color w:val="000000" w:themeColor="text1"/>
          <w:szCs w:val="32"/>
        </w:rPr>
      </w:pPr>
      <w:r>
        <w:rPr>
          <w:rFonts w:ascii="仿宋_GB2312" w:eastAsia="仿宋_GB2312" w:hAnsi="仿宋_GB2312" w:cs="仿宋_GB2312" w:hint="eastAsia"/>
          <w:color w:val="000000" w:themeColor="text1"/>
          <w:szCs w:val="32"/>
        </w:rPr>
        <w:t>2021</w:t>
      </w:r>
      <w:r>
        <w:rPr>
          <w:rFonts w:ascii="仿宋_GB2312" w:eastAsia="仿宋_GB2312" w:hAnsi="仿宋_GB2312" w:cs="仿宋_GB2312" w:hint="eastAsia"/>
          <w:color w:val="000000" w:themeColor="text1"/>
          <w:szCs w:val="32"/>
        </w:rPr>
        <w:t>年承办县十七届人大五次会议建议</w:t>
      </w:r>
      <w:r>
        <w:rPr>
          <w:rFonts w:ascii="仿宋_GB2312" w:eastAsia="仿宋_GB2312" w:hAnsi="仿宋_GB2312" w:cs="仿宋_GB2312" w:hint="eastAsia"/>
          <w:color w:val="000000" w:themeColor="text1"/>
          <w:szCs w:val="32"/>
        </w:rPr>
        <w:t>0</w:t>
      </w:r>
      <w:r>
        <w:rPr>
          <w:rFonts w:ascii="仿宋_GB2312" w:eastAsia="仿宋_GB2312" w:hAnsi="仿宋_GB2312" w:cs="仿宋_GB2312" w:hint="eastAsia"/>
          <w:color w:val="000000" w:themeColor="text1"/>
          <w:szCs w:val="32"/>
        </w:rPr>
        <w:t>件，承办县政协十四届五次会议提案</w:t>
      </w:r>
      <w:r>
        <w:rPr>
          <w:rFonts w:ascii="仿宋_GB2312" w:eastAsia="仿宋_GB2312" w:hAnsi="仿宋_GB2312" w:cs="仿宋_GB2312" w:hint="eastAsia"/>
          <w:color w:val="000000" w:themeColor="text1"/>
          <w:szCs w:val="32"/>
        </w:rPr>
        <w:t>1</w:t>
      </w:r>
      <w:r>
        <w:rPr>
          <w:rFonts w:ascii="仿宋_GB2312" w:eastAsia="仿宋_GB2312" w:hAnsi="仿宋_GB2312" w:cs="仿宋_GB2312" w:hint="eastAsia"/>
          <w:color w:val="000000" w:themeColor="text1"/>
          <w:szCs w:val="32"/>
        </w:rPr>
        <w:t>件。</w:t>
      </w:r>
      <w:r>
        <w:rPr>
          <w:rFonts w:ascii="仿宋_GB2312" w:eastAsia="仿宋_GB2312" w:hAnsi="仿宋_GB2312" w:cs="仿宋_GB2312" w:hint="eastAsia"/>
          <w:color w:val="000000" w:themeColor="text1"/>
          <w:szCs w:val="32"/>
        </w:rPr>
        <w:t>1</w:t>
      </w:r>
      <w:r>
        <w:rPr>
          <w:rFonts w:ascii="仿宋_GB2312" w:eastAsia="仿宋_GB2312" w:hAnsi="仿宋_GB2312" w:cs="仿宋_GB2312" w:hint="eastAsia"/>
          <w:color w:val="000000" w:themeColor="text1"/>
          <w:szCs w:val="32"/>
        </w:rPr>
        <w:t>件政协委员提案已在县政府网站建议提案专题集中公开提案人、提案原文、提案办理结果等信息。</w:t>
      </w:r>
    </w:p>
    <w:p w:rsidR="00A37383" w:rsidRDefault="00D74DD2">
      <w:pPr>
        <w:adjustRightInd w:val="0"/>
        <w:spacing w:line="560" w:lineRule="exact"/>
        <w:rPr>
          <w:rFonts w:ascii="楷体_GB2312" w:eastAsia="楷体_GB2312"/>
        </w:rPr>
      </w:pPr>
      <w:r>
        <w:rPr>
          <w:rFonts w:ascii="楷体_GB2312" w:eastAsia="楷体_GB2312" w:hint="eastAsia"/>
        </w:rPr>
        <w:t>（四）政务公开工作创新情况</w:t>
      </w:r>
    </w:p>
    <w:p w:rsidR="00A37383" w:rsidRDefault="00D74DD2">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一是依托常家镇人民政府门户网站，进一步完善政务公</w:t>
      </w:r>
      <w:r>
        <w:rPr>
          <w:rFonts w:ascii="仿宋_GB2312" w:eastAsia="仿宋_GB2312" w:hAnsi="仿宋_GB2312" w:cs="仿宋_GB2312" w:hint="eastAsia"/>
          <w:szCs w:val="32"/>
        </w:rPr>
        <w:lastRenderedPageBreak/>
        <w:t>开发布信息，使得所发布的信息更加科学、完善、便民、实用。二是推进政务公开线上线下融合发展，持续完善政务公开体验区，让广大群众持续体验到便捷化、个性化的政务公开与服务。</w:t>
      </w:r>
    </w:p>
    <w:p w:rsidR="00A37383" w:rsidRDefault="00D74DD2">
      <w:pPr>
        <w:adjustRightInd w:val="0"/>
        <w:spacing w:line="560" w:lineRule="exact"/>
        <w:rPr>
          <w:rFonts w:ascii="楷体_GB2312" w:eastAsia="楷体_GB2312"/>
        </w:rPr>
      </w:pPr>
      <w:r>
        <w:rPr>
          <w:rFonts w:ascii="楷体_GB2312" w:eastAsia="楷体_GB2312" w:hint="eastAsia"/>
        </w:rPr>
        <w:t>（五）有关数据统计说明</w:t>
      </w:r>
    </w:p>
    <w:p w:rsidR="00A37383" w:rsidRDefault="00D74DD2">
      <w:pPr>
        <w:spacing w:line="560" w:lineRule="exact"/>
        <w:ind w:firstLineChars="200" w:firstLine="640"/>
        <w:rPr>
          <w:rFonts w:ascii="仿宋_GB2312" w:eastAsia="仿宋_GB2312" w:hAnsi="仿宋_GB2312" w:cs="仿宋_GB2312"/>
          <w:szCs w:val="32"/>
        </w:rPr>
      </w:pPr>
      <w:r>
        <w:rPr>
          <w:rFonts w:ascii="仿宋_GB2312" w:eastAsia="仿宋_GB2312" w:hAnsi="仿宋_GB2312" w:cs="仿宋_GB2312" w:hint="eastAsia"/>
          <w:szCs w:val="32"/>
        </w:rPr>
        <w:t>报告中所列数据可能因四舍五入原因与数据直接相加之和存在尾数差异。</w:t>
      </w:r>
    </w:p>
    <w:p w:rsidR="00A37383" w:rsidRDefault="00A37383">
      <w:pPr>
        <w:ind w:firstLine="0"/>
        <w:jc w:val="center"/>
        <w:rPr>
          <w:rFonts w:ascii="仿宋_GB2312" w:eastAsia="仿宋_GB2312" w:hAnsi="仿宋_GB2312" w:cs="仿宋_GB2312"/>
          <w:szCs w:val="32"/>
        </w:rPr>
      </w:pPr>
    </w:p>
    <w:p w:rsidR="00A37383" w:rsidRDefault="00A37383">
      <w:pPr>
        <w:ind w:firstLine="0"/>
        <w:jc w:val="center"/>
        <w:rPr>
          <w:rFonts w:ascii="仿宋_GB2312" w:eastAsia="仿宋_GB2312" w:hAnsi="仿宋_GB2312" w:cs="仿宋_GB2312"/>
          <w:szCs w:val="32"/>
        </w:rPr>
      </w:pPr>
    </w:p>
    <w:p w:rsidR="00A37383" w:rsidRDefault="00A37383">
      <w:pPr>
        <w:ind w:firstLine="0"/>
        <w:jc w:val="center"/>
        <w:rPr>
          <w:rFonts w:ascii="仿宋_GB2312" w:eastAsia="仿宋_GB2312" w:hAnsi="仿宋_GB2312" w:cs="仿宋_GB2312"/>
          <w:szCs w:val="32"/>
        </w:rPr>
      </w:pPr>
    </w:p>
    <w:p w:rsidR="00A37383" w:rsidRDefault="00A37383">
      <w:pPr>
        <w:spacing w:line="560" w:lineRule="exact"/>
        <w:ind w:firstLineChars="200" w:firstLine="640"/>
        <w:rPr>
          <w:rFonts w:ascii="仿宋_GB2312" w:eastAsia="仿宋_GB2312" w:hAnsi="仿宋_GB2312" w:cs="仿宋_GB2312"/>
          <w:szCs w:val="32"/>
        </w:rPr>
      </w:pPr>
    </w:p>
    <w:sectPr w:rsidR="00A373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DD2" w:rsidRDefault="00D74DD2">
      <w:pPr>
        <w:spacing w:line="240" w:lineRule="auto"/>
      </w:pPr>
      <w:r>
        <w:separator/>
      </w:r>
    </w:p>
  </w:endnote>
  <w:endnote w:type="continuationSeparator" w:id="0">
    <w:p w:rsidR="00D74DD2" w:rsidRDefault="00D74D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charset w:val="86"/>
    <w:family w:val="script"/>
    <w:pitch w:val="default"/>
    <w:sig w:usb0="00000000" w:usb1="38CF7CFA" w:usb2="00082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DD2" w:rsidRDefault="00D74DD2">
      <w:pPr>
        <w:spacing w:line="240" w:lineRule="auto"/>
      </w:pPr>
      <w:r>
        <w:separator/>
      </w:r>
    </w:p>
  </w:footnote>
  <w:footnote w:type="continuationSeparator" w:id="0">
    <w:p w:rsidR="00D74DD2" w:rsidRDefault="00D74DD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43"/>
    <w:rsid w:val="DF6635B8"/>
    <w:rsid w:val="DF7E9BC5"/>
    <w:rsid w:val="DFBB3CCF"/>
    <w:rsid w:val="DFE8B695"/>
    <w:rsid w:val="DFF394AA"/>
    <w:rsid w:val="DFF591E9"/>
    <w:rsid w:val="DFFF2D03"/>
    <w:rsid w:val="E6CBA432"/>
    <w:rsid w:val="E8B5C68E"/>
    <w:rsid w:val="EBFBF093"/>
    <w:rsid w:val="ECF3C176"/>
    <w:rsid w:val="EFC9250E"/>
    <w:rsid w:val="EFFE111B"/>
    <w:rsid w:val="F2DF53B7"/>
    <w:rsid w:val="F2EF9C2A"/>
    <w:rsid w:val="F47FE33F"/>
    <w:rsid w:val="F4FFB40F"/>
    <w:rsid w:val="F6F69EF1"/>
    <w:rsid w:val="FB37A81E"/>
    <w:rsid w:val="FB738776"/>
    <w:rsid w:val="FB7B7518"/>
    <w:rsid w:val="FBFED164"/>
    <w:rsid w:val="FD5F98D5"/>
    <w:rsid w:val="FD852787"/>
    <w:rsid w:val="FE775FDE"/>
    <w:rsid w:val="FF975550"/>
    <w:rsid w:val="FFDEDE9B"/>
    <w:rsid w:val="FFDF8A85"/>
    <w:rsid w:val="FFEDA6E5"/>
    <w:rsid w:val="FFEFBA52"/>
    <w:rsid w:val="FFF70553"/>
    <w:rsid w:val="FFFFD985"/>
    <w:rsid w:val="00024945"/>
    <w:rsid w:val="00117733"/>
    <w:rsid w:val="00121DCF"/>
    <w:rsid w:val="0017003F"/>
    <w:rsid w:val="0018764C"/>
    <w:rsid w:val="001A4F33"/>
    <w:rsid w:val="00211942"/>
    <w:rsid w:val="002B0A9E"/>
    <w:rsid w:val="002E3543"/>
    <w:rsid w:val="00415AB1"/>
    <w:rsid w:val="00591E5D"/>
    <w:rsid w:val="00673AC7"/>
    <w:rsid w:val="00704FCD"/>
    <w:rsid w:val="0085763F"/>
    <w:rsid w:val="008B290F"/>
    <w:rsid w:val="008C4ED2"/>
    <w:rsid w:val="009B028C"/>
    <w:rsid w:val="00A37383"/>
    <w:rsid w:val="00A67C12"/>
    <w:rsid w:val="00AB1812"/>
    <w:rsid w:val="00B80A04"/>
    <w:rsid w:val="00C67940"/>
    <w:rsid w:val="00CC2BE7"/>
    <w:rsid w:val="00CD1D00"/>
    <w:rsid w:val="00D068B6"/>
    <w:rsid w:val="00D74DD2"/>
    <w:rsid w:val="00DF78F5"/>
    <w:rsid w:val="00EA0721"/>
    <w:rsid w:val="00EF5607"/>
    <w:rsid w:val="00FA216A"/>
    <w:rsid w:val="00FD5381"/>
    <w:rsid w:val="054759DB"/>
    <w:rsid w:val="0B4D092D"/>
    <w:rsid w:val="0FA61B22"/>
    <w:rsid w:val="102D3FF1"/>
    <w:rsid w:val="13EB3FA7"/>
    <w:rsid w:val="15E91353"/>
    <w:rsid w:val="1628114C"/>
    <w:rsid w:val="19BB266E"/>
    <w:rsid w:val="1DBF4136"/>
    <w:rsid w:val="1E984D2C"/>
    <w:rsid w:val="1F6F57F2"/>
    <w:rsid w:val="227042E7"/>
    <w:rsid w:val="275F3D77"/>
    <w:rsid w:val="291D29FD"/>
    <w:rsid w:val="2A4F5171"/>
    <w:rsid w:val="2DF19DE0"/>
    <w:rsid w:val="2E1A4FFF"/>
    <w:rsid w:val="2FEDA820"/>
    <w:rsid w:val="33F532C5"/>
    <w:rsid w:val="350529D6"/>
    <w:rsid w:val="357D44E5"/>
    <w:rsid w:val="35DF6AD0"/>
    <w:rsid w:val="37531CE0"/>
    <w:rsid w:val="37D0659A"/>
    <w:rsid w:val="38BF2AC7"/>
    <w:rsid w:val="3AC70A1B"/>
    <w:rsid w:val="3CB80BBA"/>
    <w:rsid w:val="3D8F8C92"/>
    <w:rsid w:val="3EBFD789"/>
    <w:rsid w:val="3EE656B3"/>
    <w:rsid w:val="3F2BD981"/>
    <w:rsid w:val="3F482E9A"/>
    <w:rsid w:val="3FFE6BC5"/>
    <w:rsid w:val="426F2664"/>
    <w:rsid w:val="427C34B6"/>
    <w:rsid w:val="43762FDE"/>
    <w:rsid w:val="439671DC"/>
    <w:rsid w:val="456E0AE7"/>
    <w:rsid w:val="49E5519C"/>
    <w:rsid w:val="4BFB34D4"/>
    <w:rsid w:val="4DB47B3D"/>
    <w:rsid w:val="4F637333"/>
    <w:rsid w:val="4FEF7DAC"/>
    <w:rsid w:val="57F80BD9"/>
    <w:rsid w:val="596D09A1"/>
    <w:rsid w:val="5A785436"/>
    <w:rsid w:val="5A815D81"/>
    <w:rsid w:val="5AF75108"/>
    <w:rsid w:val="5CFF599B"/>
    <w:rsid w:val="5E635C46"/>
    <w:rsid w:val="5EFD9F59"/>
    <w:rsid w:val="5F1C7F20"/>
    <w:rsid w:val="5F4F982B"/>
    <w:rsid w:val="5FAB2E6E"/>
    <w:rsid w:val="5FB56DBD"/>
    <w:rsid w:val="5FDDB560"/>
    <w:rsid w:val="5FE23A4B"/>
    <w:rsid w:val="5FF36434"/>
    <w:rsid w:val="5FF682BC"/>
    <w:rsid w:val="5FFF910F"/>
    <w:rsid w:val="60A56859"/>
    <w:rsid w:val="63901A42"/>
    <w:rsid w:val="6719944C"/>
    <w:rsid w:val="675C1261"/>
    <w:rsid w:val="677ED19E"/>
    <w:rsid w:val="69D7C639"/>
    <w:rsid w:val="6BFE75A1"/>
    <w:rsid w:val="6CFB8A2C"/>
    <w:rsid w:val="6D3E42BD"/>
    <w:rsid w:val="6F367240"/>
    <w:rsid w:val="6F76EE12"/>
    <w:rsid w:val="6F7FDBA8"/>
    <w:rsid w:val="6FADF41C"/>
    <w:rsid w:val="6FFF39C1"/>
    <w:rsid w:val="70F25696"/>
    <w:rsid w:val="72D354A8"/>
    <w:rsid w:val="75D43B41"/>
    <w:rsid w:val="763D397F"/>
    <w:rsid w:val="76DED7DD"/>
    <w:rsid w:val="76F5E16A"/>
    <w:rsid w:val="770E2D78"/>
    <w:rsid w:val="77B33002"/>
    <w:rsid w:val="77CC8C9A"/>
    <w:rsid w:val="789658C3"/>
    <w:rsid w:val="791668EE"/>
    <w:rsid w:val="7AD53BD1"/>
    <w:rsid w:val="7AE9E2EA"/>
    <w:rsid w:val="7B8F10EA"/>
    <w:rsid w:val="7BBF1A4E"/>
    <w:rsid w:val="7C6F3138"/>
    <w:rsid w:val="7CFD44DA"/>
    <w:rsid w:val="7DAE2D99"/>
    <w:rsid w:val="7DCFC09C"/>
    <w:rsid w:val="7EB3AC05"/>
    <w:rsid w:val="7EC64112"/>
    <w:rsid w:val="7EEF2E36"/>
    <w:rsid w:val="7EF37F3D"/>
    <w:rsid w:val="7EFFB066"/>
    <w:rsid w:val="7F272E03"/>
    <w:rsid w:val="7F965A21"/>
    <w:rsid w:val="7FA97475"/>
    <w:rsid w:val="7FDDF25E"/>
    <w:rsid w:val="7FDEDD96"/>
    <w:rsid w:val="8B9FB3F3"/>
    <w:rsid w:val="96FE9DEE"/>
    <w:rsid w:val="979DE915"/>
    <w:rsid w:val="9D7F53E9"/>
    <w:rsid w:val="A1FB6C4F"/>
    <w:rsid w:val="A8C79608"/>
    <w:rsid w:val="ADFE3072"/>
    <w:rsid w:val="AF575169"/>
    <w:rsid w:val="AFFAFD76"/>
    <w:rsid w:val="B3EF30E4"/>
    <w:rsid w:val="B787B9EF"/>
    <w:rsid w:val="B7DF96BC"/>
    <w:rsid w:val="BDAFAF25"/>
    <w:rsid w:val="BF375107"/>
    <w:rsid w:val="BF9EE99C"/>
    <w:rsid w:val="BFAD7DFC"/>
    <w:rsid w:val="BFEE16C0"/>
    <w:rsid w:val="BFF7DC92"/>
    <w:rsid w:val="BFFFD939"/>
    <w:rsid w:val="C3BB77BF"/>
    <w:rsid w:val="CF39FE07"/>
    <w:rsid w:val="CFF4C446"/>
    <w:rsid w:val="D5EFAB35"/>
    <w:rsid w:val="DABD6243"/>
    <w:rsid w:val="DDE95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uiPriority w:val="1"/>
    <w:qFormat/>
    <w:pPr>
      <w:spacing w:before="149"/>
      <w:ind w:left="980"/>
    </w:pPr>
    <w:rPr>
      <w:rFonts w:ascii="仿宋_GB2312" w:eastAsia="仿宋_GB2312" w:hAnsi="仿宋_GB2312" w:cs="仿宋_GB2312"/>
      <w:szCs w:val="32"/>
      <w:lang w:val="zh-CN" w:bidi="zh-CN"/>
    </w:r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8">
    <w:name w:val="Normal (Web)"/>
    <w:basedOn w:val="a"/>
    <w:qFormat/>
    <w:pPr>
      <w:spacing w:beforeAutospacing="1" w:afterAutospacing="1"/>
      <w:jc w:val="left"/>
    </w:pPr>
    <w:rPr>
      <w:sz w:val="24"/>
    </w:rPr>
  </w:style>
  <w:style w:type="paragraph" w:styleId="a9">
    <w:name w:val="annotation subject"/>
    <w:basedOn w:val="a3"/>
    <w:next w:val="a3"/>
    <w:link w:val="Char3"/>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7"/>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6"/>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5"/>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9"/>
    <w:uiPriority w:val="99"/>
    <w:semiHidden/>
    <w:qFormat/>
    <w:rPr>
      <w:rFonts w:eastAsia="方正仿宋_GBK"/>
      <w:b/>
      <w:bCs/>
      <w:snapToGrid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eastAsia="方正仿宋_GBK"/>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uiPriority w:val="1"/>
    <w:qFormat/>
    <w:pPr>
      <w:spacing w:before="149"/>
      <w:ind w:left="980"/>
    </w:pPr>
    <w:rPr>
      <w:rFonts w:ascii="仿宋_GB2312" w:eastAsia="仿宋_GB2312" w:hAnsi="仿宋_GB2312" w:cs="仿宋_GB2312"/>
      <w:szCs w:val="32"/>
      <w:lang w:val="zh-CN" w:bidi="zh-CN"/>
    </w:rPr>
  </w:style>
  <w:style w:type="paragraph" w:styleId="a5">
    <w:name w:val="Balloon Text"/>
    <w:basedOn w:val="a"/>
    <w:link w:val="Char0"/>
    <w:uiPriority w:val="99"/>
    <w:semiHidden/>
    <w:unhideWhenUsed/>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7">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8">
    <w:name w:val="Normal (Web)"/>
    <w:basedOn w:val="a"/>
    <w:qFormat/>
    <w:pPr>
      <w:spacing w:beforeAutospacing="1" w:afterAutospacing="1"/>
      <w:jc w:val="left"/>
    </w:pPr>
    <w:rPr>
      <w:sz w:val="24"/>
    </w:rPr>
  </w:style>
  <w:style w:type="paragraph" w:styleId="a9">
    <w:name w:val="annotation subject"/>
    <w:basedOn w:val="a3"/>
    <w:next w:val="a3"/>
    <w:link w:val="Char3"/>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qFormat/>
    <w:rPr>
      <w:sz w:val="21"/>
      <w:szCs w:val="21"/>
    </w:rPr>
  </w:style>
  <w:style w:type="character" w:customStyle="1" w:styleId="Char2">
    <w:name w:val="页眉 Char"/>
    <w:basedOn w:val="a0"/>
    <w:link w:val="a7"/>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6"/>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5"/>
    <w:uiPriority w:val="99"/>
    <w:semiHidden/>
    <w:qFormat/>
    <w:rPr>
      <w:rFonts w:eastAsia="方正仿宋_GBK"/>
      <w:snapToGrid w:val="0"/>
      <w:sz w:val="18"/>
      <w:szCs w:val="18"/>
    </w:rPr>
  </w:style>
  <w:style w:type="character" w:customStyle="1" w:styleId="Char">
    <w:name w:val="批注文字 Char"/>
    <w:basedOn w:val="a0"/>
    <w:link w:val="a3"/>
    <w:uiPriority w:val="99"/>
    <w:semiHidden/>
    <w:qFormat/>
    <w:rPr>
      <w:rFonts w:eastAsia="方正仿宋_GBK"/>
      <w:snapToGrid w:val="0"/>
      <w:sz w:val="32"/>
    </w:rPr>
  </w:style>
  <w:style w:type="character" w:customStyle="1" w:styleId="Char3">
    <w:name w:val="批注主题 Char"/>
    <w:basedOn w:val="Char"/>
    <w:link w:val="a9"/>
    <w:uiPriority w:val="99"/>
    <w:semiHidden/>
    <w:qFormat/>
    <w:rPr>
      <w:rFonts w:eastAsia="方正仿宋_GBK"/>
      <w:b/>
      <w:bCs/>
      <w:snapToGrid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521</Words>
  <Characters>2970</Characters>
  <Application>Microsoft Office Word</Application>
  <DocSecurity>0</DocSecurity>
  <Lines>24</Lines>
  <Paragraphs>6</Paragraphs>
  <ScaleCrop>false</ScaleCrop>
  <Company>gq</Company>
  <LinksUpToDate>false</LinksUpToDate>
  <CharactersWithSpaces>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14</cp:revision>
  <dcterms:created xsi:type="dcterms:W3CDTF">2022-01-05T01:04:00Z</dcterms:created>
  <dcterms:modified xsi:type="dcterms:W3CDTF">2023-02-21T03:22:00Z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59576C0072F648F3B0093203BA699298</vt:lpwstr>
  </property>
</Properties>
</file>