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05043">
      <w:pPr>
        <w:spacing w:line="560" w:lineRule="exact"/>
        <w:ind w:firstLine="0"/>
        <w:jc w:val="center"/>
        <w:rPr>
          <w:rFonts w:eastAsia="方正小标宋简体"/>
          <w:sz w:val="44"/>
          <w:szCs w:val="44"/>
        </w:rPr>
      </w:pPr>
      <w:r>
        <w:rPr>
          <w:rFonts w:eastAsia="方正小标宋简体"/>
          <w:sz w:val="44"/>
          <w:szCs w:val="44"/>
        </w:rPr>
        <w:t>高青县财政局</w:t>
      </w:r>
    </w:p>
    <w:p w14:paraId="1C73F4C8">
      <w:pPr>
        <w:spacing w:line="560" w:lineRule="exact"/>
        <w:ind w:firstLine="0"/>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年政府信息公开工作年度报告</w:t>
      </w:r>
    </w:p>
    <w:p w14:paraId="2782595A">
      <w:pPr>
        <w:spacing w:line="560" w:lineRule="exact"/>
        <w:ind w:firstLine="640" w:firstLineChars="200"/>
        <w:rPr>
          <w:rFonts w:eastAsia="仿宋_GB2312"/>
        </w:rPr>
      </w:pPr>
    </w:p>
    <w:p w14:paraId="4EAA8A1E">
      <w:pPr>
        <w:spacing w:line="560" w:lineRule="exact"/>
        <w:ind w:firstLine="640" w:firstLineChars="200"/>
        <w:rPr>
          <w:rFonts w:eastAsia="仿宋_GB2312"/>
        </w:rPr>
      </w:pPr>
      <w:r>
        <w:rPr>
          <w:rFonts w:hint="eastAsia" w:eastAsia="仿宋_GB2312"/>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分总体情况、主动公开政府信息情况、收到和处理政府信息公开申请情况、政府信息公开行政复议和行政诉讼情况、存在的主要问题及改进情况、其他需要报告的事项六个部分。</w:t>
      </w:r>
    </w:p>
    <w:p w14:paraId="7F81721E">
      <w:pPr>
        <w:spacing w:line="560" w:lineRule="exact"/>
        <w:ind w:firstLine="640" w:firstLineChars="200"/>
        <w:rPr>
          <w:rFonts w:eastAsia="仿宋_GB2312"/>
        </w:rPr>
      </w:pPr>
      <w:r>
        <w:rPr>
          <w:rFonts w:hint="eastAsia" w:eastAsia="仿宋_GB2312"/>
        </w:rPr>
        <w:t>报告中所列数据统计期限自2025年1月1日始，至2025年12月31日止。报告电子版可在高青县人民政府门户网站（www.gaoqing.gov.cn）查阅和下载。如对报告内容有疑问，请与</w:t>
      </w:r>
      <w:r>
        <w:rPr>
          <w:rFonts w:eastAsia="仿宋_GB2312"/>
        </w:rPr>
        <w:t>高青县财政局办公室联系（地址：山东省淄博市高青县高苑路</w:t>
      </w:r>
      <w:r>
        <w:rPr>
          <w:rFonts w:eastAsia="仿宋_GB2312"/>
          <w:szCs w:val="32"/>
        </w:rPr>
        <w:t>15</w:t>
      </w:r>
      <w:r>
        <w:rPr>
          <w:rFonts w:eastAsia="仿宋_GB2312"/>
        </w:rPr>
        <w:t>号；邮编：</w:t>
      </w:r>
      <w:r>
        <w:rPr>
          <w:rFonts w:eastAsia="仿宋_GB2312"/>
          <w:szCs w:val="32"/>
        </w:rPr>
        <w:t>256300</w:t>
      </w:r>
      <w:r>
        <w:rPr>
          <w:rFonts w:eastAsia="仿宋_GB2312"/>
        </w:rPr>
        <w:t>；电话：</w:t>
      </w:r>
      <w:r>
        <w:rPr>
          <w:rFonts w:eastAsia="仿宋_GB2312"/>
          <w:szCs w:val="32"/>
        </w:rPr>
        <w:t>0533-6962293</w:t>
      </w:r>
      <w:r>
        <w:rPr>
          <w:rFonts w:eastAsia="仿宋_GB2312"/>
        </w:rPr>
        <w:t>；传真：</w:t>
      </w:r>
      <w:r>
        <w:rPr>
          <w:rFonts w:eastAsia="仿宋_GB2312"/>
          <w:szCs w:val="32"/>
        </w:rPr>
        <w:t>0533-6962296</w:t>
      </w:r>
      <w:r>
        <w:rPr>
          <w:rFonts w:eastAsia="仿宋_GB2312"/>
        </w:rPr>
        <w:t>；电子邮箱：</w:t>
      </w:r>
      <w:r>
        <w:fldChar w:fldCharType="begin"/>
      </w:r>
      <w:r>
        <w:instrText xml:space="preserve"> HYPERLINK "mailto:gqxczj@zb.shandong.cn）。" </w:instrText>
      </w:r>
      <w:r>
        <w:fldChar w:fldCharType="separate"/>
      </w:r>
      <w:r>
        <w:rPr>
          <w:rFonts w:eastAsia="仿宋_GB2312"/>
        </w:rPr>
        <w:t>gqxczj@zb.shandong.cn）。</w:t>
      </w:r>
      <w:r>
        <w:rPr>
          <w:rFonts w:eastAsia="仿宋_GB2312"/>
        </w:rPr>
        <w:fldChar w:fldCharType="end"/>
      </w:r>
    </w:p>
    <w:p w14:paraId="2403E535">
      <w:pPr>
        <w:numPr>
          <w:ilvl w:val="0"/>
          <w:numId w:val="1"/>
        </w:numPr>
        <w:spacing w:line="560" w:lineRule="exact"/>
        <w:ind w:firstLine="640" w:firstLineChars="200"/>
        <w:rPr>
          <w:rFonts w:eastAsia="黑体"/>
          <w:szCs w:val="32"/>
        </w:rPr>
      </w:pPr>
      <w:r>
        <w:rPr>
          <w:rFonts w:eastAsia="黑体"/>
          <w:szCs w:val="32"/>
        </w:rPr>
        <w:t>总体情况</w:t>
      </w:r>
    </w:p>
    <w:p w14:paraId="447CE2EB">
      <w:pPr>
        <w:pStyle w:val="2"/>
        <w:spacing w:before="0" w:beforeAutospacing="0" w:after="0" w:afterAutospacing="0" w:line="560" w:lineRule="exact"/>
        <w:ind w:firstLine="640" w:firstLineChars="200"/>
        <w:rPr>
          <w:rFonts w:hint="default" w:ascii="Times New Roman" w:hAnsi="Times New Roman"/>
        </w:rPr>
      </w:pPr>
      <w:r>
        <w:rPr>
          <w:rFonts w:hint="default" w:ascii="Times New Roman" w:hAnsi="Times New Roman" w:eastAsia="仿宋_GB2312"/>
          <w:color w:val="auto"/>
          <w:kern w:val="0"/>
          <w:sz w:val="32"/>
          <w:szCs w:val="32"/>
          <w:lang w:val="en-US" w:bidi="ar-SA"/>
        </w:rPr>
        <w:t>202</w:t>
      </w:r>
      <w:r>
        <w:rPr>
          <w:rFonts w:ascii="Times New Roman" w:hAnsi="Times New Roman" w:eastAsia="仿宋_GB2312"/>
          <w:color w:val="auto"/>
          <w:kern w:val="0"/>
          <w:sz w:val="32"/>
          <w:szCs w:val="32"/>
          <w:lang w:val="en-US" w:bidi="ar-SA"/>
        </w:rPr>
        <w:t>5</w:t>
      </w:r>
      <w:r>
        <w:rPr>
          <w:rFonts w:hint="default" w:ascii="Times New Roman" w:hAnsi="Times New Roman" w:eastAsia="仿宋_GB2312"/>
          <w:color w:val="auto"/>
          <w:kern w:val="0"/>
          <w:sz w:val="32"/>
          <w:szCs w:val="20"/>
          <w:lang w:val="en-US" w:bidi="ar-SA"/>
        </w:rPr>
        <w:t>年，高青县财政局坚持以习近平新时代中国特色社会主义思想为指导，认真落实国家和省市县政务公开工作部署，将政务公开深度融入预算管理、债务管控、民生保障等核心业务，</w:t>
      </w:r>
      <w:r>
        <w:rPr>
          <w:rFonts w:ascii="Times New Roman" w:hAnsi="Times New Roman" w:eastAsia="仿宋_GB2312"/>
          <w:color w:val="auto"/>
          <w:kern w:val="0"/>
          <w:sz w:val="32"/>
          <w:szCs w:val="20"/>
          <w:lang w:val="en-US" w:bidi="ar-SA"/>
        </w:rPr>
        <w:t>为县域经济发展提供坚实力量</w:t>
      </w:r>
      <w:r>
        <w:rPr>
          <w:rFonts w:hint="default" w:ascii="Times New Roman" w:hAnsi="Times New Roman" w:eastAsia="仿宋_GB2312"/>
          <w:color w:val="auto"/>
          <w:kern w:val="0"/>
          <w:sz w:val="32"/>
          <w:szCs w:val="20"/>
          <w:lang w:val="en-US" w:bidi="ar-SA"/>
        </w:rPr>
        <w:t>。</w:t>
      </w:r>
    </w:p>
    <w:p w14:paraId="061A21D9">
      <w:pPr>
        <w:spacing w:line="560" w:lineRule="exact"/>
        <w:ind w:firstLine="640" w:firstLineChars="200"/>
        <w:jc w:val="left"/>
        <w:rPr>
          <w:rFonts w:eastAsia="楷体_GB2312"/>
          <w:bCs/>
        </w:rPr>
      </w:pPr>
      <w:r>
        <w:rPr>
          <w:rFonts w:eastAsia="楷体_GB2312"/>
          <w:bCs/>
        </w:rPr>
        <w:t>（一）主动公开</w:t>
      </w:r>
    </w:p>
    <w:p w14:paraId="33913875">
      <w:pPr>
        <w:pStyle w:val="2"/>
        <w:spacing w:before="0" w:beforeAutospacing="0" w:after="0" w:afterAutospacing="0" w:line="560" w:lineRule="exact"/>
        <w:ind w:firstLine="640" w:firstLineChars="200"/>
      </w:pPr>
      <w:r>
        <w:rPr>
          <w:rFonts w:hint="default" w:ascii="Times New Roman" w:hAnsi="Times New Roman" w:eastAsia="仿宋_GB2312"/>
          <w:color w:val="auto"/>
          <w:kern w:val="0"/>
          <w:sz w:val="32"/>
          <w:szCs w:val="32"/>
          <w:lang w:val="en-US" w:bidi="ar-SA"/>
        </w:rPr>
        <w:t>坚持“公开为常态、不公开为例外”，制定《202</w:t>
      </w:r>
      <w:r>
        <w:rPr>
          <w:rFonts w:ascii="Times New Roman" w:hAnsi="Times New Roman" w:eastAsia="仿宋_GB2312"/>
          <w:color w:val="auto"/>
          <w:kern w:val="0"/>
          <w:sz w:val="32"/>
          <w:szCs w:val="32"/>
          <w:lang w:val="en-US" w:bidi="ar-SA"/>
        </w:rPr>
        <w:t>5</w:t>
      </w:r>
      <w:r>
        <w:rPr>
          <w:rFonts w:hint="default" w:ascii="Times New Roman" w:hAnsi="Times New Roman" w:eastAsia="仿宋_GB2312"/>
          <w:color w:val="auto"/>
          <w:kern w:val="0"/>
          <w:sz w:val="32"/>
          <w:szCs w:val="32"/>
          <w:lang w:val="en-US" w:bidi="ar-SA"/>
        </w:rPr>
        <w:t>年高青县财政局政务公开工作实施方案》，</w:t>
      </w:r>
      <w:r>
        <w:rPr>
          <w:rFonts w:ascii="Times New Roman" w:hAnsi="Times New Roman" w:eastAsia="仿宋_GB2312"/>
          <w:color w:val="auto"/>
          <w:kern w:val="0"/>
          <w:sz w:val="32"/>
          <w:szCs w:val="32"/>
          <w:lang w:val="en-US" w:bidi="ar-SA"/>
        </w:rPr>
        <w:t>围绕减税降费、行政执法公示及重要部署执行等栏目，明确主管科室并建立“科室负责人、分管领导”两级审核责任制，保障公开内容合规。常态化公开“三公”经费预决算；按月公开财政收支，按季公开政府工作报告任务、年度重点</w:t>
      </w:r>
      <w:r>
        <w:rPr>
          <w:rFonts w:hint="eastAsia" w:ascii="Times New Roman" w:hAnsi="Times New Roman" w:eastAsia="仿宋_GB2312"/>
          <w:color w:val="auto"/>
          <w:kern w:val="0"/>
          <w:sz w:val="32"/>
          <w:szCs w:val="32"/>
          <w:lang w:val="en-US" w:eastAsia="zh-CN" w:bidi="ar-SA"/>
        </w:rPr>
        <w:t>任务</w:t>
      </w:r>
      <w:r>
        <w:rPr>
          <w:rFonts w:ascii="Times New Roman" w:hAnsi="Times New Roman" w:eastAsia="仿宋_GB2312"/>
          <w:color w:val="auto"/>
          <w:kern w:val="0"/>
          <w:sz w:val="32"/>
          <w:szCs w:val="32"/>
          <w:lang w:val="en-US" w:bidi="ar-SA"/>
        </w:rPr>
        <w:t>及民生实事进展；按年公开政府集中采购目录标准。行政执法专题，重点推进事前与事后公开，涵盖执法事项清单、人员资格及执法结果等信息。</w:t>
      </w:r>
      <w:r>
        <w:rPr>
          <w:rFonts w:hint="default" w:ascii="Times New Roman" w:hAnsi="Times New Roman" w:eastAsia="仿宋_GB2312"/>
          <w:color w:val="auto"/>
          <w:kern w:val="0"/>
          <w:sz w:val="32"/>
          <w:szCs w:val="32"/>
          <w:lang w:val="en-US" w:bidi="ar-SA"/>
        </w:rPr>
        <w:t>202</w:t>
      </w:r>
      <w:r>
        <w:rPr>
          <w:rFonts w:ascii="Times New Roman" w:hAnsi="Times New Roman" w:eastAsia="仿宋_GB2312"/>
          <w:color w:val="auto"/>
          <w:kern w:val="0"/>
          <w:sz w:val="32"/>
          <w:szCs w:val="32"/>
          <w:lang w:val="en-US" w:bidi="ar-SA"/>
        </w:rPr>
        <w:t>5</w:t>
      </w:r>
      <w:r>
        <w:rPr>
          <w:rFonts w:hint="default" w:ascii="Times New Roman" w:hAnsi="Times New Roman" w:eastAsia="仿宋_GB2312"/>
          <w:color w:val="auto"/>
          <w:kern w:val="0"/>
          <w:sz w:val="32"/>
          <w:szCs w:val="32"/>
          <w:lang w:val="en-US" w:bidi="ar-SA"/>
        </w:rPr>
        <w:t>年在县政府网站公开信息</w:t>
      </w:r>
      <w:r>
        <w:rPr>
          <w:rFonts w:ascii="Times New Roman" w:hAnsi="Times New Roman" w:eastAsia="仿宋_GB2312"/>
          <w:color w:val="auto"/>
          <w:kern w:val="0"/>
          <w:sz w:val="32"/>
          <w:szCs w:val="32"/>
          <w:lang w:val="en-US" w:bidi="ar-SA"/>
        </w:rPr>
        <w:t>212</w:t>
      </w:r>
      <w:r>
        <w:rPr>
          <w:rFonts w:hint="default" w:ascii="Times New Roman" w:hAnsi="Times New Roman" w:eastAsia="仿宋_GB2312"/>
          <w:color w:val="auto"/>
          <w:kern w:val="0"/>
          <w:sz w:val="32"/>
          <w:szCs w:val="32"/>
          <w:lang w:val="en-US" w:bidi="ar-SA"/>
        </w:rPr>
        <w:t>条</w:t>
      </w:r>
      <w:r>
        <w:rPr>
          <w:rFonts w:ascii="Times New Roman" w:hAnsi="Times New Roman" w:eastAsia="仿宋_GB2312"/>
          <w:color w:val="auto"/>
          <w:kern w:val="0"/>
          <w:sz w:val="32"/>
          <w:szCs w:val="32"/>
          <w:lang w:val="en-US" w:bidi="ar-SA"/>
        </w:rPr>
        <w:t>，</w:t>
      </w:r>
      <w:r>
        <w:rPr>
          <w:rFonts w:hint="default" w:ascii="Times New Roman" w:hAnsi="Times New Roman" w:eastAsia="仿宋_GB2312"/>
          <w:color w:val="auto"/>
          <w:kern w:val="0"/>
          <w:sz w:val="32"/>
          <w:szCs w:val="32"/>
          <w:lang w:val="en-US" w:bidi="ar-SA"/>
        </w:rPr>
        <w:t>积极回应群众关切，办理12345热线</w:t>
      </w:r>
      <w:r>
        <w:rPr>
          <w:rFonts w:ascii="Times New Roman" w:hAnsi="Times New Roman" w:eastAsia="仿宋_GB2312"/>
          <w:color w:val="auto"/>
          <w:kern w:val="0"/>
          <w:sz w:val="32"/>
          <w:szCs w:val="32"/>
          <w:lang w:val="en-US" w:bidi="ar-SA"/>
        </w:rPr>
        <w:t>237</w:t>
      </w:r>
      <w:r>
        <w:rPr>
          <w:rFonts w:hint="default" w:ascii="Times New Roman" w:hAnsi="Times New Roman" w:eastAsia="仿宋_GB2312"/>
          <w:color w:val="auto"/>
          <w:kern w:val="0"/>
          <w:sz w:val="32"/>
          <w:szCs w:val="32"/>
          <w:lang w:val="en-US" w:bidi="ar-SA"/>
        </w:rPr>
        <w:t>件，办理政府信箱群众留言</w:t>
      </w:r>
      <w:r>
        <w:rPr>
          <w:rFonts w:ascii="Times New Roman" w:hAnsi="Times New Roman" w:eastAsia="仿宋_GB2312"/>
          <w:color w:val="auto"/>
          <w:kern w:val="0"/>
          <w:sz w:val="32"/>
          <w:szCs w:val="32"/>
          <w:lang w:val="en-US" w:bidi="ar-SA"/>
        </w:rPr>
        <w:t>2</w:t>
      </w:r>
      <w:r>
        <w:rPr>
          <w:rFonts w:hint="default" w:ascii="Times New Roman" w:hAnsi="Times New Roman" w:eastAsia="仿宋_GB2312"/>
          <w:color w:val="auto"/>
          <w:kern w:val="0"/>
          <w:sz w:val="32"/>
          <w:szCs w:val="32"/>
          <w:lang w:val="en-US" w:bidi="ar-SA"/>
        </w:rPr>
        <w:t>件，答复率100%。</w:t>
      </w:r>
    </w:p>
    <w:p w14:paraId="652FA3F0">
      <w:pPr>
        <w:spacing w:line="560" w:lineRule="exact"/>
        <w:ind w:firstLine="640" w:firstLineChars="200"/>
        <w:jc w:val="left"/>
        <w:rPr>
          <w:rFonts w:eastAsia="楷体_GB2312"/>
          <w:bCs/>
        </w:rPr>
      </w:pPr>
      <w:r>
        <w:rPr>
          <w:rFonts w:eastAsia="楷体_GB2312"/>
          <w:bCs/>
        </w:rPr>
        <w:t>（二）依申请公开</w:t>
      </w:r>
    </w:p>
    <w:p w14:paraId="6FB11A4E">
      <w:pPr>
        <w:pStyle w:val="2"/>
        <w:spacing w:before="0" w:beforeAutospacing="0" w:after="0" w:afterAutospacing="0" w:line="560" w:lineRule="exact"/>
        <w:rPr>
          <w:rFonts w:hint="default" w:ascii="Times New Roman" w:hAnsi="Times New Roman"/>
        </w:rPr>
      </w:pPr>
      <w:r>
        <w:rPr>
          <w:rFonts w:hint="default" w:ascii="Times New Roman" w:hAnsi="Times New Roman" w:eastAsia="仿宋_GB2312"/>
          <w:color w:val="auto"/>
          <w:kern w:val="0"/>
          <w:sz w:val="32"/>
          <w:szCs w:val="32"/>
          <w:lang w:val="en-US" w:bidi="ar-SA"/>
        </w:rPr>
        <w:t>畅通线上线下受理渠道，明确申请受理、审核、答复、送达、归档各环节责任，提升答复质量与效率，实质性解决诉求</w:t>
      </w:r>
      <w:r>
        <w:rPr>
          <w:rFonts w:ascii="Times New Roman" w:hAnsi="Times New Roman" w:eastAsia="仿宋_GB2312"/>
          <w:color w:val="auto"/>
          <w:kern w:val="0"/>
          <w:sz w:val="32"/>
          <w:szCs w:val="32"/>
          <w:lang w:val="en-US" w:bidi="ar-SA"/>
        </w:rPr>
        <w:t>。</w:t>
      </w:r>
      <w:r>
        <w:rPr>
          <w:rFonts w:hint="default" w:ascii="Times New Roman" w:hAnsi="Times New Roman" w:eastAsia="仿宋_GB2312"/>
          <w:color w:val="auto"/>
          <w:kern w:val="0"/>
          <w:sz w:val="32"/>
          <w:szCs w:val="32"/>
          <w:lang w:val="en-US" w:bidi="ar-SA"/>
        </w:rPr>
        <w:t>202</w:t>
      </w:r>
      <w:r>
        <w:rPr>
          <w:rFonts w:ascii="Times New Roman" w:hAnsi="Times New Roman" w:eastAsia="仿宋_GB2312"/>
          <w:color w:val="auto"/>
          <w:kern w:val="0"/>
          <w:sz w:val="32"/>
          <w:szCs w:val="32"/>
          <w:lang w:val="en-US" w:bidi="ar-SA"/>
        </w:rPr>
        <w:t>5</w:t>
      </w:r>
      <w:r>
        <w:rPr>
          <w:rFonts w:hint="default" w:ascii="Times New Roman" w:hAnsi="Times New Roman" w:eastAsia="仿宋_GB2312"/>
          <w:color w:val="auto"/>
          <w:kern w:val="0"/>
          <w:sz w:val="32"/>
          <w:szCs w:val="32"/>
          <w:lang w:val="en-US" w:bidi="ar-SA"/>
        </w:rPr>
        <w:t>年共收到政府信息公开申请</w:t>
      </w:r>
      <w:r>
        <w:rPr>
          <w:rFonts w:ascii="Times New Roman" w:hAnsi="Times New Roman" w:eastAsia="仿宋_GB2312"/>
          <w:color w:val="auto"/>
          <w:kern w:val="0"/>
          <w:sz w:val="32"/>
          <w:szCs w:val="32"/>
          <w:lang w:val="en-US" w:bidi="ar-SA"/>
        </w:rPr>
        <w:t>5</w:t>
      </w:r>
      <w:r>
        <w:rPr>
          <w:rFonts w:hint="default" w:ascii="Times New Roman" w:hAnsi="Times New Roman" w:eastAsia="仿宋_GB2312"/>
          <w:color w:val="auto"/>
          <w:kern w:val="0"/>
          <w:sz w:val="32"/>
          <w:szCs w:val="32"/>
          <w:lang w:val="en-US" w:bidi="ar-SA"/>
        </w:rPr>
        <w:t>件，</w:t>
      </w:r>
      <w:r>
        <w:rPr>
          <w:rFonts w:ascii="Times New Roman" w:hAnsi="Times New Roman" w:eastAsia="仿宋_GB2312"/>
          <w:color w:val="auto"/>
          <w:kern w:val="0"/>
          <w:sz w:val="32"/>
          <w:szCs w:val="32"/>
          <w:lang w:val="en-US" w:bidi="ar-SA"/>
        </w:rPr>
        <w:t>比</w:t>
      </w:r>
      <w:r>
        <w:rPr>
          <w:rFonts w:hint="default" w:ascii="Times New Roman" w:hAnsi="Times New Roman" w:eastAsia="仿宋_GB2312"/>
          <w:color w:val="auto"/>
          <w:kern w:val="0"/>
          <w:sz w:val="32"/>
          <w:szCs w:val="32"/>
          <w:lang w:val="en-US" w:bidi="ar-SA"/>
        </w:rPr>
        <w:t>上年度</w:t>
      </w:r>
      <w:r>
        <w:rPr>
          <w:rFonts w:ascii="Times New Roman" w:hAnsi="Times New Roman" w:eastAsia="仿宋_GB2312"/>
          <w:color w:val="auto"/>
          <w:kern w:val="0"/>
          <w:sz w:val="32"/>
          <w:szCs w:val="32"/>
          <w:lang w:val="en-US" w:bidi="ar-SA"/>
        </w:rPr>
        <w:t>增加1件</w:t>
      </w:r>
      <w:r>
        <w:rPr>
          <w:rFonts w:hint="default" w:ascii="Times New Roman" w:hAnsi="Times New Roman" w:eastAsia="仿宋_GB2312"/>
          <w:color w:val="auto"/>
          <w:kern w:val="0"/>
          <w:sz w:val="32"/>
          <w:szCs w:val="32"/>
          <w:lang w:val="en-US" w:bidi="ar-SA"/>
        </w:rPr>
        <w:t>。申请内容主要涉及征地补偿领域。未因政府信息公开被申请行政复议、提起行政诉讼。</w:t>
      </w:r>
    </w:p>
    <w:p w14:paraId="784B26A8">
      <w:pPr>
        <w:spacing w:line="240" w:lineRule="auto"/>
        <w:ind w:firstLine="640" w:firstLineChars="200"/>
        <w:jc w:val="center"/>
        <w:rPr>
          <w:rFonts w:eastAsia="楷体_GB2312"/>
          <w:bCs/>
        </w:rPr>
      </w:pPr>
      <w:r>
        <w:rPr>
          <w:rFonts w:hint="eastAsia" w:eastAsia="楷体_GB2312"/>
          <w:bCs/>
        </w:rPr>
        <w:drawing>
          <wp:inline distT="0" distB="0" distL="114300" distR="114300">
            <wp:extent cx="4819650" cy="2743200"/>
            <wp:effectExtent l="0" t="0" r="0" b="0"/>
            <wp:docPr id="1" name="图片 1" descr="shandongtong_20260113145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andongtong_20260113145115"/>
                    <pic:cNvPicPr>
                      <a:picLocks noChangeAspect="1"/>
                    </pic:cNvPicPr>
                  </pic:nvPicPr>
                  <pic:blipFill>
                    <a:blip r:embed="rId6"/>
                    <a:stretch>
                      <a:fillRect/>
                    </a:stretch>
                  </pic:blipFill>
                  <pic:spPr>
                    <a:xfrm>
                      <a:off x="0" y="0"/>
                      <a:ext cx="4819650" cy="2743200"/>
                    </a:xfrm>
                    <a:prstGeom prst="rect">
                      <a:avLst/>
                    </a:prstGeom>
                  </pic:spPr>
                </pic:pic>
              </a:graphicData>
            </a:graphic>
          </wp:inline>
        </w:drawing>
      </w:r>
    </w:p>
    <w:p w14:paraId="7616F2D7">
      <w:pPr>
        <w:spacing w:line="240" w:lineRule="auto"/>
        <w:ind w:firstLine="640" w:firstLineChars="200"/>
        <w:jc w:val="left"/>
        <w:rPr>
          <w:rFonts w:eastAsia="楷体_GB2312"/>
          <w:bCs/>
        </w:rPr>
      </w:pPr>
    </w:p>
    <w:p w14:paraId="696F0D07">
      <w:pPr>
        <w:spacing w:line="560" w:lineRule="exact"/>
        <w:ind w:firstLine="640" w:firstLineChars="200"/>
        <w:jc w:val="left"/>
        <w:rPr>
          <w:rFonts w:eastAsia="楷体_GB2312"/>
          <w:bCs/>
        </w:rPr>
      </w:pPr>
      <w:r>
        <w:rPr>
          <w:rFonts w:eastAsia="楷体_GB2312"/>
          <w:bCs/>
        </w:rPr>
        <w:t>（三）政府信息管理</w:t>
      </w:r>
    </w:p>
    <w:p w14:paraId="6453A72C">
      <w:pPr>
        <w:pStyle w:val="2"/>
        <w:spacing w:before="0" w:beforeAutospacing="0" w:after="0" w:afterAutospacing="0" w:line="560" w:lineRule="exact"/>
        <w:rPr>
          <w:rFonts w:hint="default" w:ascii="Times New Roman" w:hAnsi="Times New Roman" w:eastAsia="仿宋_GB2312"/>
          <w:color w:val="auto"/>
          <w:kern w:val="22"/>
          <w:sz w:val="32"/>
          <w:szCs w:val="32"/>
          <w:lang w:val="en-US" w:bidi="ar-SA"/>
        </w:rPr>
      </w:pPr>
      <w:r>
        <w:rPr>
          <w:rFonts w:ascii="Times New Roman" w:hAnsi="Times New Roman" w:eastAsia="仿宋_GB2312"/>
          <w:color w:val="auto"/>
          <w:kern w:val="22"/>
          <w:sz w:val="32"/>
          <w:szCs w:val="32"/>
          <w:lang w:val="en-US" w:bidi="ar-SA"/>
        </w:rPr>
        <w:t>动态更新主动公开事项目录，分科室、分层级梳理主动公开事项，形成标准化目录，确保公开无遗漏。完善保密审查机制，严格区分公开与保密边界，对涉及国家秘密、商业秘密、个人隐私的信息依法不予公开，对可能影响社会稳定的虚假信息及时澄清。</w:t>
      </w:r>
    </w:p>
    <w:p w14:paraId="784136D2">
      <w:pPr>
        <w:spacing w:line="560" w:lineRule="exact"/>
        <w:ind w:firstLine="640" w:firstLineChars="200"/>
        <w:jc w:val="left"/>
        <w:rPr>
          <w:rFonts w:eastAsia="楷体_GB2312"/>
          <w:kern w:val="22"/>
          <w:szCs w:val="32"/>
        </w:rPr>
      </w:pPr>
      <w:r>
        <w:rPr>
          <w:rFonts w:eastAsia="楷体_GB2312"/>
          <w:bCs/>
        </w:rPr>
        <w:t>（四</w:t>
      </w:r>
      <w:r>
        <w:rPr>
          <w:rFonts w:eastAsia="楷体_GB2312"/>
          <w:kern w:val="22"/>
          <w:szCs w:val="32"/>
        </w:rPr>
        <w:t>）政府信息公开平台建设</w:t>
      </w:r>
    </w:p>
    <w:p w14:paraId="78E10F72">
      <w:pPr>
        <w:pStyle w:val="2"/>
        <w:spacing w:before="0" w:beforeAutospacing="0" w:after="0" w:afterAutospacing="0" w:line="560" w:lineRule="exact"/>
        <w:rPr>
          <w:rFonts w:hint="default" w:ascii="Times New Roman" w:hAnsi="Times New Roman" w:eastAsia="楷体_GB2312"/>
          <w:bCs/>
        </w:rPr>
      </w:pPr>
      <w:r>
        <w:rPr>
          <w:rFonts w:hint="default" w:ascii="Times New Roman" w:hAnsi="Times New Roman" w:eastAsia="仿宋_GB2312"/>
          <w:color w:val="auto"/>
          <w:kern w:val="22"/>
          <w:sz w:val="32"/>
          <w:szCs w:val="32"/>
          <w:lang w:val="en-US" w:bidi="ar-SA"/>
        </w:rPr>
        <w:t>强化</w:t>
      </w:r>
      <w:r>
        <w:rPr>
          <w:rFonts w:ascii="Times New Roman" w:hAnsi="Times New Roman" w:eastAsia="仿宋_GB2312"/>
          <w:color w:val="auto"/>
          <w:kern w:val="22"/>
          <w:sz w:val="32"/>
          <w:szCs w:val="32"/>
          <w:lang w:val="en-US" w:bidi="ar-SA"/>
        </w:rPr>
        <w:t>县</w:t>
      </w:r>
      <w:r>
        <w:rPr>
          <w:rFonts w:hint="default" w:ascii="Times New Roman" w:hAnsi="Times New Roman" w:eastAsia="仿宋_GB2312"/>
          <w:color w:val="auto"/>
          <w:kern w:val="22"/>
          <w:sz w:val="32"/>
          <w:szCs w:val="32"/>
          <w:lang w:val="en-US" w:bidi="ar-SA"/>
        </w:rPr>
        <w:t>政府门户网站主阵地</w:t>
      </w:r>
      <w:r>
        <w:rPr>
          <w:rFonts w:ascii="Times New Roman" w:hAnsi="Times New Roman" w:eastAsia="仿宋_GB2312"/>
          <w:color w:val="auto"/>
          <w:kern w:val="22"/>
          <w:sz w:val="32"/>
          <w:szCs w:val="32"/>
          <w:lang w:val="en-US" w:bidi="ar-SA"/>
        </w:rPr>
        <w:t>，</w:t>
      </w:r>
      <w:r>
        <w:rPr>
          <w:rFonts w:hint="default" w:ascii="Times New Roman" w:hAnsi="Times New Roman" w:eastAsia="仿宋_GB2312"/>
          <w:color w:val="auto"/>
          <w:kern w:val="22"/>
          <w:sz w:val="32"/>
          <w:szCs w:val="32"/>
          <w:lang w:val="en-US" w:bidi="ar-SA"/>
        </w:rPr>
        <w:t>集中发布</w:t>
      </w:r>
      <w:r>
        <w:rPr>
          <w:rFonts w:hint="eastAsia" w:ascii="Times New Roman" w:hAnsi="Times New Roman" w:eastAsia="仿宋_GB2312"/>
          <w:color w:val="auto"/>
          <w:kern w:val="22"/>
          <w:sz w:val="32"/>
          <w:szCs w:val="32"/>
          <w:lang w:val="en-US" w:eastAsia="zh-CN" w:bidi="ar-SA"/>
        </w:rPr>
        <w:t>财政</w:t>
      </w:r>
      <w:r>
        <w:rPr>
          <w:rFonts w:hint="default" w:ascii="Times New Roman" w:hAnsi="Times New Roman" w:eastAsia="仿宋_GB2312"/>
          <w:color w:val="auto"/>
          <w:kern w:val="22"/>
          <w:sz w:val="32"/>
          <w:szCs w:val="32"/>
          <w:lang w:val="en-US" w:bidi="ar-SA"/>
        </w:rPr>
        <w:t>信息，开设统一互动交流与在线办事入口</w:t>
      </w:r>
      <w:r>
        <w:rPr>
          <w:rFonts w:ascii="Times New Roman" w:hAnsi="Times New Roman" w:eastAsia="仿宋_GB2312"/>
          <w:color w:val="auto"/>
          <w:kern w:val="22"/>
          <w:sz w:val="32"/>
          <w:szCs w:val="32"/>
          <w:lang w:val="en-US" w:bidi="ar-SA"/>
        </w:rPr>
        <w:t>。</w:t>
      </w:r>
      <w:r>
        <w:rPr>
          <w:rFonts w:hint="default" w:ascii="Times New Roman" w:hAnsi="Times New Roman" w:eastAsia="仿宋_GB2312"/>
          <w:color w:val="auto"/>
          <w:kern w:val="22"/>
          <w:sz w:val="32"/>
          <w:szCs w:val="32"/>
          <w:lang w:val="en-US" w:bidi="ar-SA"/>
        </w:rPr>
        <w:t>依托“最高青”客户端搭建财政信息集中公开专区，整合</w:t>
      </w:r>
      <w:r>
        <w:rPr>
          <w:rFonts w:ascii="Times New Roman" w:hAnsi="Times New Roman" w:eastAsia="仿宋_GB2312"/>
          <w:color w:val="auto"/>
          <w:kern w:val="22"/>
          <w:sz w:val="32"/>
          <w:szCs w:val="32"/>
          <w:lang w:val="en-US" w:bidi="ar-SA"/>
        </w:rPr>
        <w:t>财政资金使用情况、国企工作动态</w:t>
      </w:r>
      <w:r>
        <w:rPr>
          <w:rFonts w:hint="default" w:ascii="Times New Roman" w:hAnsi="Times New Roman" w:eastAsia="仿宋_GB2312"/>
          <w:color w:val="auto"/>
          <w:kern w:val="22"/>
          <w:sz w:val="32"/>
          <w:szCs w:val="32"/>
          <w:lang w:val="en-US" w:bidi="ar-SA"/>
        </w:rPr>
        <w:t>等各类公开事项，支持多维度检索查询，保障公众随时随地便捷获取。</w:t>
      </w:r>
    </w:p>
    <w:p w14:paraId="6D1A7DAD">
      <w:pPr>
        <w:spacing w:line="560" w:lineRule="exact"/>
        <w:ind w:firstLine="640" w:firstLineChars="200"/>
        <w:jc w:val="left"/>
        <w:rPr>
          <w:rFonts w:eastAsia="仿宋_GB2312"/>
          <w:kern w:val="22"/>
          <w:szCs w:val="32"/>
        </w:rPr>
      </w:pPr>
      <w:r>
        <w:rPr>
          <w:rFonts w:eastAsia="楷体_GB2312"/>
          <w:bCs/>
        </w:rPr>
        <w:t>（五）监督保障</w:t>
      </w:r>
    </w:p>
    <w:p w14:paraId="2C543A07">
      <w:pPr>
        <w:spacing w:line="560" w:lineRule="exact"/>
        <w:ind w:firstLine="640" w:firstLineChars="200"/>
        <w:rPr>
          <w:rFonts w:eastAsia="黑体"/>
          <w:szCs w:val="32"/>
        </w:rPr>
      </w:pPr>
      <w:r>
        <w:rPr>
          <w:rFonts w:eastAsia="仿宋_GB2312"/>
          <w:kern w:val="22"/>
          <w:szCs w:val="32"/>
        </w:rPr>
        <w:t>加强组织管理，</w:t>
      </w:r>
      <w:r>
        <w:rPr>
          <w:rFonts w:hint="eastAsia" w:eastAsia="仿宋_GB2312"/>
          <w:kern w:val="22"/>
          <w:szCs w:val="32"/>
        </w:rPr>
        <w:t>建立“科室、分管领导”管理机制，由局办公室负责总体工作，各科室负责对应栏目更新，分管领导进行内容审核，同时局办公室配备一名专门工作人员负责日常工作。开展专项督查，重点检查依申请公开办理、政策解读等情况，对发现的问题限期整改并公开结果</w:t>
      </w:r>
      <w:r>
        <w:rPr>
          <w:rFonts w:eastAsia="仿宋_GB2312"/>
          <w:kern w:val="22"/>
          <w:szCs w:val="32"/>
        </w:rPr>
        <w:t>。</w:t>
      </w:r>
      <w:r>
        <w:rPr>
          <w:rFonts w:hint="eastAsia" w:eastAsia="仿宋_GB2312"/>
          <w:kern w:val="22"/>
          <w:szCs w:val="32"/>
        </w:rPr>
        <w:t>加强队伍建设，组织开展政务公开培训会2次，提升工作人员政策解读、舆情应对、平台操作能力，打造专业化队伍。</w:t>
      </w:r>
    </w:p>
    <w:p w14:paraId="3642F2D7">
      <w:pPr>
        <w:spacing w:line="600" w:lineRule="exact"/>
        <w:ind w:firstLine="640" w:firstLineChars="200"/>
        <w:rPr>
          <w:rFonts w:eastAsia="黑体"/>
          <w:szCs w:val="32"/>
        </w:rPr>
      </w:pPr>
      <w:r>
        <w:rPr>
          <w:rFonts w:eastAsia="黑体"/>
          <w:szCs w:val="32"/>
        </w:rPr>
        <w:t>二、主动公开政府信息情况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3C8D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16AE2D8">
            <w:pPr>
              <w:spacing w:line="240" w:lineRule="auto"/>
              <w:ind w:firstLine="0"/>
              <w:jc w:val="center"/>
              <w:rPr>
                <w:rFonts w:eastAsia="黑体"/>
                <w:sz w:val="20"/>
              </w:rPr>
            </w:pPr>
            <w:r>
              <w:rPr>
                <w:rFonts w:eastAsia="宋体"/>
                <w:snapToGrid/>
                <w:sz w:val="20"/>
              </w:rPr>
              <w:t>第二十条第（一）项</w:t>
            </w:r>
          </w:p>
        </w:tc>
      </w:tr>
      <w:tr w14:paraId="288C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43F7683">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2130" w:type="dxa"/>
            <w:vAlign w:val="center"/>
          </w:tcPr>
          <w:p w14:paraId="61B24366">
            <w:pPr>
              <w:widowControl/>
              <w:autoSpaceDE/>
              <w:autoSpaceDN/>
              <w:snapToGrid/>
              <w:spacing w:line="240" w:lineRule="auto"/>
              <w:ind w:firstLine="0"/>
              <w:jc w:val="center"/>
              <w:rPr>
                <w:rFonts w:eastAsia="宋体"/>
                <w:snapToGrid/>
                <w:sz w:val="20"/>
              </w:rPr>
            </w:pPr>
            <w:r>
              <w:rPr>
                <w:rFonts w:eastAsia="宋体"/>
                <w:snapToGrid/>
                <w:sz w:val="20"/>
              </w:rPr>
              <w:t>本年制发件数</w:t>
            </w:r>
          </w:p>
        </w:tc>
        <w:tc>
          <w:tcPr>
            <w:tcW w:w="2131" w:type="dxa"/>
            <w:vAlign w:val="center"/>
          </w:tcPr>
          <w:p w14:paraId="0ED088A8">
            <w:pPr>
              <w:widowControl/>
              <w:autoSpaceDE/>
              <w:autoSpaceDN/>
              <w:snapToGrid/>
              <w:spacing w:line="240" w:lineRule="auto"/>
              <w:ind w:firstLine="0"/>
              <w:jc w:val="center"/>
              <w:rPr>
                <w:rFonts w:eastAsia="宋体"/>
                <w:snapToGrid/>
                <w:sz w:val="20"/>
              </w:rPr>
            </w:pPr>
            <w:r>
              <w:rPr>
                <w:rFonts w:eastAsia="宋体"/>
                <w:snapToGrid/>
                <w:sz w:val="20"/>
              </w:rPr>
              <w:t>本年废止件数</w:t>
            </w:r>
          </w:p>
        </w:tc>
        <w:tc>
          <w:tcPr>
            <w:tcW w:w="2131" w:type="dxa"/>
            <w:vAlign w:val="center"/>
          </w:tcPr>
          <w:p w14:paraId="71175E62">
            <w:pPr>
              <w:widowControl/>
              <w:autoSpaceDE/>
              <w:autoSpaceDN/>
              <w:snapToGrid/>
              <w:spacing w:line="240" w:lineRule="auto"/>
              <w:ind w:firstLine="0"/>
              <w:jc w:val="center"/>
              <w:rPr>
                <w:rFonts w:eastAsia="宋体"/>
                <w:snapToGrid/>
                <w:sz w:val="20"/>
              </w:rPr>
            </w:pPr>
            <w:r>
              <w:rPr>
                <w:rFonts w:eastAsia="宋体"/>
                <w:snapToGrid/>
                <w:sz w:val="20"/>
              </w:rPr>
              <w:t>现行有效件数</w:t>
            </w:r>
          </w:p>
        </w:tc>
      </w:tr>
      <w:tr w14:paraId="5679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CF33D2B">
            <w:pPr>
              <w:widowControl/>
              <w:autoSpaceDE/>
              <w:autoSpaceDN/>
              <w:snapToGrid/>
              <w:spacing w:line="240" w:lineRule="auto"/>
              <w:ind w:firstLine="0"/>
              <w:rPr>
                <w:rFonts w:eastAsia="宋体"/>
                <w:snapToGrid/>
                <w:sz w:val="20"/>
              </w:rPr>
            </w:pPr>
            <w:r>
              <w:rPr>
                <w:rFonts w:eastAsia="宋体"/>
                <w:snapToGrid/>
                <w:sz w:val="20"/>
              </w:rPr>
              <w:t>规章</w:t>
            </w:r>
          </w:p>
        </w:tc>
        <w:tc>
          <w:tcPr>
            <w:tcW w:w="2130" w:type="dxa"/>
            <w:vAlign w:val="center"/>
          </w:tcPr>
          <w:p w14:paraId="5A7E7116">
            <w:pPr>
              <w:spacing w:line="240" w:lineRule="auto"/>
              <w:ind w:firstLine="0"/>
              <w:jc w:val="center"/>
              <w:rPr>
                <w:rFonts w:eastAsia="黑体"/>
                <w:sz w:val="20"/>
              </w:rPr>
            </w:pPr>
            <w:r>
              <w:rPr>
                <w:rFonts w:eastAsia="黑体"/>
                <w:sz w:val="20"/>
              </w:rPr>
              <w:t>0</w:t>
            </w:r>
          </w:p>
        </w:tc>
        <w:tc>
          <w:tcPr>
            <w:tcW w:w="2131" w:type="dxa"/>
            <w:vAlign w:val="center"/>
          </w:tcPr>
          <w:p w14:paraId="3FC54A5C">
            <w:pPr>
              <w:spacing w:line="240" w:lineRule="auto"/>
              <w:ind w:firstLine="0"/>
              <w:jc w:val="center"/>
              <w:rPr>
                <w:rFonts w:eastAsia="黑体"/>
                <w:sz w:val="20"/>
              </w:rPr>
            </w:pPr>
            <w:r>
              <w:rPr>
                <w:rFonts w:eastAsia="黑体"/>
                <w:sz w:val="20"/>
              </w:rPr>
              <w:t>0</w:t>
            </w:r>
          </w:p>
        </w:tc>
        <w:tc>
          <w:tcPr>
            <w:tcW w:w="2131" w:type="dxa"/>
            <w:vAlign w:val="center"/>
          </w:tcPr>
          <w:p w14:paraId="0EC27E72">
            <w:pPr>
              <w:spacing w:line="240" w:lineRule="auto"/>
              <w:ind w:firstLine="0"/>
              <w:jc w:val="center"/>
              <w:rPr>
                <w:rFonts w:eastAsia="黑体"/>
                <w:sz w:val="20"/>
              </w:rPr>
            </w:pPr>
            <w:r>
              <w:rPr>
                <w:rFonts w:eastAsia="黑体"/>
                <w:sz w:val="20"/>
              </w:rPr>
              <w:t>0</w:t>
            </w:r>
          </w:p>
        </w:tc>
      </w:tr>
      <w:tr w14:paraId="08872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1E7016F">
            <w:pPr>
              <w:widowControl/>
              <w:autoSpaceDE/>
              <w:autoSpaceDN/>
              <w:snapToGrid/>
              <w:spacing w:line="240" w:lineRule="auto"/>
              <w:ind w:firstLine="0"/>
              <w:rPr>
                <w:rFonts w:eastAsia="宋体"/>
                <w:snapToGrid/>
                <w:sz w:val="20"/>
              </w:rPr>
            </w:pPr>
            <w:r>
              <w:rPr>
                <w:rFonts w:eastAsia="宋体"/>
                <w:snapToGrid/>
                <w:sz w:val="20"/>
              </w:rPr>
              <w:t>行政规范性文件</w:t>
            </w:r>
          </w:p>
        </w:tc>
        <w:tc>
          <w:tcPr>
            <w:tcW w:w="2130" w:type="dxa"/>
            <w:vAlign w:val="center"/>
          </w:tcPr>
          <w:p w14:paraId="662EAB74">
            <w:pPr>
              <w:spacing w:line="240" w:lineRule="auto"/>
              <w:ind w:firstLine="0"/>
              <w:jc w:val="center"/>
              <w:rPr>
                <w:rFonts w:eastAsia="黑体"/>
                <w:sz w:val="20"/>
              </w:rPr>
            </w:pPr>
            <w:r>
              <w:rPr>
                <w:rFonts w:eastAsia="黑体"/>
                <w:sz w:val="20"/>
              </w:rPr>
              <w:t>0</w:t>
            </w:r>
          </w:p>
        </w:tc>
        <w:tc>
          <w:tcPr>
            <w:tcW w:w="2131" w:type="dxa"/>
            <w:vAlign w:val="center"/>
          </w:tcPr>
          <w:p w14:paraId="277480D2">
            <w:pPr>
              <w:spacing w:line="240" w:lineRule="auto"/>
              <w:ind w:firstLine="0"/>
              <w:jc w:val="center"/>
              <w:rPr>
                <w:rFonts w:eastAsia="黑体"/>
                <w:sz w:val="20"/>
              </w:rPr>
            </w:pPr>
            <w:r>
              <w:rPr>
                <w:rFonts w:eastAsia="黑体"/>
                <w:sz w:val="20"/>
              </w:rPr>
              <w:t>0</w:t>
            </w:r>
          </w:p>
        </w:tc>
        <w:tc>
          <w:tcPr>
            <w:tcW w:w="2131" w:type="dxa"/>
            <w:vAlign w:val="center"/>
          </w:tcPr>
          <w:p w14:paraId="3B7EBF8C">
            <w:pPr>
              <w:spacing w:line="240" w:lineRule="auto"/>
              <w:ind w:firstLine="0"/>
              <w:jc w:val="center"/>
              <w:rPr>
                <w:rFonts w:eastAsia="黑体"/>
                <w:sz w:val="20"/>
              </w:rPr>
            </w:pPr>
            <w:r>
              <w:rPr>
                <w:rFonts w:eastAsia="黑体"/>
                <w:sz w:val="20"/>
              </w:rPr>
              <w:t>0</w:t>
            </w:r>
          </w:p>
        </w:tc>
      </w:tr>
      <w:tr w14:paraId="1F166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4F250E6">
            <w:pPr>
              <w:spacing w:line="240" w:lineRule="auto"/>
              <w:ind w:firstLine="0"/>
              <w:jc w:val="center"/>
              <w:rPr>
                <w:rFonts w:eastAsia="宋体"/>
                <w:snapToGrid/>
                <w:sz w:val="20"/>
              </w:rPr>
            </w:pPr>
            <w:r>
              <w:rPr>
                <w:rFonts w:eastAsia="宋体"/>
                <w:snapToGrid/>
                <w:sz w:val="20"/>
              </w:rPr>
              <w:t>第二十条第（五）项</w:t>
            </w:r>
          </w:p>
        </w:tc>
      </w:tr>
      <w:tr w14:paraId="40F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A387F21">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14:paraId="2471E8C3">
            <w:pPr>
              <w:spacing w:line="240" w:lineRule="auto"/>
              <w:ind w:firstLine="0"/>
              <w:jc w:val="center"/>
              <w:rPr>
                <w:rFonts w:eastAsia="黑体"/>
                <w:sz w:val="20"/>
              </w:rPr>
            </w:pPr>
            <w:r>
              <w:rPr>
                <w:rFonts w:eastAsia="宋体"/>
                <w:snapToGrid/>
                <w:sz w:val="20"/>
              </w:rPr>
              <w:t>本年处理决定数量</w:t>
            </w:r>
          </w:p>
        </w:tc>
      </w:tr>
      <w:tr w14:paraId="440B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0801430">
            <w:pPr>
              <w:widowControl/>
              <w:autoSpaceDE/>
              <w:autoSpaceDN/>
              <w:snapToGrid/>
              <w:spacing w:line="240" w:lineRule="auto"/>
              <w:ind w:firstLine="0"/>
              <w:rPr>
                <w:rFonts w:eastAsia="宋体"/>
                <w:snapToGrid/>
                <w:sz w:val="20"/>
              </w:rPr>
            </w:pPr>
            <w:r>
              <w:rPr>
                <w:rFonts w:eastAsia="宋体"/>
                <w:snapToGrid/>
                <w:sz w:val="20"/>
              </w:rPr>
              <w:t>行政许可</w:t>
            </w:r>
          </w:p>
        </w:tc>
        <w:tc>
          <w:tcPr>
            <w:tcW w:w="6392" w:type="dxa"/>
            <w:gridSpan w:val="3"/>
            <w:vAlign w:val="center"/>
          </w:tcPr>
          <w:p w14:paraId="4C932551">
            <w:pPr>
              <w:spacing w:line="240" w:lineRule="auto"/>
              <w:ind w:firstLine="0"/>
              <w:jc w:val="center"/>
              <w:rPr>
                <w:rFonts w:eastAsia="黑体"/>
                <w:sz w:val="20"/>
              </w:rPr>
            </w:pPr>
            <w:r>
              <w:rPr>
                <w:rFonts w:eastAsia="黑体"/>
                <w:sz w:val="20"/>
              </w:rPr>
              <w:t>0</w:t>
            </w:r>
          </w:p>
        </w:tc>
      </w:tr>
      <w:tr w14:paraId="614A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05F69F51">
            <w:pPr>
              <w:spacing w:line="240" w:lineRule="auto"/>
              <w:ind w:firstLine="0"/>
              <w:jc w:val="center"/>
              <w:rPr>
                <w:rFonts w:eastAsia="宋体"/>
                <w:snapToGrid/>
                <w:sz w:val="20"/>
              </w:rPr>
            </w:pPr>
            <w:r>
              <w:rPr>
                <w:rFonts w:eastAsia="宋体"/>
                <w:snapToGrid/>
                <w:sz w:val="20"/>
              </w:rPr>
              <w:t>第二十条第（六）项</w:t>
            </w:r>
          </w:p>
        </w:tc>
      </w:tr>
      <w:tr w14:paraId="533E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61BC34D">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14:paraId="72201126">
            <w:pPr>
              <w:spacing w:line="240" w:lineRule="auto"/>
              <w:ind w:firstLine="0"/>
              <w:jc w:val="center"/>
              <w:rPr>
                <w:rFonts w:eastAsia="黑体"/>
                <w:sz w:val="20"/>
              </w:rPr>
            </w:pPr>
            <w:r>
              <w:rPr>
                <w:rFonts w:eastAsia="宋体"/>
                <w:snapToGrid/>
                <w:sz w:val="20"/>
              </w:rPr>
              <w:t>本年处理决定数量</w:t>
            </w:r>
          </w:p>
        </w:tc>
      </w:tr>
      <w:tr w14:paraId="7D87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CD04F21">
            <w:pPr>
              <w:widowControl/>
              <w:autoSpaceDE/>
              <w:autoSpaceDN/>
              <w:snapToGrid/>
              <w:spacing w:line="240" w:lineRule="auto"/>
              <w:ind w:firstLine="0"/>
              <w:rPr>
                <w:rFonts w:eastAsia="宋体"/>
                <w:snapToGrid/>
                <w:sz w:val="20"/>
              </w:rPr>
            </w:pPr>
            <w:r>
              <w:rPr>
                <w:rFonts w:eastAsia="宋体"/>
                <w:snapToGrid/>
                <w:sz w:val="20"/>
              </w:rPr>
              <w:t>行政处罚</w:t>
            </w:r>
          </w:p>
        </w:tc>
        <w:tc>
          <w:tcPr>
            <w:tcW w:w="6392" w:type="dxa"/>
            <w:gridSpan w:val="3"/>
            <w:vAlign w:val="center"/>
          </w:tcPr>
          <w:p w14:paraId="4E7870AA">
            <w:pPr>
              <w:spacing w:line="240" w:lineRule="auto"/>
              <w:ind w:firstLine="0"/>
              <w:jc w:val="center"/>
              <w:rPr>
                <w:rFonts w:eastAsia="黑体"/>
                <w:sz w:val="20"/>
              </w:rPr>
            </w:pPr>
            <w:r>
              <w:rPr>
                <w:rFonts w:eastAsia="黑体"/>
                <w:sz w:val="20"/>
              </w:rPr>
              <w:t>0</w:t>
            </w:r>
          </w:p>
        </w:tc>
      </w:tr>
      <w:tr w14:paraId="6B7C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24277FE">
            <w:pPr>
              <w:widowControl/>
              <w:autoSpaceDE/>
              <w:autoSpaceDN/>
              <w:snapToGrid/>
              <w:spacing w:line="240" w:lineRule="auto"/>
              <w:ind w:firstLine="0"/>
              <w:rPr>
                <w:rFonts w:eastAsia="宋体"/>
                <w:snapToGrid/>
                <w:sz w:val="20"/>
              </w:rPr>
            </w:pPr>
            <w:r>
              <w:rPr>
                <w:rFonts w:eastAsia="宋体"/>
                <w:snapToGrid/>
                <w:sz w:val="20"/>
              </w:rPr>
              <w:t>行政强制</w:t>
            </w:r>
          </w:p>
        </w:tc>
        <w:tc>
          <w:tcPr>
            <w:tcW w:w="6392" w:type="dxa"/>
            <w:gridSpan w:val="3"/>
            <w:vAlign w:val="center"/>
          </w:tcPr>
          <w:p w14:paraId="0B021F6C">
            <w:pPr>
              <w:spacing w:line="240" w:lineRule="auto"/>
              <w:ind w:firstLine="0"/>
              <w:jc w:val="center"/>
              <w:rPr>
                <w:rFonts w:eastAsia="黑体"/>
                <w:sz w:val="20"/>
              </w:rPr>
            </w:pPr>
            <w:r>
              <w:rPr>
                <w:rFonts w:eastAsia="黑体"/>
                <w:sz w:val="20"/>
              </w:rPr>
              <w:t>0</w:t>
            </w:r>
          </w:p>
        </w:tc>
      </w:tr>
      <w:tr w14:paraId="3275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4A5A9F5">
            <w:pPr>
              <w:spacing w:line="240" w:lineRule="auto"/>
              <w:ind w:firstLine="0"/>
              <w:jc w:val="center"/>
              <w:rPr>
                <w:rFonts w:eastAsia="宋体"/>
                <w:snapToGrid/>
                <w:sz w:val="20"/>
              </w:rPr>
            </w:pPr>
            <w:r>
              <w:rPr>
                <w:rFonts w:eastAsia="宋体"/>
                <w:snapToGrid/>
                <w:sz w:val="20"/>
              </w:rPr>
              <w:t>第二十条第（八）项</w:t>
            </w:r>
          </w:p>
        </w:tc>
      </w:tr>
      <w:tr w14:paraId="5A64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C663633">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14:paraId="283A29DB">
            <w:pPr>
              <w:spacing w:line="240" w:lineRule="auto"/>
              <w:ind w:firstLine="0"/>
              <w:jc w:val="center"/>
              <w:rPr>
                <w:rFonts w:eastAsia="黑体"/>
                <w:sz w:val="20"/>
              </w:rPr>
            </w:pPr>
            <w:r>
              <w:rPr>
                <w:rFonts w:eastAsia="宋体"/>
                <w:snapToGrid/>
                <w:sz w:val="20"/>
              </w:rPr>
              <w:t>本年收费金额（单位：万元）</w:t>
            </w:r>
          </w:p>
        </w:tc>
      </w:tr>
      <w:tr w14:paraId="10530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C0D8CDE">
            <w:pPr>
              <w:widowControl/>
              <w:autoSpaceDE/>
              <w:autoSpaceDN/>
              <w:snapToGrid/>
              <w:spacing w:line="240" w:lineRule="auto"/>
              <w:ind w:firstLine="0"/>
              <w:rPr>
                <w:rFonts w:eastAsia="宋体"/>
                <w:snapToGrid/>
                <w:sz w:val="20"/>
              </w:rPr>
            </w:pPr>
            <w:r>
              <w:rPr>
                <w:rFonts w:eastAsia="宋体"/>
                <w:snapToGrid/>
                <w:sz w:val="20"/>
              </w:rPr>
              <w:t>行政事业性收费</w:t>
            </w:r>
          </w:p>
        </w:tc>
        <w:tc>
          <w:tcPr>
            <w:tcW w:w="6392" w:type="dxa"/>
            <w:gridSpan w:val="3"/>
            <w:vAlign w:val="center"/>
          </w:tcPr>
          <w:p w14:paraId="0EE207D4">
            <w:pPr>
              <w:spacing w:line="240" w:lineRule="auto"/>
              <w:ind w:firstLine="0"/>
              <w:jc w:val="center"/>
              <w:rPr>
                <w:rFonts w:eastAsia="黑体"/>
                <w:sz w:val="20"/>
              </w:rPr>
            </w:pPr>
            <w:r>
              <w:rPr>
                <w:rFonts w:eastAsia="黑体"/>
                <w:sz w:val="20"/>
              </w:rPr>
              <w:t>0</w:t>
            </w:r>
          </w:p>
        </w:tc>
      </w:tr>
    </w:tbl>
    <w:p w14:paraId="5C69228E">
      <w:pPr>
        <w:spacing w:line="240" w:lineRule="auto"/>
        <w:ind w:firstLine="0"/>
        <w:rPr>
          <w:rFonts w:eastAsia="黑体"/>
          <w:sz w:val="30"/>
          <w:szCs w:val="30"/>
        </w:rPr>
      </w:pPr>
    </w:p>
    <w:p w14:paraId="485F8C22">
      <w:pPr>
        <w:spacing w:after="156" w:afterLines="50" w:line="240" w:lineRule="auto"/>
        <w:ind w:firstLine="0"/>
        <w:rPr>
          <w:rFonts w:eastAsia="黑体"/>
          <w:szCs w:val="32"/>
        </w:rPr>
      </w:pPr>
    </w:p>
    <w:p w14:paraId="148FD96F">
      <w:pPr>
        <w:spacing w:line="600" w:lineRule="exact"/>
        <w:ind w:firstLine="640" w:firstLineChars="200"/>
        <w:rPr>
          <w:rFonts w:eastAsia="黑体"/>
          <w:szCs w:val="32"/>
        </w:rPr>
      </w:pPr>
      <w:r>
        <w:rPr>
          <w:rFonts w:eastAsia="黑体"/>
          <w:szCs w:val="32"/>
        </w:rPr>
        <w:t>三、收到和处理政府信息公开申请情况</w:t>
      </w:r>
    </w:p>
    <w:tbl>
      <w:tblPr>
        <w:tblStyle w:val="8"/>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432C890C">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6D952C12">
            <w:pPr>
              <w:widowControl/>
              <w:autoSpaceDE/>
              <w:autoSpaceDN/>
              <w:snapToGrid/>
              <w:spacing w:line="240" w:lineRule="auto"/>
              <w:ind w:firstLine="0"/>
              <w:jc w:val="left"/>
              <w:rPr>
                <w:rFonts w:eastAsia="宋体"/>
                <w:snapToGrid/>
                <w:sz w:val="24"/>
                <w:szCs w:val="24"/>
              </w:rPr>
            </w:pPr>
            <w:r>
              <w:rPr>
                <w:rFonts w:eastAsia="楷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EC8A9F3">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14:paraId="5F52B1D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E926CED">
            <w:pPr>
              <w:widowControl/>
              <w:autoSpaceDE/>
              <w:autoSpaceDN/>
              <w:snapToGrid/>
              <w:spacing w:line="240" w:lineRule="auto"/>
              <w:ind w:firstLine="0"/>
              <w:jc w:val="left"/>
              <w:rPr>
                <w:rFonts w:eastAsia="宋体"/>
                <w:snapToGrid/>
                <w:sz w:val="24"/>
                <w:szCs w:val="24"/>
              </w:rPr>
            </w:pPr>
          </w:p>
        </w:tc>
        <w:tc>
          <w:tcPr>
            <w:tcW w:w="850" w:type="dxa"/>
            <w:vMerge w:val="restart"/>
            <w:tcBorders>
              <w:top w:val="single" w:color="auto" w:sz="0" w:space="0"/>
              <w:left w:val="single" w:color="auto" w:sz="0" w:space="0"/>
              <w:bottom w:val="single" w:color="auto" w:sz="8" w:space="0"/>
              <w:right w:val="single" w:color="auto" w:sz="8" w:space="0"/>
            </w:tcBorders>
            <w:tcMar>
              <w:top w:w="0" w:type="dxa"/>
              <w:left w:w="57" w:type="dxa"/>
              <w:bottom w:w="0" w:type="dxa"/>
              <w:right w:w="57" w:type="dxa"/>
            </w:tcMar>
            <w:vAlign w:val="center"/>
          </w:tcPr>
          <w:p w14:paraId="72697239">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14:paraId="524FE267">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756" w:type="dxa"/>
            <w:vMerge w:val="restart"/>
            <w:tcBorders>
              <w:top w:val="single" w:color="auto" w:sz="8" w:space="0"/>
              <w:left w:val="single" w:color="auto" w:sz="0" w:space="0"/>
              <w:bottom w:val="inset" w:color="auto" w:sz="8" w:space="0"/>
              <w:right w:val="single" w:color="auto" w:sz="8" w:space="0"/>
            </w:tcBorders>
            <w:tcMar>
              <w:top w:w="0" w:type="dxa"/>
              <w:left w:w="57" w:type="dxa"/>
              <w:bottom w:w="0" w:type="dxa"/>
              <w:right w:w="57" w:type="dxa"/>
            </w:tcMar>
            <w:vAlign w:val="center"/>
          </w:tcPr>
          <w:p w14:paraId="5DAD6042">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18ADC885">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027CAA12">
            <w:pPr>
              <w:widowControl/>
              <w:autoSpaceDE/>
              <w:autoSpaceDN/>
              <w:snapToGrid/>
              <w:spacing w:line="240" w:lineRule="auto"/>
              <w:ind w:firstLine="0"/>
              <w:jc w:val="left"/>
              <w:rPr>
                <w:rFonts w:eastAsia="宋体"/>
                <w:snapToGrid/>
                <w:sz w:val="24"/>
                <w:szCs w:val="24"/>
              </w:rPr>
            </w:pPr>
          </w:p>
        </w:tc>
        <w:tc>
          <w:tcPr>
            <w:tcW w:w="850" w:type="dxa"/>
            <w:vMerge w:val="continue"/>
            <w:tcBorders>
              <w:top w:val="single" w:color="auto" w:sz="0" w:space="0"/>
              <w:left w:val="single" w:color="auto" w:sz="0" w:space="0"/>
              <w:bottom w:val="single" w:color="auto" w:sz="8" w:space="0"/>
              <w:right w:val="single" w:color="auto" w:sz="8" w:space="0"/>
            </w:tcBorders>
            <w:vAlign w:val="center"/>
          </w:tcPr>
          <w:p w14:paraId="039533C8">
            <w:pPr>
              <w:widowControl/>
              <w:autoSpaceDE/>
              <w:autoSpaceDN/>
              <w:snapToGrid/>
              <w:spacing w:line="240" w:lineRule="auto"/>
              <w:ind w:firstLine="0"/>
              <w:jc w:val="left"/>
              <w:rPr>
                <w:rFonts w:eastAsia="宋体"/>
                <w:snapToGrid/>
                <w:sz w:val="24"/>
                <w:szCs w:val="24"/>
              </w:rPr>
            </w:pPr>
          </w:p>
        </w:tc>
        <w:tc>
          <w:tcPr>
            <w:tcW w:w="709" w:type="dxa"/>
            <w:tcBorders>
              <w:top w:val="single" w:color="auto" w:sz="0" w:space="0"/>
              <w:left w:val="single" w:color="auto" w:sz="0" w:space="0"/>
              <w:bottom w:val="single" w:color="auto" w:sz="8" w:space="0"/>
              <w:right w:val="single" w:color="auto" w:sz="8" w:space="0"/>
            </w:tcBorders>
            <w:tcMar>
              <w:top w:w="0" w:type="dxa"/>
              <w:left w:w="57" w:type="dxa"/>
              <w:bottom w:w="0" w:type="dxa"/>
              <w:right w:w="57" w:type="dxa"/>
            </w:tcMar>
            <w:vAlign w:val="center"/>
          </w:tcPr>
          <w:p w14:paraId="0DF03ED4">
            <w:pPr>
              <w:widowControl/>
              <w:autoSpaceDE/>
              <w:autoSpaceDN/>
              <w:snapToGrid/>
              <w:spacing w:line="240" w:lineRule="auto"/>
              <w:ind w:firstLine="0"/>
              <w:jc w:val="center"/>
              <w:rPr>
                <w:rFonts w:eastAsia="宋体"/>
                <w:snapToGrid/>
                <w:sz w:val="24"/>
                <w:szCs w:val="24"/>
              </w:rPr>
            </w:pPr>
            <w:r>
              <w:rPr>
                <w:rFonts w:eastAsia="宋体"/>
                <w:snapToGrid/>
                <w:sz w:val="20"/>
              </w:rPr>
              <w:t>商业</w:t>
            </w:r>
          </w:p>
          <w:p w14:paraId="54A6F3D7">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single" w:color="auto" w:sz="0" w:space="0"/>
              <w:left w:val="single" w:color="auto" w:sz="0" w:space="0"/>
              <w:bottom w:val="single" w:color="auto" w:sz="8" w:space="0"/>
              <w:right w:val="single" w:color="auto" w:sz="8" w:space="0"/>
            </w:tcBorders>
            <w:tcMar>
              <w:top w:w="0" w:type="dxa"/>
              <w:left w:w="57" w:type="dxa"/>
              <w:bottom w:w="0" w:type="dxa"/>
              <w:right w:w="57" w:type="dxa"/>
            </w:tcMar>
            <w:vAlign w:val="center"/>
          </w:tcPr>
          <w:p w14:paraId="23E56FD6">
            <w:pPr>
              <w:widowControl/>
              <w:autoSpaceDE/>
              <w:autoSpaceDN/>
              <w:snapToGrid/>
              <w:spacing w:line="240" w:lineRule="auto"/>
              <w:ind w:firstLine="0"/>
              <w:jc w:val="center"/>
              <w:rPr>
                <w:rFonts w:eastAsia="宋体"/>
                <w:snapToGrid/>
                <w:sz w:val="24"/>
                <w:szCs w:val="24"/>
              </w:rPr>
            </w:pPr>
            <w:r>
              <w:rPr>
                <w:rFonts w:eastAsia="宋体"/>
                <w:snapToGrid/>
                <w:sz w:val="20"/>
              </w:rPr>
              <w:t>科研</w:t>
            </w:r>
          </w:p>
          <w:p w14:paraId="3400361E">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14:paraId="0728DA6B">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14:paraId="454FF338">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color="auto" w:sz="8" w:space="0"/>
              <w:left w:val="single" w:color="auto" w:sz="0" w:space="0"/>
              <w:bottom w:val="single" w:color="auto" w:sz="8" w:space="0"/>
              <w:right w:val="single" w:color="auto" w:sz="8" w:space="0"/>
            </w:tcBorders>
            <w:tcMar>
              <w:top w:w="0" w:type="dxa"/>
              <w:left w:w="57" w:type="dxa"/>
              <w:bottom w:w="0" w:type="dxa"/>
              <w:right w:w="57" w:type="dxa"/>
            </w:tcMar>
            <w:vAlign w:val="center"/>
          </w:tcPr>
          <w:p w14:paraId="27327599">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756" w:type="dxa"/>
            <w:vMerge w:val="continue"/>
            <w:tcBorders>
              <w:top w:val="single" w:color="auto" w:sz="8" w:space="0"/>
              <w:left w:val="single" w:color="auto" w:sz="0" w:space="0"/>
              <w:bottom w:val="inset" w:color="auto" w:sz="8" w:space="0"/>
              <w:right w:val="single" w:color="auto" w:sz="8" w:space="0"/>
            </w:tcBorders>
            <w:vAlign w:val="center"/>
          </w:tcPr>
          <w:p w14:paraId="55D648A5">
            <w:pPr>
              <w:widowControl/>
              <w:autoSpaceDE/>
              <w:autoSpaceDN/>
              <w:snapToGrid/>
              <w:spacing w:line="240" w:lineRule="auto"/>
              <w:ind w:firstLine="0"/>
              <w:jc w:val="left"/>
              <w:rPr>
                <w:rFonts w:eastAsia="宋体"/>
                <w:snapToGrid/>
                <w:sz w:val="24"/>
                <w:szCs w:val="24"/>
              </w:rPr>
            </w:pPr>
          </w:p>
        </w:tc>
      </w:tr>
      <w:tr w14:paraId="21FF8E27">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5DF26357">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6D9F652">
            <w:pPr>
              <w:widowControl/>
              <w:autoSpaceDE/>
              <w:autoSpaceDN/>
              <w:snapToGrid/>
              <w:spacing w:line="240" w:lineRule="auto"/>
              <w:ind w:firstLine="0"/>
              <w:jc w:val="center"/>
              <w:rPr>
                <w:rFonts w:eastAsia="宋体"/>
                <w:snapToGrid/>
                <w:sz w:val="20"/>
              </w:rPr>
            </w:pPr>
            <w:r>
              <w:rPr>
                <w:rFonts w:eastAsia="宋体"/>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CB68FA">
            <w:pPr>
              <w:widowControl/>
              <w:autoSpaceDE/>
              <w:autoSpaceDN/>
              <w:snapToGrid/>
              <w:spacing w:line="240" w:lineRule="auto"/>
              <w:ind w:firstLine="0"/>
              <w:jc w:val="center"/>
              <w:rPr>
                <w:rFonts w:eastAsia="宋体"/>
                <w:snapToGrid/>
                <w:sz w:val="20"/>
              </w:rPr>
            </w:pPr>
            <w:r>
              <w:rPr>
                <w:rFonts w:hint="eastAsia"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8719B6">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9F21B41">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80C790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18C21BD">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7F736D6">
            <w:pPr>
              <w:widowControl/>
              <w:autoSpaceDE/>
              <w:autoSpaceDN/>
              <w:snapToGrid/>
              <w:spacing w:line="240" w:lineRule="auto"/>
              <w:ind w:firstLine="0"/>
              <w:jc w:val="center"/>
              <w:rPr>
                <w:rFonts w:eastAsia="宋体"/>
                <w:snapToGrid/>
                <w:sz w:val="20"/>
              </w:rPr>
            </w:pPr>
            <w:r>
              <w:rPr>
                <w:rFonts w:hint="eastAsia" w:eastAsia="宋体"/>
                <w:snapToGrid/>
                <w:sz w:val="20"/>
              </w:rPr>
              <w:t>5</w:t>
            </w:r>
          </w:p>
        </w:tc>
      </w:tr>
      <w:tr w14:paraId="531BB36E">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63FD42E9">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5FCCF3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A56FE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C1E5DA">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89BB13E">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7EB513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97A5F1">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9C5C4CD">
            <w:pPr>
              <w:widowControl/>
              <w:autoSpaceDE/>
              <w:autoSpaceDN/>
              <w:snapToGrid/>
              <w:spacing w:line="240" w:lineRule="auto"/>
              <w:ind w:firstLine="0"/>
              <w:jc w:val="center"/>
              <w:rPr>
                <w:rFonts w:eastAsia="宋体"/>
                <w:snapToGrid/>
                <w:sz w:val="20"/>
              </w:rPr>
            </w:pPr>
            <w:r>
              <w:rPr>
                <w:rFonts w:eastAsia="宋体"/>
                <w:snapToGrid/>
                <w:sz w:val="20"/>
              </w:rPr>
              <w:t>0</w:t>
            </w:r>
          </w:p>
        </w:tc>
      </w:tr>
      <w:tr w14:paraId="2939F41A">
        <w:tblPrEx>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inset" w:color="auto" w:sz="8" w:space="0"/>
              <w:right w:val="single" w:color="auto" w:sz="8" w:space="0"/>
            </w:tcBorders>
            <w:tcMar>
              <w:top w:w="0" w:type="dxa"/>
              <w:left w:w="57" w:type="dxa"/>
              <w:bottom w:w="0" w:type="dxa"/>
              <w:right w:w="57" w:type="dxa"/>
            </w:tcMar>
            <w:vAlign w:val="center"/>
          </w:tcPr>
          <w:p w14:paraId="68BF5D53">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06C153E">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D77A81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77650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96B70A6">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9CD3F2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1FBE95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33C7A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58061F0">
            <w:pPr>
              <w:widowControl/>
              <w:autoSpaceDE/>
              <w:autoSpaceDN/>
              <w:snapToGrid/>
              <w:spacing w:line="240" w:lineRule="auto"/>
              <w:ind w:firstLine="0"/>
              <w:jc w:val="center"/>
              <w:rPr>
                <w:rFonts w:eastAsia="宋体"/>
                <w:snapToGrid/>
                <w:sz w:val="20"/>
              </w:rPr>
            </w:pPr>
            <w:r>
              <w:rPr>
                <w:rFonts w:eastAsia="宋体"/>
                <w:snapToGrid/>
                <w:sz w:val="20"/>
              </w:rPr>
              <w:t>0</w:t>
            </w:r>
          </w:p>
        </w:tc>
      </w:tr>
      <w:tr w14:paraId="02EBA77E">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2F5660F7">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FD29D34">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DE59394">
            <w:pPr>
              <w:widowControl/>
              <w:autoSpaceDE/>
              <w:autoSpaceDN/>
              <w:snapToGrid/>
              <w:spacing w:line="240" w:lineRule="auto"/>
              <w:ind w:firstLine="0"/>
              <w:jc w:val="center"/>
              <w:rPr>
                <w:rFonts w:eastAsia="宋体"/>
                <w:snapToGrid/>
                <w:sz w:val="20"/>
              </w:rPr>
            </w:pPr>
            <w:r>
              <w:rPr>
                <w:rFonts w:hint="eastAsia"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5B7DBE">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F3A7EF">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7E415B">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39E2F7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9038FC">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5E6D0FA">
            <w:pPr>
              <w:widowControl/>
              <w:autoSpaceDE/>
              <w:autoSpaceDN/>
              <w:snapToGrid/>
              <w:spacing w:line="240" w:lineRule="auto"/>
              <w:ind w:firstLine="0"/>
              <w:jc w:val="center"/>
              <w:rPr>
                <w:rFonts w:eastAsia="宋体"/>
                <w:snapToGrid/>
                <w:sz w:val="20"/>
              </w:rPr>
            </w:pPr>
            <w:r>
              <w:rPr>
                <w:rFonts w:hint="eastAsia" w:eastAsia="宋体"/>
                <w:snapToGrid/>
                <w:sz w:val="20"/>
              </w:rPr>
              <w:t>1</w:t>
            </w:r>
          </w:p>
        </w:tc>
      </w:tr>
      <w:tr w14:paraId="5B7F4196">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258547BE">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051E1BFF">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F24B331">
            <w:pPr>
              <w:widowControl/>
              <w:autoSpaceDE/>
              <w:autoSpaceDN/>
              <w:snapToGrid/>
              <w:spacing w:line="240" w:lineRule="auto"/>
              <w:ind w:firstLine="0"/>
              <w:jc w:val="left"/>
              <w:rPr>
                <w:rFonts w:eastAsia="宋体"/>
                <w:snapToGrid/>
                <w:sz w:val="24"/>
                <w:szCs w:val="24"/>
              </w:rPr>
            </w:pPr>
            <w:r>
              <w:rPr>
                <w:rFonts w:eastAsia="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DFB496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C3CA05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E0A119">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90EDFB">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306B55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3678786">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5C6ED03">
            <w:pPr>
              <w:widowControl/>
              <w:autoSpaceDE/>
              <w:autoSpaceDN/>
              <w:snapToGrid/>
              <w:spacing w:line="240" w:lineRule="auto"/>
              <w:ind w:firstLine="0"/>
              <w:jc w:val="center"/>
              <w:rPr>
                <w:rFonts w:eastAsia="宋体"/>
                <w:snapToGrid/>
                <w:sz w:val="20"/>
              </w:rPr>
            </w:pPr>
            <w:r>
              <w:rPr>
                <w:rFonts w:eastAsia="宋体"/>
                <w:snapToGrid/>
                <w:sz w:val="20"/>
              </w:rPr>
              <w:t>0</w:t>
            </w:r>
          </w:p>
        </w:tc>
      </w:tr>
      <w:tr w14:paraId="14B0794C">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3C040BDB">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0247ADC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2E236E9">
            <w:pPr>
              <w:widowControl/>
              <w:autoSpaceDE/>
              <w:autoSpaceDN/>
              <w:snapToGrid/>
              <w:spacing w:line="240" w:lineRule="auto"/>
              <w:ind w:firstLine="0"/>
              <w:jc w:val="left"/>
              <w:rPr>
                <w:rFonts w:eastAsia="宋体"/>
                <w:snapToGrid/>
                <w:sz w:val="24"/>
                <w:szCs w:val="24"/>
              </w:rPr>
            </w:pPr>
            <w:r>
              <w:rPr>
                <w:rFonts w:eastAsia="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B61420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2F6FB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DDC9E0">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A965CA8">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56D816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0A4D98">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74F9FC2">
            <w:pPr>
              <w:widowControl/>
              <w:autoSpaceDE/>
              <w:autoSpaceDN/>
              <w:snapToGrid/>
              <w:spacing w:line="240" w:lineRule="auto"/>
              <w:ind w:firstLine="0"/>
              <w:jc w:val="center"/>
              <w:rPr>
                <w:rFonts w:eastAsia="宋体"/>
                <w:snapToGrid/>
                <w:sz w:val="20"/>
              </w:rPr>
            </w:pPr>
            <w:r>
              <w:rPr>
                <w:rFonts w:eastAsia="宋体"/>
                <w:snapToGrid/>
                <w:sz w:val="20"/>
              </w:rPr>
              <w:t>0</w:t>
            </w:r>
          </w:p>
        </w:tc>
      </w:tr>
      <w:tr w14:paraId="2F5DD74F">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512A0557">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541BC54D">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86D0DFD">
            <w:pPr>
              <w:widowControl/>
              <w:autoSpaceDE/>
              <w:autoSpaceDN/>
              <w:snapToGrid/>
              <w:spacing w:line="240" w:lineRule="auto"/>
              <w:ind w:firstLine="0"/>
              <w:jc w:val="left"/>
              <w:rPr>
                <w:rFonts w:eastAsia="宋体"/>
                <w:snapToGrid/>
                <w:sz w:val="24"/>
                <w:szCs w:val="24"/>
              </w:rPr>
            </w:pPr>
            <w:r>
              <w:rPr>
                <w:rFonts w:eastAsia="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ABE75C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B94F7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B29C7CB">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CE2887E">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99B2A22">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AC247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6FF68A2">
            <w:pPr>
              <w:widowControl/>
              <w:autoSpaceDE/>
              <w:autoSpaceDN/>
              <w:snapToGrid/>
              <w:spacing w:line="240" w:lineRule="auto"/>
              <w:ind w:firstLine="0"/>
              <w:jc w:val="center"/>
              <w:rPr>
                <w:rFonts w:eastAsia="宋体"/>
                <w:snapToGrid/>
                <w:sz w:val="20"/>
              </w:rPr>
            </w:pPr>
            <w:r>
              <w:rPr>
                <w:rFonts w:eastAsia="宋体"/>
                <w:snapToGrid/>
                <w:sz w:val="20"/>
              </w:rPr>
              <w:t>0</w:t>
            </w:r>
          </w:p>
        </w:tc>
      </w:tr>
      <w:tr w14:paraId="1A0DD667">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3E19BDFA">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7C99F63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9876004">
            <w:pPr>
              <w:widowControl/>
              <w:autoSpaceDE/>
              <w:autoSpaceDN/>
              <w:snapToGrid/>
              <w:spacing w:line="240" w:lineRule="auto"/>
              <w:ind w:firstLine="0"/>
              <w:jc w:val="left"/>
              <w:rPr>
                <w:rFonts w:eastAsia="宋体"/>
                <w:snapToGrid/>
                <w:sz w:val="24"/>
                <w:szCs w:val="24"/>
              </w:rPr>
            </w:pPr>
            <w:r>
              <w:rPr>
                <w:rFonts w:eastAsia="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97B509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CFBA9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E356DB1">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2BE2CC3">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4C832A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4BBCCE">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7971503">
            <w:pPr>
              <w:widowControl/>
              <w:autoSpaceDE/>
              <w:autoSpaceDN/>
              <w:snapToGrid/>
              <w:spacing w:line="240" w:lineRule="auto"/>
              <w:ind w:firstLine="0"/>
              <w:jc w:val="center"/>
              <w:rPr>
                <w:rFonts w:eastAsia="宋体"/>
                <w:snapToGrid/>
                <w:sz w:val="20"/>
              </w:rPr>
            </w:pPr>
            <w:r>
              <w:rPr>
                <w:rFonts w:eastAsia="宋体"/>
                <w:snapToGrid/>
                <w:sz w:val="20"/>
              </w:rPr>
              <w:t>0</w:t>
            </w:r>
          </w:p>
        </w:tc>
      </w:tr>
      <w:tr w14:paraId="5A33DD47">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1FE6FDBE">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7BA1311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1E47194">
            <w:pPr>
              <w:widowControl/>
              <w:autoSpaceDE/>
              <w:autoSpaceDN/>
              <w:snapToGrid/>
              <w:spacing w:line="240" w:lineRule="auto"/>
              <w:ind w:firstLine="0"/>
              <w:jc w:val="left"/>
              <w:rPr>
                <w:rFonts w:eastAsia="宋体"/>
                <w:snapToGrid/>
                <w:sz w:val="24"/>
                <w:szCs w:val="24"/>
              </w:rPr>
            </w:pPr>
            <w:r>
              <w:rPr>
                <w:rFonts w:eastAsia="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3E6264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57B18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42A7A4">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226145F">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E8598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BF61C9">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61762BD">
            <w:pPr>
              <w:widowControl/>
              <w:autoSpaceDE/>
              <w:autoSpaceDN/>
              <w:snapToGrid/>
              <w:spacing w:line="240" w:lineRule="auto"/>
              <w:ind w:firstLine="0"/>
              <w:jc w:val="center"/>
              <w:rPr>
                <w:rFonts w:eastAsia="宋体"/>
                <w:snapToGrid/>
                <w:sz w:val="20"/>
              </w:rPr>
            </w:pPr>
            <w:r>
              <w:rPr>
                <w:rFonts w:eastAsia="宋体"/>
                <w:snapToGrid/>
                <w:sz w:val="20"/>
              </w:rPr>
              <w:t>0</w:t>
            </w:r>
          </w:p>
        </w:tc>
      </w:tr>
      <w:tr w14:paraId="7066945F">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12BCC6DC">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6F25A622">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26359BF">
            <w:pPr>
              <w:widowControl/>
              <w:autoSpaceDE/>
              <w:autoSpaceDN/>
              <w:snapToGrid/>
              <w:spacing w:line="240" w:lineRule="auto"/>
              <w:ind w:firstLine="0"/>
              <w:jc w:val="left"/>
              <w:rPr>
                <w:rFonts w:eastAsia="宋体"/>
                <w:snapToGrid/>
                <w:sz w:val="24"/>
                <w:szCs w:val="24"/>
              </w:rPr>
            </w:pPr>
            <w:r>
              <w:rPr>
                <w:rFonts w:eastAsia="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8769D6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802D1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4D99B3">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D0E4E88">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8E77D7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C511B3">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A44E734">
            <w:pPr>
              <w:widowControl/>
              <w:autoSpaceDE/>
              <w:autoSpaceDN/>
              <w:snapToGrid/>
              <w:spacing w:line="240" w:lineRule="auto"/>
              <w:ind w:firstLine="0"/>
              <w:jc w:val="center"/>
              <w:rPr>
                <w:rFonts w:eastAsia="宋体"/>
                <w:snapToGrid/>
                <w:sz w:val="20"/>
              </w:rPr>
            </w:pPr>
            <w:r>
              <w:rPr>
                <w:rFonts w:eastAsia="宋体"/>
                <w:snapToGrid/>
                <w:sz w:val="20"/>
              </w:rPr>
              <w:t>0</w:t>
            </w:r>
          </w:p>
        </w:tc>
      </w:tr>
      <w:tr w14:paraId="6B99239E">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2A570297">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670B1AEB">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0148ED3">
            <w:pPr>
              <w:widowControl/>
              <w:autoSpaceDE/>
              <w:autoSpaceDN/>
              <w:snapToGrid/>
              <w:spacing w:line="240" w:lineRule="auto"/>
              <w:ind w:firstLine="0"/>
              <w:jc w:val="left"/>
              <w:rPr>
                <w:rFonts w:eastAsia="宋体"/>
                <w:snapToGrid/>
                <w:sz w:val="24"/>
                <w:szCs w:val="24"/>
              </w:rPr>
            </w:pPr>
            <w:r>
              <w:rPr>
                <w:rFonts w:eastAsia="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B80C3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BA8D5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9CC8B1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7008E0E">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B567871">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575A39">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52D0803">
            <w:pPr>
              <w:widowControl/>
              <w:autoSpaceDE/>
              <w:autoSpaceDN/>
              <w:snapToGrid/>
              <w:spacing w:line="240" w:lineRule="auto"/>
              <w:ind w:firstLine="0"/>
              <w:jc w:val="center"/>
              <w:rPr>
                <w:rFonts w:eastAsia="宋体"/>
                <w:snapToGrid/>
                <w:sz w:val="20"/>
              </w:rPr>
            </w:pPr>
            <w:r>
              <w:rPr>
                <w:rFonts w:eastAsia="宋体"/>
                <w:snapToGrid/>
                <w:sz w:val="20"/>
              </w:rPr>
              <w:t>0</w:t>
            </w:r>
          </w:p>
        </w:tc>
      </w:tr>
      <w:tr w14:paraId="1D18C733">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6CF85E01">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0F3B4513">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FD5B55A">
            <w:pPr>
              <w:widowControl/>
              <w:autoSpaceDE/>
              <w:autoSpaceDN/>
              <w:snapToGrid/>
              <w:spacing w:line="240" w:lineRule="auto"/>
              <w:ind w:firstLine="0"/>
              <w:jc w:val="left"/>
              <w:rPr>
                <w:rFonts w:eastAsia="宋体"/>
                <w:snapToGrid/>
                <w:sz w:val="24"/>
                <w:szCs w:val="24"/>
              </w:rPr>
            </w:pPr>
            <w:r>
              <w:rPr>
                <w:rFonts w:eastAsia="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49B3A8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21183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AAA1732">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48BB9E">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352A72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4E3DF62">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4FD865F">
            <w:pPr>
              <w:widowControl/>
              <w:autoSpaceDE/>
              <w:autoSpaceDN/>
              <w:snapToGrid/>
              <w:spacing w:line="240" w:lineRule="auto"/>
              <w:ind w:firstLine="0"/>
              <w:jc w:val="center"/>
              <w:rPr>
                <w:rFonts w:eastAsia="宋体"/>
                <w:snapToGrid/>
                <w:sz w:val="20"/>
              </w:rPr>
            </w:pPr>
            <w:r>
              <w:rPr>
                <w:rFonts w:eastAsia="宋体"/>
                <w:snapToGrid/>
                <w:sz w:val="20"/>
              </w:rPr>
              <w:t>0</w:t>
            </w:r>
          </w:p>
        </w:tc>
      </w:tr>
      <w:tr w14:paraId="29D3D46B">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5A9EBD74">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16D6E163">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C914910">
            <w:pPr>
              <w:widowControl/>
              <w:autoSpaceDE/>
              <w:autoSpaceDN/>
              <w:snapToGrid/>
              <w:spacing w:line="240" w:lineRule="auto"/>
              <w:ind w:firstLine="0"/>
              <w:jc w:val="left"/>
              <w:rPr>
                <w:rFonts w:eastAsia="宋体"/>
                <w:snapToGrid/>
                <w:sz w:val="24"/>
                <w:szCs w:val="24"/>
              </w:rPr>
            </w:pPr>
            <w:r>
              <w:rPr>
                <w:rFonts w:eastAsia="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CACCA31">
            <w:pPr>
              <w:widowControl/>
              <w:autoSpaceDE/>
              <w:autoSpaceDN/>
              <w:snapToGrid/>
              <w:spacing w:line="240" w:lineRule="auto"/>
              <w:ind w:firstLine="0"/>
              <w:jc w:val="center"/>
              <w:rPr>
                <w:rFonts w:hint="eastAsia" w:eastAsia="宋体"/>
                <w:snapToGrid/>
                <w:sz w:val="20"/>
                <w:lang w:val="en-US" w:eastAsia="zh-CN"/>
              </w:rPr>
            </w:pPr>
            <w:r>
              <w:rPr>
                <w:rFonts w:hint="eastAsia" w:eastAsia="宋体"/>
                <w:snapToGrid/>
                <w:sz w:val="20"/>
                <w:lang w:val="en-US" w:eastAsia="zh-CN"/>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D5C2C6">
            <w:pPr>
              <w:widowControl/>
              <w:autoSpaceDE/>
              <w:autoSpaceDN/>
              <w:snapToGrid/>
              <w:spacing w:line="240" w:lineRule="auto"/>
              <w:ind w:firstLine="0"/>
              <w:jc w:val="center"/>
              <w:rPr>
                <w:rFonts w:eastAsia="宋体"/>
                <w:snapToGrid/>
                <w:sz w:val="20"/>
              </w:rPr>
            </w:pPr>
            <w:r>
              <w:rPr>
                <w:rFonts w:hint="eastAsia"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9DDAE8">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CE3B9DE">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75E4D5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7C9FEB0">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B3C77FD">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r>
      <w:tr w14:paraId="29C2AD28">
        <w:tblPrEx>
          <w:tblCellMar>
            <w:top w:w="0" w:type="dxa"/>
            <w:left w:w="0" w:type="dxa"/>
            <w:bottom w:w="0" w:type="dxa"/>
            <w:right w:w="0" w:type="dxa"/>
          </w:tblCellMar>
        </w:tblPrEx>
        <w:trPr>
          <w:trHeight w:val="181" w:hRule="atLeast"/>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3E88C67E">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20339D67">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72A32C9">
            <w:pPr>
              <w:widowControl/>
              <w:autoSpaceDE/>
              <w:autoSpaceDN/>
              <w:snapToGrid/>
              <w:spacing w:line="240" w:lineRule="auto"/>
              <w:ind w:firstLine="0"/>
              <w:jc w:val="left"/>
              <w:rPr>
                <w:rFonts w:eastAsia="宋体"/>
                <w:snapToGrid/>
                <w:sz w:val="24"/>
                <w:szCs w:val="24"/>
              </w:rPr>
            </w:pPr>
            <w:r>
              <w:rPr>
                <w:rFonts w:eastAsia="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8EB35F8">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8222C4">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7C9178">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E58163">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DA16FC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4B1E8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DE01CEE">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0</w:t>
            </w:r>
          </w:p>
        </w:tc>
      </w:tr>
      <w:tr w14:paraId="12217552">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2C799114">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4EBF72E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1A8AC97">
            <w:pPr>
              <w:widowControl/>
              <w:autoSpaceDE/>
              <w:autoSpaceDN/>
              <w:snapToGrid/>
              <w:spacing w:line="240" w:lineRule="auto"/>
              <w:ind w:firstLine="0"/>
              <w:jc w:val="left"/>
              <w:rPr>
                <w:rFonts w:eastAsia="宋体"/>
                <w:snapToGrid/>
                <w:sz w:val="24"/>
                <w:szCs w:val="24"/>
              </w:rPr>
            </w:pPr>
            <w:r>
              <w:rPr>
                <w:rFonts w:eastAsia="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EF1E310">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A0BE3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AE4947">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63E07F5">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C3F4D9">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94D27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45A9561">
            <w:pPr>
              <w:widowControl/>
              <w:autoSpaceDE/>
              <w:autoSpaceDN/>
              <w:snapToGrid/>
              <w:spacing w:line="240" w:lineRule="auto"/>
              <w:ind w:firstLine="0"/>
              <w:jc w:val="center"/>
              <w:rPr>
                <w:rFonts w:eastAsia="宋体"/>
                <w:snapToGrid/>
                <w:sz w:val="20"/>
              </w:rPr>
            </w:pPr>
            <w:r>
              <w:rPr>
                <w:rFonts w:eastAsia="宋体"/>
                <w:snapToGrid/>
                <w:sz w:val="20"/>
              </w:rPr>
              <w:t>0</w:t>
            </w:r>
          </w:p>
        </w:tc>
      </w:tr>
      <w:tr w14:paraId="5A4652BD">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289E7E6B">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6364881D">
            <w:pPr>
              <w:widowControl/>
              <w:autoSpaceDE/>
              <w:autoSpaceDN/>
              <w:snapToGrid/>
              <w:spacing w:line="240" w:lineRule="auto"/>
              <w:ind w:firstLine="0"/>
              <w:jc w:val="left"/>
              <w:rPr>
                <w:rFonts w:eastAsia="宋体"/>
                <w:snapToGrid/>
                <w:sz w:val="24"/>
                <w:szCs w:val="24"/>
              </w:rPr>
            </w:pPr>
            <w:r>
              <w:rPr>
                <w:rFonts w:eastAsia="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2C6B80C">
            <w:pPr>
              <w:widowControl/>
              <w:autoSpaceDE/>
              <w:autoSpaceDN/>
              <w:snapToGrid/>
              <w:spacing w:line="240" w:lineRule="auto"/>
              <w:ind w:firstLine="0"/>
              <w:jc w:val="left"/>
              <w:rPr>
                <w:rFonts w:eastAsia="宋体"/>
                <w:snapToGrid/>
                <w:sz w:val="24"/>
                <w:szCs w:val="24"/>
              </w:rPr>
            </w:pPr>
            <w:r>
              <w:rPr>
                <w:rFonts w:eastAsia="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C8F735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486EF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3D54FC6">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9621D3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406DED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9F58CA">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A1DF4D5">
            <w:pPr>
              <w:widowControl/>
              <w:autoSpaceDE/>
              <w:autoSpaceDN/>
              <w:snapToGrid/>
              <w:spacing w:line="240" w:lineRule="auto"/>
              <w:ind w:firstLine="0"/>
              <w:jc w:val="center"/>
              <w:rPr>
                <w:rFonts w:eastAsia="宋体"/>
                <w:snapToGrid/>
                <w:sz w:val="20"/>
              </w:rPr>
            </w:pPr>
            <w:r>
              <w:rPr>
                <w:rFonts w:eastAsia="宋体"/>
                <w:snapToGrid/>
                <w:sz w:val="20"/>
              </w:rPr>
              <w:t>0</w:t>
            </w:r>
          </w:p>
        </w:tc>
      </w:tr>
      <w:tr w14:paraId="04332516">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56E101D0">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110F6AA6">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77B0CDE">
            <w:pPr>
              <w:widowControl/>
              <w:autoSpaceDE/>
              <w:autoSpaceDN/>
              <w:snapToGrid/>
              <w:spacing w:line="240" w:lineRule="auto"/>
              <w:ind w:firstLine="0"/>
              <w:jc w:val="left"/>
              <w:rPr>
                <w:rFonts w:eastAsia="宋体"/>
                <w:snapToGrid/>
                <w:sz w:val="24"/>
                <w:szCs w:val="24"/>
              </w:rPr>
            </w:pPr>
            <w:r>
              <w:rPr>
                <w:rFonts w:eastAsia="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6A95AB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A0A15E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FF7A061">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9D0721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B4E54B">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2CD5665">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A784D1D">
            <w:pPr>
              <w:widowControl/>
              <w:autoSpaceDE/>
              <w:autoSpaceDN/>
              <w:snapToGrid/>
              <w:spacing w:line="240" w:lineRule="auto"/>
              <w:ind w:firstLine="0"/>
              <w:jc w:val="center"/>
              <w:rPr>
                <w:rFonts w:eastAsia="宋体"/>
                <w:snapToGrid/>
                <w:sz w:val="20"/>
              </w:rPr>
            </w:pPr>
            <w:r>
              <w:rPr>
                <w:rFonts w:eastAsia="宋体"/>
                <w:snapToGrid/>
                <w:sz w:val="20"/>
              </w:rPr>
              <w:t>0</w:t>
            </w:r>
          </w:p>
        </w:tc>
      </w:tr>
      <w:tr w14:paraId="2B1240D1">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39225E69">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768CBC6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025C372">
            <w:pPr>
              <w:widowControl/>
              <w:autoSpaceDE/>
              <w:autoSpaceDN/>
              <w:snapToGrid/>
              <w:spacing w:line="240" w:lineRule="auto"/>
              <w:ind w:firstLine="0"/>
              <w:jc w:val="left"/>
              <w:rPr>
                <w:rFonts w:eastAsia="宋体"/>
                <w:snapToGrid/>
                <w:sz w:val="24"/>
                <w:szCs w:val="24"/>
              </w:rPr>
            </w:pPr>
            <w:r>
              <w:rPr>
                <w:rFonts w:eastAsia="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3C7AD1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47A8BC">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2137A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B609ED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74B984A6">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22D483">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F3F50FA">
            <w:pPr>
              <w:widowControl/>
              <w:autoSpaceDE/>
              <w:autoSpaceDN/>
              <w:snapToGrid/>
              <w:spacing w:line="240" w:lineRule="auto"/>
              <w:ind w:firstLine="0"/>
              <w:jc w:val="center"/>
              <w:rPr>
                <w:rFonts w:eastAsia="宋体"/>
                <w:snapToGrid/>
                <w:sz w:val="20"/>
              </w:rPr>
            </w:pPr>
            <w:r>
              <w:rPr>
                <w:rFonts w:eastAsia="宋体"/>
                <w:snapToGrid/>
                <w:sz w:val="20"/>
              </w:rPr>
              <w:t>0</w:t>
            </w:r>
          </w:p>
        </w:tc>
      </w:tr>
      <w:tr w14:paraId="1856C9D9">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764D5C07">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10D06B09">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6A700BA">
            <w:pPr>
              <w:widowControl/>
              <w:autoSpaceDE/>
              <w:autoSpaceDN/>
              <w:snapToGrid/>
              <w:spacing w:line="240" w:lineRule="auto"/>
              <w:ind w:firstLine="0"/>
              <w:jc w:val="left"/>
              <w:rPr>
                <w:rFonts w:eastAsia="宋体"/>
                <w:snapToGrid/>
                <w:sz w:val="24"/>
                <w:szCs w:val="24"/>
              </w:rPr>
            </w:pPr>
            <w:r>
              <w:rPr>
                <w:rFonts w:eastAsia="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FD3ABD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747A3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81C72E">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C30DD2">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3F6108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E4B959">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EA76EEA">
            <w:pPr>
              <w:widowControl/>
              <w:autoSpaceDE/>
              <w:autoSpaceDN/>
              <w:snapToGrid/>
              <w:spacing w:line="240" w:lineRule="auto"/>
              <w:ind w:firstLine="0"/>
              <w:jc w:val="center"/>
              <w:rPr>
                <w:rFonts w:eastAsia="宋体"/>
                <w:snapToGrid/>
                <w:sz w:val="20"/>
              </w:rPr>
            </w:pPr>
            <w:r>
              <w:rPr>
                <w:rFonts w:eastAsia="宋体"/>
                <w:snapToGrid/>
                <w:sz w:val="20"/>
              </w:rPr>
              <w:t>0</w:t>
            </w:r>
          </w:p>
        </w:tc>
      </w:tr>
      <w:tr w14:paraId="77D8994F">
        <w:tblPrEx>
          <w:tblCellMar>
            <w:top w:w="0" w:type="dxa"/>
            <w:left w:w="0" w:type="dxa"/>
            <w:bottom w:w="0" w:type="dxa"/>
            <w:right w:w="0" w:type="dxa"/>
          </w:tblCellMar>
        </w:tblPrEx>
        <w:trPr>
          <w:trHeight w:val="779" w:hRule="atLeast"/>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548A3E35">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0" w:space="0"/>
              <w:left w:val="single" w:color="auto" w:sz="0" w:space="0"/>
              <w:bottom w:val="inset" w:color="auto" w:sz="8" w:space="0"/>
              <w:right w:val="single" w:color="auto" w:sz="8" w:space="0"/>
            </w:tcBorders>
            <w:vAlign w:val="center"/>
          </w:tcPr>
          <w:p w14:paraId="56814FD1">
            <w:pPr>
              <w:widowControl/>
              <w:autoSpaceDE/>
              <w:autoSpaceDN/>
              <w:snapToGrid/>
              <w:spacing w:line="240" w:lineRule="auto"/>
              <w:ind w:firstLine="0"/>
              <w:jc w:val="left"/>
              <w:rPr>
                <w:rFonts w:eastAsia="宋体"/>
                <w:snapToGrid/>
                <w:sz w:val="24"/>
                <w:szCs w:val="24"/>
              </w:rPr>
            </w:pPr>
          </w:p>
        </w:tc>
        <w:tc>
          <w:tcPr>
            <w:tcW w:w="2838" w:type="dxa"/>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39DFF997">
            <w:pPr>
              <w:widowControl/>
              <w:autoSpaceDE/>
              <w:autoSpaceDN/>
              <w:snapToGrid/>
              <w:spacing w:line="240" w:lineRule="auto"/>
              <w:ind w:firstLine="0"/>
              <w:rPr>
                <w:rFonts w:eastAsia="宋体"/>
                <w:snapToGrid/>
                <w:sz w:val="24"/>
                <w:szCs w:val="24"/>
              </w:rPr>
            </w:pPr>
            <w:r>
              <w:rPr>
                <w:rFonts w:eastAsia="宋体"/>
                <w:snapToGrid/>
                <w:sz w:val="20"/>
              </w:rPr>
              <w:t>5.要求行政机关确认或重新出具已获取信息</w:t>
            </w:r>
          </w:p>
        </w:tc>
        <w:tc>
          <w:tcPr>
            <w:tcW w:w="850" w:type="dxa"/>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6076E89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4CC53D9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45D9DE05">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522736D0">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456EB0F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4287C0AF">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single" w:color="auto" w:sz="0" w:space="0"/>
              <w:left w:val="single" w:color="auto" w:sz="0" w:space="0"/>
              <w:bottom w:val="inset" w:color="auto" w:sz="8" w:space="0"/>
              <w:right w:val="single" w:color="auto" w:sz="8" w:space="0"/>
            </w:tcBorders>
            <w:tcMar>
              <w:top w:w="0" w:type="dxa"/>
              <w:left w:w="57" w:type="dxa"/>
              <w:bottom w:w="0" w:type="dxa"/>
              <w:right w:w="57" w:type="dxa"/>
            </w:tcMar>
            <w:vAlign w:val="center"/>
          </w:tcPr>
          <w:p w14:paraId="6CF7C1F4">
            <w:pPr>
              <w:widowControl/>
              <w:autoSpaceDE/>
              <w:autoSpaceDN/>
              <w:snapToGrid/>
              <w:spacing w:line="240" w:lineRule="auto"/>
              <w:ind w:firstLine="0"/>
              <w:jc w:val="center"/>
              <w:rPr>
                <w:rFonts w:eastAsia="宋体"/>
                <w:snapToGrid/>
                <w:sz w:val="20"/>
              </w:rPr>
            </w:pPr>
            <w:r>
              <w:rPr>
                <w:rFonts w:eastAsia="宋体"/>
                <w:snapToGrid/>
                <w:sz w:val="20"/>
              </w:rPr>
              <w:t>0</w:t>
            </w:r>
          </w:p>
        </w:tc>
      </w:tr>
      <w:tr w14:paraId="2A258974">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4B7E6CA7">
            <w:pPr>
              <w:widowControl/>
              <w:autoSpaceDE/>
              <w:autoSpaceDN/>
              <w:snapToGrid/>
              <w:spacing w:line="240" w:lineRule="auto"/>
              <w:ind w:firstLine="0"/>
              <w:jc w:val="left"/>
              <w:rPr>
                <w:rFonts w:eastAsia="宋体"/>
                <w:snapToGrid/>
                <w:sz w:val="24"/>
                <w:szCs w:val="24"/>
              </w:rPr>
            </w:pPr>
          </w:p>
        </w:tc>
        <w:tc>
          <w:tcPr>
            <w:tcW w:w="943" w:type="dxa"/>
            <w:vMerge w:val="restart"/>
            <w:tcBorders>
              <w:top w:val="inset" w:color="auto" w:sz="8" w:space="0"/>
              <w:left w:val="single" w:color="auto" w:sz="0" w:space="0"/>
              <w:bottom w:val="inset" w:color="auto" w:sz="8" w:space="0"/>
              <w:right w:val="single" w:color="auto" w:sz="8" w:space="0"/>
            </w:tcBorders>
            <w:tcMar>
              <w:top w:w="0" w:type="dxa"/>
              <w:left w:w="57" w:type="dxa"/>
              <w:bottom w:w="0" w:type="dxa"/>
              <w:right w:w="57" w:type="dxa"/>
            </w:tcMar>
            <w:vAlign w:val="center"/>
          </w:tcPr>
          <w:p w14:paraId="4C1B0D5F">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4DCD306">
            <w:pPr>
              <w:widowControl/>
              <w:autoSpaceDE/>
              <w:autoSpaceDN/>
              <w:snapToGrid/>
              <w:spacing w:line="240" w:lineRule="auto"/>
              <w:ind w:firstLine="0"/>
              <w:rPr>
                <w:rFonts w:eastAsia="宋体"/>
                <w:snapToGrid/>
                <w:sz w:val="24"/>
                <w:szCs w:val="24"/>
              </w:rPr>
            </w:pPr>
            <w:r>
              <w:rPr>
                <w:rFonts w:eastAsia="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6985B0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E9112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44F24A">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D10065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ACFB1AF">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E07971">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A9FA910">
            <w:pPr>
              <w:widowControl/>
              <w:autoSpaceDE/>
              <w:autoSpaceDN/>
              <w:snapToGrid/>
              <w:spacing w:line="240" w:lineRule="auto"/>
              <w:ind w:firstLine="0"/>
              <w:jc w:val="center"/>
              <w:rPr>
                <w:rFonts w:eastAsia="宋体"/>
                <w:snapToGrid/>
                <w:sz w:val="20"/>
              </w:rPr>
            </w:pPr>
            <w:r>
              <w:rPr>
                <w:rFonts w:eastAsia="宋体"/>
                <w:snapToGrid/>
                <w:sz w:val="20"/>
              </w:rPr>
              <w:t>0</w:t>
            </w:r>
          </w:p>
        </w:tc>
      </w:tr>
      <w:tr w14:paraId="59F50F32">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7D16FB48">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single" w:color="auto" w:sz="0" w:space="0"/>
              <w:bottom w:val="inset" w:color="auto" w:sz="8" w:space="0"/>
              <w:right w:val="single" w:color="auto" w:sz="8" w:space="0"/>
            </w:tcBorders>
            <w:vAlign w:val="center"/>
          </w:tcPr>
          <w:p w14:paraId="75B2F8AE">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6DFB3168">
            <w:pPr>
              <w:widowControl/>
              <w:autoSpaceDE/>
              <w:autoSpaceDN/>
              <w:snapToGrid/>
              <w:spacing w:line="240" w:lineRule="auto"/>
              <w:ind w:firstLine="0"/>
              <w:rPr>
                <w:rFonts w:eastAsia="宋体"/>
                <w:snapToGrid/>
                <w:sz w:val="24"/>
                <w:szCs w:val="24"/>
              </w:rPr>
            </w:pPr>
            <w:r>
              <w:rPr>
                <w:rFonts w:eastAsia="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8A348E8">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30DC4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C803EA7">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EF06DDA">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8B30E4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8386C1A">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797E9E7">
            <w:pPr>
              <w:widowControl/>
              <w:autoSpaceDE/>
              <w:autoSpaceDN/>
              <w:snapToGrid/>
              <w:spacing w:line="240" w:lineRule="auto"/>
              <w:ind w:firstLine="0"/>
              <w:jc w:val="center"/>
              <w:rPr>
                <w:rFonts w:eastAsia="宋体"/>
                <w:snapToGrid/>
                <w:sz w:val="20"/>
              </w:rPr>
            </w:pPr>
            <w:r>
              <w:rPr>
                <w:rFonts w:eastAsia="宋体"/>
                <w:snapToGrid/>
                <w:sz w:val="20"/>
              </w:rPr>
              <w:t>0</w:t>
            </w:r>
          </w:p>
        </w:tc>
      </w:tr>
      <w:tr w14:paraId="017A82F8">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2954C78F">
            <w:pPr>
              <w:widowControl/>
              <w:autoSpaceDE/>
              <w:autoSpaceDN/>
              <w:snapToGrid/>
              <w:spacing w:line="240" w:lineRule="auto"/>
              <w:ind w:firstLine="0"/>
              <w:jc w:val="left"/>
              <w:rPr>
                <w:rFonts w:eastAsia="宋体"/>
                <w:snapToGrid/>
                <w:sz w:val="24"/>
                <w:szCs w:val="24"/>
              </w:rPr>
            </w:pPr>
          </w:p>
        </w:tc>
        <w:tc>
          <w:tcPr>
            <w:tcW w:w="0" w:type="auto"/>
            <w:vMerge w:val="continue"/>
            <w:tcBorders>
              <w:top w:val="inset" w:color="auto" w:sz="8" w:space="0"/>
              <w:left w:val="single" w:color="auto" w:sz="0" w:space="0"/>
              <w:bottom w:val="inset" w:color="auto" w:sz="8" w:space="0"/>
              <w:right w:val="single" w:color="auto" w:sz="8" w:space="0"/>
            </w:tcBorders>
            <w:vAlign w:val="center"/>
          </w:tcPr>
          <w:p w14:paraId="34787CFC">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0D5FA6B1">
            <w:pPr>
              <w:widowControl/>
              <w:autoSpaceDE/>
              <w:autoSpaceDN/>
              <w:snapToGrid/>
              <w:spacing w:line="240" w:lineRule="auto"/>
              <w:ind w:firstLine="0"/>
              <w:jc w:val="left"/>
              <w:rPr>
                <w:rFonts w:eastAsia="宋体"/>
                <w:snapToGrid/>
                <w:sz w:val="24"/>
                <w:szCs w:val="24"/>
              </w:rPr>
            </w:pPr>
            <w:r>
              <w:rPr>
                <w:rFonts w:eastAsia="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8A914B">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F4BE8A">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3E9B3D">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FD6243D">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39110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4EFD5A">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65A4E4B">
            <w:pPr>
              <w:widowControl/>
              <w:autoSpaceDE/>
              <w:autoSpaceDN/>
              <w:snapToGrid/>
              <w:spacing w:line="240" w:lineRule="auto"/>
              <w:ind w:firstLine="0"/>
              <w:jc w:val="center"/>
              <w:rPr>
                <w:rFonts w:hint="eastAsia" w:eastAsia="宋体"/>
                <w:snapToGrid/>
                <w:sz w:val="20"/>
                <w:lang w:eastAsia="zh-CN"/>
              </w:rPr>
            </w:pPr>
            <w:r>
              <w:rPr>
                <w:rFonts w:hint="eastAsia" w:eastAsia="宋体"/>
                <w:snapToGrid/>
                <w:sz w:val="20"/>
                <w:lang w:val="en-US" w:eastAsia="zh-CN"/>
              </w:rPr>
              <w:t>2</w:t>
            </w:r>
          </w:p>
        </w:tc>
      </w:tr>
      <w:tr w14:paraId="596B16AC">
        <w:tblPrEx>
          <w:tblCellMar>
            <w:top w:w="0" w:type="dxa"/>
            <w:left w:w="0" w:type="dxa"/>
            <w:bottom w:w="0" w:type="dxa"/>
            <w:right w:w="0" w:type="dxa"/>
          </w:tblCellMar>
        </w:tblPrEx>
        <w:trPr>
          <w:jc w:val="center"/>
        </w:trPr>
        <w:tc>
          <w:tcPr>
            <w:tcW w:w="0" w:type="auto"/>
            <w:vMerge w:val="continue"/>
            <w:tcBorders>
              <w:top w:val="single" w:color="auto" w:sz="0" w:space="0"/>
              <w:left w:val="single" w:color="auto" w:sz="8" w:space="0"/>
              <w:bottom w:val="inset" w:color="auto" w:sz="8" w:space="0"/>
              <w:right w:val="single" w:color="auto" w:sz="8" w:space="0"/>
            </w:tcBorders>
            <w:vAlign w:val="center"/>
          </w:tcPr>
          <w:p w14:paraId="53FF10FA">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B3B1917">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53E7D98">
            <w:pPr>
              <w:widowControl/>
              <w:autoSpaceDE/>
              <w:autoSpaceDN/>
              <w:snapToGrid/>
              <w:spacing w:line="240" w:lineRule="auto"/>
              <w:ind w:firstLine="0"/>
              <w:jc w:val="center"/>
              <w:rPr>
                <w:rFonts w:eastAsia="宋体"/>
                <w:snapToGrid/>
                <w:sz w:val="20"/>
              </w:rPr>
            </w:pPr>
            <w:r>
              <w:rPr>
                <w:rFonts w:eastAsia="宋体"/>
                <w:snapToGrid/>
                <w:sz w:val="20"/>
              </w:rPr>
              <w:t>4</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64FBF8">
            <w:pPr>
              <w:widowControl/>
              <w:autoSpaceDE/>
              <w:autoSpaceDN/>
              <w:snapToGrid/>
              <w:spacing w:line="240" w:lineRule="auto"/>
              <w:ind w:firstLine="0"/>
              <w:jc w:val="center"/>
              <w:rPr>
                <w:rFonts w:eastAsia="宋体"/>
                <w:snapToGrid/>
                <w:sz w:val="20"/>
              </w:rPr>
            </w:pPr>
            <w:r>
              <w:rPr>
                <w:rFonts w:hint="eastAsia" w:eastAsia="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2234B6F">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11C23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7543FC5">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1F6493">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D62267C">
            <w:pPr>
              <w:widowControl/>
              <w:autoSpaceDE/>
              <w:autoSpaceDN/>
              <w:snapToGrid/>
              <w:spacing w:line="240" w:lineRule="auto"/>
              <w:ind w:firstLine="0"/>
              <w:jc w:val="center"/>
              <w:rPr>
                <w:rFonts w:eastAsia="宋体"/>
                <w:snapToGrid/>
                <w:sz w:val="20"/>
              </w:rPr>
            </w:pPr>
            <w:r>
              <w:rPr>
                <w:rFonts w:hint="eastAsia" w:eastAsia="宋体"/>
                <w:snapToGrid/>
                <w:sz w:val="20"/>
              </w:rPr>
              <w:t>5</w:t>
            </w:r>
          </w:p>
        </w:tc>
      </w:tr>
      <w:tr w14:paraId="61D63D36">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C51A417">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310FDDD">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E7FCB3">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D62AB4">
            <w:pPr>
              <w:widowControl/>
              <w:autoSpaceDE/>
              <w:autoSpaceDN/>
              <w:snapToGrid/>
              <w:spacing w:line="240" w:lineRule="auto"/>
              <w:ind w:firstLine="0"/>
              <w:jc w:val="center"/>
              <w:rPr>
                <w:rFonts w:eastAsia="宋体"/>
                <w:snapToGrid/>
                <w:sz w:val="20"/>
              </w:rPr>
            </w:pPr>
            <w:r>
              <w:rPr>
                <w:rFonts w:eastAsia="宋体"/>
                <w:snapToGrid/>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E3126C4">
            <w:pPr>
              <w:widowControl/>
              <w:autoSpaceDE/>
              <w:autoSpaceDN/>
              <w:snapToGrid/>
              <w:spacing w:line="240" w:lineRule="auto"/>
              <w:ind w:firstLine="0"/>
              <w:jc w:val="center"/>
              <w:rPr>
                <w:rFonts w:eastAsia="宋体"/>
                <w:snapToGrid/>
                <w:sz w:val="20"/>
              </w:rPr>
            </w:pPr>
            <w:r>
              <w:rPr>
                <w:rFonts w:eastAsia="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EA8EBD7">
            <w:pPr>
              <w:widowControl/>
              <w:autoSpaceDE/>
              <w:autoSpaceDN/>
              <w:snapToGrid/>
              <w:spacing w:line="240" w:lineRule="auto"/>
              <w:ind w:firstLine="0"/>
              <w:jc w:val="center"/>
              <w:rPr>
                <w:rFonts w:eastAsia="宋体"/>
                <w:snapToGrid/>
                <w:sz w:val="20"/>
              </w:rPr>
            </w:pPr>
            <w:r>
              <w:rPr>
                <w:rFonts w:eastAsia="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16C919E">
            <w:pPr>
              <w:widowControl/>
              <w:autoSpaceDE/>
              <w:autoSpaceDN/>
              <w:snapToGrid/>
              <w:spacing w:line="240" w:lineRule="auto"/>
              <w:ind w:firstLine="0"/>
              <w:jc w:val="center"/>
              <w:rPr>
                <w:rFonts w:eastAsia="宋体"/>
                <w:snapToGrid/>
                <w:sz w:val="20"/>
              </w:rPr>
            </w:pPr>
            <w:r>
              <w:rPr>
                <w:rFonts w:eastAsia="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D1B0D34">
            <w:pPr>
              <w:widowControl/>
              <w:autoSpaceDE/>
              <w:autoSpaceDN/>
              <w:snapToGrid/>
              <w:spacing w:line="240" w:lineRule="auto"/>
              <w:ind w:firstLine="0"/>
              <w:jc w:val="center"/>
              <w:rPr>
                <w:rFonts w:eastAsia="宋体"/>
                <w:snapToGrid/>
                <w:sz w:val="20"/>
              </w:rPr>
            </w:pPr>
            <w:r>
              <w:rPr>
                <w:rFonts w:eastAsia="宋体"/>
                <w:snapToGrid/>
                <w:sz w:val="20"/>
              </w:rPr>
              <w:t>0</w:t>
            </w:r>
          </w:p>
        </w:tc>
      </w:tr>
    </w:tbl>
    <w:p w14:paraId="72F718BB">
      <w:pPr>
        <w:spacing w:line="240" w:lineRule="auto"/>
        <w:ind w:firstLine="0"/>
        <w:rPr>
          <w:rFonts w:eastAsia="黑体"/>
          <w:sz w:val="30"/>
          <w:szCs w:val="30"/>
        </w:rPr>
      </w:pPr>
    </w:p>
    <w:p w14:paraId="0C7CAF27">
      <w:pPr>
        <w:spacing w:line="600" w:lineRule="exact"/>
        <w:ind w:firstLine="640" w:firstLineChars="200"/>
        <w:rPr>
          <w:rFonts w:eastAsia="黑体"/>
          <w:szCs w:val="32"/>
        </w:rPr>
      </w:pPr>
      <w:r>
        <w:rPr>
          <w:rFonts w:eastAsia="黑体"/>
          <w:szCs w:val="32"/>
        </w:rPr>
        <w:t>四、政府信息公开行政复议、行政诉讼情况</w:t>
      </w:r>
    </w:p>
    <w:tbl>
      <w:tblPr>
        <w:tblStyle w:val="8"/>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3EA90B9F">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583054">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42D318">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14:paraId="501CCC13">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2FACAC">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00417D">
            <w:pPr>
              <w:widowControl/>
              <w:autoSpaceDE/>
              <w:autoSpaceDN/>
              <w:snapToGrid/>
              <w:spacing w:line="240" w:lineRule="auto"/>
              <w:ind w:firstLine="0"/>
              <w:jc w:val="center"/>
              <w:rPr>
                <w:rFonts w:eastAsia="宋体"/>
                <w:snapToGrid/>
                <w:sz w:val="20"/>
              </w:rPr>
            </w:pPr>
            <w:r>
              <w:rPr>
                <w:rFonts w:eastAsia="宋体"/>
                <w:snapToGrid/>
                <w:sz w:val="20"/>
              </w:rPr>
              <w:t>结果</w:t>
            </w:r>
          </w:p>
          <w:p w14:paraId="0ADD2DC2">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311AAE">
            <w:pPr>
              <w:widowControl/>
              <w:autoSpaceDE/>
              <w:autoSpaceDN/>
              <w:snapToGrid/>
              <w:spacing w:line="240" w:lineRule="auto"/>
              <w:ind w:firstLine="0"/>
              <w:jc w:val="center"/>
              <w:rPr>
                <w:rFonts w:eastAsia="宋体"/>
                <w:snapToGrid/>
                <w:sz w:val="20"/>
              </w:rPr>
            </w:pPr>
            <w:r>
              <w:rPr>
                <w:rFonts w:eastAsia="宋体"/>
                <w:snapToGrid/>
                <w:sz w:val="20"/>
              </w:rPr>
              <w:t>其他</w:t>
            </w:r>
          </w:p>
          <w:p w14:paraId="10D96FB0">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9E6AB0">
            <w:pPr>
              <w:widowControl/>
              <w:autoSpaceDE/>
              <w:autoSpaceDN/>
              <w:snapToGrid/>
              <w:spacing w:line="240" w:lineRule="auto"/>
              <w:ind w:firstLine="0"/>
              <w:jc w:val="center"/>
              <w:rPr>
                <w:rFonts w:eastAsia="宋体"/>
                <w:snapToGrid/>
                <w:sz w:val="20"/>
              </w:rPr>
            </w:pPr>
            <w:r>
              <w:rPr>
                <w:rFonts w:eastAsia="宋体"/>
                <w:snapToGrid/>
                <w:sz w:val="20"/>
              </w:rPr>
              <w:t>尚未</w:t>
            </w:r>
          </w:p>
          <w:p w14:paraId="586F9ACF">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92CBDE">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A3F2B1">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A2517C">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14:paraId="745AF9AC">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7BCDE06C">
            <w:pPr>
              <w:widowControl/>
              <w:autoSpaceDE/>
              <w:autoSpaceDN/>
              <w:snapToGrid/>
              <w:spacing w:line="240" w:lineRule="auto"/>
              <w:ind w:firstLine="0"/>
              <w:jc w:val="left"/>
              <w:rPr>
                <w:rFonts w:eastAsia="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2427822D">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AB9C467">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3B064E7">
            <w:pPr>
              <w:widowControl/>
              <w:autoSpaceDE/>
              <w:autoSpaceDN/>
              <w:snapToGrid/>
              <w:spacing w:line="240" w:lineRule="auto"/>
              <w:ind w:firstLine="0"/>
              <w:jc w:val="left"/>
              <w:rPr>
                <w:rFonts w:eastAsia="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11BE8AF">
            <w:pPr>
              <w:widowControl/>
              <w:autoSpaceDE/>
              <w:autoSpaceDN/>
              <w:snapToGrid/>
              <w:spacing w:line="240" w:lineRule="auto"/>
              <w:ind w:firstLine="0"/>
              <w:jc w:val="left"/>
              <w:rPr>
                <w:rFonts w:eastAsia="宋体"/>
                <w:snapToGrid/>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BA313B">
            <w:pPr>
              <w:widowControl/>
              <w:autoSpaceDE/>
              <w:autoSpaceDN/>
              <w:snapToGrid/>
              <w:spacing w:line="240" w:lineRule="auto"/>
              <w:ind w:firstLine="0"/>
              <w:jc w:val="center"/>
              <w:rPr>
                <w:rFonts w:eastAsia="宋体"/>
                <w:snapToGrid/>
                <w:sz w:val="20"/>
              </w:rPr>
            </w:pPr>
            <w:r>
              <w:rPr>
                <w:rFonts w:eastAsia="宋体"/>
                <w:snapToGrid/>
                <w:sz w:val="20"/>
              </w:rPr>
              <w:t>结果</w:t>
            </w:r>
          </w:p>
          <w:p w14:paraId="4FFF6BFE">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4DEC029">
            <w:pPr>
              <w:widowControl/>
              <w:autoSpaceDE/>
              <w:autoSpaceDN/>
              <w:snapToGrid/>
              <w:spacing w:line="240" w:lineRule="auto"/>
              <w:ind w:firstLine="0"/>
              <w:jc w:val="center"/>
              <w:rPr>
                <w:rFonts w:eastAsia="宋体"/>
                <w:snapToGrid/>
                <w:sz w:val="20"/>
              </w:rPr>
            </w:pPr>
            <w:r>
              <w:rPr>
                <w:rFonts w:eastAsia="宋体"/>
                <w:snapToGrid/>
                <w:sz w:val="20"/>
              </w:rPr>
              <w:t>结果</w:t>
            </w:r>
          </w:p>
          <w:p w14:paraId="407EAEA0">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FDFFC6">
            <w:pPr>
              <w:widowControl/>
              <w:autoSpaceDE/>
              <w:autoSpaceDN/>
              <w:snapToGrid/>
              <w:spacing w:line="240" w:lineRule="auto"/>
              <w:ind w:firstLine="0"/>
              <w:jc w:val="center"/>
              <w:rPr>
                <w:rFonts w:eastAsia="宋体"/>
                <w:snapToGrid/>
                <w:sz w:val="20"/>
              </w:rPr>
            </w:pPr>
            <w:r>
              <w:rPr>
                <w:rFonts w:eastAsia="宋体"/>
                <w:snapToGrid/>
                <w:sz w:val="20"/>
              </w:rPr>
              <w:t>其他</w:t>
            </w:r>
          </w:p>
          <w:p w14:paraId="694A2BFD">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8679AD">
            <w:pPr>
              <w:widowControl/>
              <w:autoSpaceDE/>
              <w:autoSpaceDN/>
              <w:snapToGrid/>
              <w:spacing w:line="240" w:lineRule="auto"/>
              <w:ind w:firstLine="0"/>
              <w:jc w:val="center"/>
              <w:rPr>
                <w:rFonts w:eastAsia="宋体"/>
                <w:snapToGrid/>
                <w:sz w:val="20"/>
              </w:rPr>
            </w:pPr>
            <w:r>
              <w:rPr>
                <w:rFonts w:eastAsia="宋体"/>
                <w:snapToGrid/>
                <w:sz w:val="20"/>
              </w:rPr>
              <w:t>尚未</w:t>
            </w:r>
          </w:p>
          <w:p w14:paraId="0AF6C9DA">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AA682B">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6B0765">
            <w:pPr>
              <w:widowControl/>
              <w:autoSpaceDE/>
              <w:autoSpaceDN/>
              <w:snapToGrid/>
              <w:spacing w:line="240" w:lineRule="auto"/>
              <w:ind w:firstLine="0"/>
              <w:jc w:val="center"/>
              <w:rPr>
                <w:rFonts w:eastAsia="宋体"/>
                <w:snapToGrid/>
                <w:sz w:val="20"/>
              </w:rPr>
            </w:pPr>
            <w:r>
              <w:rPr>
                <w:rFonts w:eastAsia="宋体"/>
                <w:snapToGrid/>
                <w:sz w:val="20"/>
              </w:rPr>
              <w:t>结果</w:t>
            </w:r>
          </w:p>
          <w:p w14:paraId="31079C5D">
            <w:pPr>
              <w:widowControl/>
              <w:autoSpaceDE/>
              <w:autoSpaceDN/>
              <w:snapToGrid/>
              <w:spacing w:line="240" w:lineRule="auto"/>
              <w:ind w:firstLine="0"/>
              <w:jc w:val="center"/>
              <w:rPr>
                <w:rFonts w:eastAsia="宋体"/>
                <w:snapToGrid/>
                <w:sz w:val="24"/>
                <w:szCs w:val="24"/>
              </w:rPr>
            </w:pPr>
            <w:r>
              <w:rPr>
                <w:rFonts w:eastAsia="宋体"/>
                <w:snapToGrid/>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065A34">
            <w:pPr>
              <w:widowControl/>
              <w:autoSpaceDE/>
              <w:autoSpaceDN/>
              <w:snapToGrid/>
              <w:spacing w:line="240" w:lineRule="auto"/>
              <w:ind w:firstLine="0"/>
              <w:jc w:val="center"/>
              <w:rPr>
                <w:rFonts w:eastAsia="宋体"/>
                <w:snapToGrid/>
                <w:sz w:val="20"/>
              </w:rPr>
            </w:pPr>
            <w:r>
              <w:rPr>
                <w:rFonts w:eastAsia="宋体"/>
                <w:snapToGrid/>
                <w:sz w:val="20"/>
              </w:rPr>
              <w:t>结果</w:t>
            </w:r>
          </w:p>
          <w:p w14:paraId="6ABF3C21">
            <w:pPr>
              <w:widowControl/>
              <w:autoSpaceDE/>
              <w:autoSpaceDN/>
              <w:snapToGrid/>
              <w:spacing w:line="240" w:lineRule="auto"/>
              <w:ind w:firstLine="0"/>
              <w:jc w:val="center"/>
              <w:rPr>
                <w:rFonts w:eastAsia="宋体"/>
                <w:snapToGrid/>
                <w:sz w:val="24"/>
                <w:szCs w:val="24"/>
              </w:rPr>
            </w:pPr>
            <w:r>
              <w:rPr>
                <w:rFonts w:eastAsia="宋体"/>
                <w:snapToGrid/>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72A384">
            <w:pPr>
              <w:widowControl/>
              <w:autoSpaceDE/>
              <w:autoSpaceDN/>
              <w:snapToGrid/>
              <w:spacing w:line="240" w:lineRule="auto"/>
              <w:ind w:firstLine="0"/>
              <w:jc w:val="center"/>
              <w:rPr>
                <w:rFonts w:eastAsia="宋体"/>
                <w:snapToGrid/>
                <w:sz w:val="20"/>
              </w:rPr>
            </w:pPr>
            <w:r>
              <w:rPr>
                <w:rFonts w:eastAsia="宋体"/>
                <w:snapToGrid/>
                <w:sz w:val="20"/>
              </w:rPr>
              <w:t>其他</w:t>
            </w:r>
          </w:p>
          <w:p w14:paraId="59F7DD83">
            <w:pPr>
              <w:widowControl/>
              <w:autoSpaceDE/>
              <w:autoSpaceDN/>
              <w:snapToGrid/>
              <w:spacing w:line="240" w:lineRule="auto"/>
              <w:ind w:firstLine="0"/>
              <w:jc w:val="center"/>
              <w:rPr>
                <w:rFonts w:eastAsia="宋体"/>
                <w:snapToGrid/>
                <w:sz w:val="24"/>
                <w:szCs w:val="24"/>
              </w:rPr>
            </w:pPr>
            <w:r>
              <w:rPr>
                <w:rFonts w:eastAsia="宋体"/>
                <w:snapToGrid/>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F9CD46">
            <w:pPr>
              <w:widowControl/>
              <w:autoSpaceDE/>
              <w:autoSpaceDN/>
              <w:snapToGrid/>
              <w:spacing w:line="240" w:lineRule="auto"/>
              <w:ind w:firstLine="0"/>
              <w:jc w:val="center"/>
              <w:rPr>
                <w:rFonts w:eastAsia="宋体"/>
                <w:snapToGrid/>
                <w:sz w:val="20"/>
              </w:rPr>
            </w:pPr>
            <w:r>
              <w:rPr>
                <w:rFonts w:eastAsia="宋体"/>
                <w:snapToGrid/>
                <w:sz w:val="20"/>
              </w:rPr>
              <w:t>尚未</w:t>
            </w:r>
          </w:p>
          <w:p w14:paraId="4E44B25F">
            <w:pPr>
              <w:widowControl/>
              <w:autoSpaceDE/>
              <w:autoSpaceDN/>
              <w:snapToGrid/>
              <w:spacing w:line="240" w:lineRule="auto"/>
              <w:ind w:firstLine="0"/>
              <w:jc w:val="center"/>
              <w:rPr>
                <w:rFonts w:eastAsia="宋体"/>
                <w:snapToGrid/>
                <w:sz w:val="24"/>
                <w:szCs w:val="24"/>
              </w:rPr>
            </w:pPr>
            <w:r>
              <w:rPr>
                <w:rFonts w:eastAsia="宋体"/>
                <w:snapToGrid/>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7BCC57">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14:paraId="3A2FE323">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29340B">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4BE6DE1">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88A0916">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8B5B40">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3859F4">
            <w:pPr>
              <w:widowControl/>
              <w:autoSpaceDE/>
              <w:autoSpaceDN/>
              <w:snapToGrid/>
              <w:spacing w:line="240" w:lineRule="auto"/>
              <w:ind w:firstLine="0"/>
              <w:jc w:val="center"/>
              <w:rPr>
                <w:rFonts w:eastAsia="宋体"/>
                <w:snapToGrid/>
                <w:sz w:val="20"/>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DFA5DC">
            <w:pPr>
              <w:widowControl/>
              <w:autoSpaceDE/>
              <w:autoSpaceDN/>
              <w:snapToGrid/>
              <w:spacing w:line="240" w:lineRule="auto"/>
              <w:ind w:firstLine="0"/>
              <w:jc w:val="center"/>
              <w:rPr>
                <w:rFonts w:eastAsia="宋体"/>
                <w:snapToGrid/>
                <w:sz w:val="20"/>
              </w:rPr>
            </w:pPr>
            <w:r>
              <w:rPr>
                <w:rFonts w:eastAsia="宋体"/>
                <w:snapToGrid/>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9EAA697">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A05B524">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802E817">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28E952B">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2FD7228">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1132B6">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ED34336">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9C65951">
            <w:pPr>
              <w:widowControl/>
              <w:autoSpaceDE/>
              <w:autoSpaceDN/>
              <w:snapToGrid/>
              <w:spacing w:line="240" w:lineRule="auto"/>
              <w:ind w:firstLine="0"/>
              <w:jc w:val="center"/>
              <w:rPr>
                <w:rFonts w:eastAsia="宋体"/>
                <w:snapToGrid/>
                <w:sz w:val="20"/>
              </w:rPr>
            </w:pPr>
            <w:r>
              <w:rPr>
                <w:rFonts w:eastAsia="宋体"/>
                <w:snapToGrid/>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5D4513">
            <w:pPr>
              <w:widowControl/>
              <w:autoSpaceDE/>
              <w:autoSpaceDN/>
              <w:snapToGrid/>
              <w:spacing w:line="240" w:lineRule="auto"/>
              <w:ind w:firstLine="0"/>
              <w:jc w:val="center"/>
              <w:rPr>
                <w:rFonts w:eastAsia="宋体"/>
                <w:snapToGrid/>
                <w:sz w:val="20"/>
              </w:rPr>
            </w:pPr>
            <w:r>
              <w:rPr>
                <w:rFonts w:eastAsia="宋体"/>
                <w:snapToGrid/>
                <w:sz w:val="20"/>
              </w:rPr>
              <w:t>0</w:t>
            </w:r>
          </w:p>
        </w:tc>
      </w:tr>
    </w:tbl>
    <w:p w14:paraId="5A298B82">
      <w:pPr>
        <w:spacing w:line="560" w:lineRule="exact"/>
        <w:ind w:firstLine="640" w:firstLineChars="200"/>
        <w:rPr>
          <w:rFonts w:eastAsia="黑体"/>
          <w:szCs w:val="32"/>
        </w:rPr>
      </w:pPr>
      <w:r>
        <w:rPr>
          <w:rFonts w:eastAsia="黑体"/>
          <w:szCs w:val="32"/>
        </w:rPr>
        <w:t>五、存在的主要问题及改进情况</w:t>
      </w:r>
    </w:p>
    <w:p w14:paraId="06D9D33F">
      <w:pPr>
        <w:spacing w:line="560" w:lineRule="exact"/>
        <w:ind w:firstLine="640" w:firstLineChars="200"/>
        <w:jc w:val="left"/>
      </w:pPr>
      <w:bookmarkStart w:id="0" w:name="_Hlk124088688"/>
      <w:r>
        <w:rPr>
          <w:rFonts w:eastAsia="楷体_GB2312"/>
          <w:bCs/>
        </w:rPr>
        <w:t>（一）存在问题</w:t>
      </w:r>
      <w:bookmarkEnd w:id="0"/>
    </w:p>
    <w:p w14:paraId="6D89C345">
      <w:pPr>
        <w:spacing w:line="560" w:lineRule="exact"/>
        <w:ind w:firstLine="640" w:firstLineChars="200"/>
        <w:jc w:val="left"/>
        <w:rPr>
          <w:rFonts w:eastAsia="仿宋_GB2312"/>
          <w:szCs w:val="32"/>
        </w:rPr>
      </w:pPr>
      <w:r>
        <w:rPr>
          <w:rFonts w:hint="eastAsia" w:eastAsia="仿宋_GB2312"/>
          <w:szCs w:val="32"/>
        </w:rPr>
        <w:t>一是依申请公开办理质效不高，存在流程不规范、跨科室协调联动不畅等问题，导致答复时限把控不严，部分答复内容针对性弱，未能有效回应公众合理诉求。</w:t>
      </w:r>
    </w:p>
    <w:p w14:paraId="59150E6C">
      <w:pPr>
        <w:spacing w:line="560" w:lineRule="exact"/>
        <w:ind w:firstLine="640" w:firstLineChars="200"/>
        <w:jc w:val="left"/>
        <w:rPr>
          <w:rFonts w:eastAsia="仿宋_GB2312"/>
          <w:szCs w:val="32"/>
        </w:rPr>
      </w:pPr>
      <w:r>
        <w:rPr>
          <w:rFonts w:hint="eastAsia" w:eastAsia="仿宋_GB2312"/>
          <w:szCs w:val="32"/>
        </w:rPr>
        <w:t>二是公开平台运维管理不到位，政务公开平台存在信息更新不及时、数据不统一、部分栏目闲置等共性问题，平台互动功能薄弱，公众参与渠道不畅。</w:t>
      </w:r>
    </w:p>
    <w:p w14:paraId="17D735DB">
      <w:pPr>
        <w:spacing w:line="560" w:lineRule="exact"/>
        <w:ind w:firstLine="640" w:firstLineChars="200"/>
        <w:jc w:val="left"/>
        <w:rPr>
          <w:rFonts w:eastAsia="楷体_GB2312"/>
          <w:bCs/>
        </w:rPr>
      </w:pPr>
      <w:r>
        <w:rPr>
          <w:rFonts w:eastAsia="楷体_GB2312"/>
          <w:bCs/>
        </w:rPr>
        <w:t>（二）改进情况</w:t>
      </w:r>
    </w:p>
    <w:p w14:paraId="3639C643">
      <w:pPr>
        <w:autoSpaceDE/>
        <w:autoSpaceDN/>
        <w:snapToGrid/>
        <w:spacing w:line="560" w:lineRule="exact"/>
        <w:ind w:firstLine="640" w:firstLineChars="200"/>
        <w:rPr>
          <w:rFonts w:eastAsia="仿宋_GB2312"/>
          <w:szCs w:val="32"/>
        </w:rPr>
      </w:pPr>
      <w:r>
        <w:rPr>
          <w:rFonts w:hint="eastAsia" w:eastAsia="仿宋_GB2312"/>
          <w:szCs w:val="32"/>
        </w:rPr>
        <w:t>一是健全依申请公开闭环管理机制，规范申请接收、审核、办理、答复全流程，建立跨科室协调联动机制，明确各环节责任时限，加强业务培训，提升工作人员答复精准度和时效性。</w:t>
      </w:r>
    </w:p>
    <w:p w14:paraId="6177B88D">
      <w:pPr>
        <w:autoSpaceDE/>
        <w:autoSpaceDN/>
        <w:snapToGrid/>
        <w:spacing w:line="560" w:lineRule="exact"/>
        <w:ind w:firstLine="640" w:firstLineChars="200"/>
        <w:rPr>
          <w:rFonts w:eastAsia="仿宋_GB2312"/>
          <w:szCs w:val="32"/>
        </w:rPr>
      </w:pPr>
      <w:r>
        <w:rPr>
          <w:rFonts w:hint="eastAsia" w:eastAsia="仿宋_GB2312"/>
          <w:szCs w:val="32"/>
        </w:rPr>
        <w:t>二是建立信息更新审核责任制，定期开展平台运维排查整改，激活闲置栏目；完善平台互动功能，增设公众留言、在线咨询等渠道，健全留言办理反馈机制，畅通公众参与路径。</w:t>
      </w:r>
    </w:p>
    <w:p w14:paraId="48EFEC9D">
      <w:pPr>
        <w:autoSpaceDE/>
        <w:autoSpaceDN/>
        <w:snapToGrid/>
        <w:spacing w:line="560" w:lineRule="exact"/>
        <w:ind w:firstLine="640" w:firstLineChars="200"/>
        <w:rPr>
          <w:rFonts w:eastAsia="黑体"/>
          <w:snapToGrid/>
          <w:kern w:val="2"/>
          <w:szCs w:val="32"/>
        </w:rPr>
      </w:pPr>
      <w:r>
        <w:rPr>
          <w:rFonts w:eastAsia="黑体"/>
          <w:snapToGrid/>
          <w:kern w:val="2"/>
          <w:szCs w:val="32"/>
        </w:rPr>
        <w:t>六、其他需要报告的事项</w:t>
      </w:r>
    </w:p>
    <w:p w14:paraId="37551263">
      <w:pPr>
        <w:spacing w:line="560" w:lineRule="exact"/>
        <w:ind w:firstLine="640" w:firstLineChars="200"/>
        <w:jc w:val="left"/>
        <w:rPr>
          <w:rFonts w:eastAsia="楷体_GB2312"/>
          <w:bCs/>
        </w:rPr>
      </w:pPr>
      <w:r>
        <w:rPr>
          <w:rFonts w:eastAsia="楷体_GB2312"/>
          <w:bCs/>
        </w:rPr>
        <w:t>（一）政府信息公开信息处理费收取情况</w:t>
      </w:r>
    </w:p>
    <w:p w14:paraId="55AF2127">
      <w:pPr>
        <w:spacing w:line="560" w:lineRule="exact"/>
        <w:ind w:firstLine="640" w:firstLineChars="200"/>
        <w:jc w:val="left"/>
        <w:rPr>
          <w:rFonts w:eastAsia="仿宋_GB2312"/>
          <w:szCs w:val="32"/>
        </w:rPr>
      </w:pPr>
      <w:r>
        <w:rPr>
          <w:rFonts w:hint="eastAsia"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任何费用。</w:t>
      </w:r>
    </w:p>
    <w:p w14:paraId="3A97B00F">
      <w:pPr>
        <w:spacing w:line="560" w:lineRule="exact"/>
        <w:ind w:firstLine="640" w:firstLineChars="200"/>
        <w:jc w:val="left"/>
        <w:rPr>
          <w:rFonts w:eastAsia="楷体_GB2312"/>
          <w:bCs/>
        </w:rPr>
      </w:pPr>
      <w:r>
        <w:rPr>
          <w:rFonts w:eastAsia="楷体_GB2312"/>
          <w:bCs/>
        </w:rPr>
        <w:t>（二）落实上级年度政务公开工作要点情况</w:t>
      </w:r>
    </w:p>
    <w:p w14:paraId="6849EF96">
      <w:pPr>
        <w:spacing w:line="560" w:lineRule="exact"/>
        <w:ind w:firstLine="640" w:firstLineChars="200"/>
        <w:rPr>
          <w:rFonts w:eastAsia="仿宋_GB2312"/>
          <w:color w:val="0070C0"/>
          <w:szCs w:val="32"/>
        </w:rPr>
      </w:pPr>
      <w:r>
        <w:rPr>
          <w:rFonts w:hint="eastAsia" w:eastAsia="仿宋_GB2312"/>
          <w:szCs w:val="32"/>
        </w:rPr>
        <w:t>严格落实国家和省市县政务公开工作要点，并根据《高青县人民政府办公室关于印发2025年高青县政务公开工作方案的通知》要求，制定了《高青县财政局政务公开工作方案》，明确了重点任务、工作标准和完成时限。一是</w:t>
      </w:r>
      <w:r>
        <w:rPr>
          <w:rFonts w:hint="eastAsia" w:eastAsia="仿宋_GB2312"/>
          <w:szCs w:val="32"/>
          <w:lang w:eastAsia="zh-CN"/>
        </w:rPr>
        <w:t>及时公开</w:t>
      </w:r>
      <w:r>
        <w:rPr>
          <w:rFonts w:hint="eastAsia" w:eastAsia="仿宋_GB2312"/>
          <w:szCs w:val="32"/>
        </w:rPr>
        <w:t>财政收支</w:t>
      </w:r>
      <w:r>
        <w:rPr>
          <w:rFonts w:hint="eastAsia" w:eastAsia="仿宋_GB2312"/>
          <w:szCs w:val="32"/>
          <w:lang w:eastAsia="zh-CN"/>
        </w:rPr>
        <w:t>信息</w:t>
      </w:r>
      <w:r>
        <w:rPr>
          <w:rFonts w:hint="eastAsia" w:eastAsia="仿宋_GB2312"/>
          <w:szCs w:val="32"/>
        </w:rPr>
        <w:t>，重点对全县一般公共预算收支情况、全县政府性基金预算收支情况等情况进行公开，涵盖本地区税收收入完成情况、主要财政支出科目及财政收支增减变化情况分析等信息。二是</w:t>
      </w:r>
      <w:r>
        <w:rPr>
          <w:rFonts w:hint="eastAsia" w:eastAsia="仿宋_GB2312"/>
          <w:szCs w:val="32"/>
          <w:lang w:eastAsia="zh-CN"/>
        </w:rPr>
        <w:t>及时公开</w:t>
      </w:r>
      <w:r>
        <w:rPr>
          <w:rFonts w:hint="eastAsia" w:eastAsia="仿宋_GB2312"/>
          <w:szCs w:val="32"/>
        </w:rPr>
        <w:t>国资国企</w:t>
      </w:r>
      <w:r>
        <w:rPr>
          <w:rFonts w:hint="eastAsia" w:eastAsia="仿宋_GB2312"/>
          <w:szCs w:val="32"/>
          <w:lang w:eastAsia="zh-CN"/>
        </w:rPr>
        <w:t>信息</w:t>
      </w:r>
      <w:r>
        <w:rPr>
          <w:rFonts w:hint="eastAsia" w:eastAsia="仿宋_GB2312"/>
          <w:szCs w:val="32"/>
        </w:rPr>
        <w:t>，重点围绕经济效益、国企监管、社会责任、业绩考核等情况进行公开，涵盖国有企业每月营业收入情况、国有企业履行社会责任情况及上年度国有企业业绩考核情况等信息。</w:t>
      </w:r>
    </w:p>
    <w:p w14:paraId="777939E9">
      <w:pPr>
        <w:spacing w:line="560" w:lineRule="exact"/>
        <w:ind w:firstLine="640" w:firstLineChars="200"/>
        <w:jc w:val="left"/>
        <w:rPr>
          <w:rFonts w:eastAsia="楷体_GB2312"/>
          <w:bCs/>
        </w:rPr>
      </w:pPr>
      <w:r>
        <w:rPr>
          <w:rFonts w:eastAsia="楷体_GB2312"/>
          <w:bCs/>
        </w:rPr>
        <w:t>（三）人大代表建议和政协提案办理结果公开情况</w:t>
      </w:r>
    </w:p>
    <w:p w14:paraId="00AF997B">
      <w:pPr>
        <w:spacing w:line="560" w:lineRule="exact"/>
        <w:ind w:firstLine="640" w:firstLineChars="200"/>
        <w:jc w:val="left"/>
        <w:rPr>
          <w:rFonts w:eastAsia="仿宋_GB2312"/>
          <w:kern w:val="22"/>
          <w:szCs w:val="32"/>
        </w:rPr>
      </w:pPr>
      <w:r>
        <w:rPr>
          <w:rFonts w:hint="eastAsia" w:eastAsia="仿宋_GB2312"/>
          <w:kern w:val="22"/>
          <w:szCs w:val="32"/>
        </w:rPr>
        <w:t>2025年共承办县十八届人大</w:t>
      </w:r>
      <w:r>
        <w:rPr>
          <w:rFonts w:hint="eastAsia" w:eastAsia="仿宋_GB2312"/>
          <w:kern w:val="22"/>
          <w:szCs w:val="32"/>
          <w:lang w:eastAsia="zh-CN"/>
        </w:rPr>
        <w:t>四</w:t>
      </w:r>
      <w:r>
        <w:rPr>
          <w:rFonts w:hint="eastAsia" w:eastAsia="仿宋_GB2312"/>
          <w:kern w:val="22"/>
          <w:szCs w:val="32"/>
        </w:rPr>
        <w:t>次会议建议7件，承办县政协十五届</w:t>
      </w:r>
      <w:r>
        <w:rPr>
          <w:rFonts w:hint="eastAsia" w:eastAsia="仿宋_GB2312"/>
          <w:kern w:val="22"/>
          <w:szCs w:val="32"/>
          <w:lang w:eastAsia="zh-CN"/>
        </w:rPr>
        <w:t>四</w:t>
      </w:r>
      <w:bookmarkStart w:id="1" w:name="_GoBack"/>
      <w:bookmarkEnd w:id="1"/>
      <w:r>
        <w:rPr>
          <w:rFonts w:hint="eastAsia" w:eastAsia="仿宋_GB2312"/>
          <w:kern w:val="22"/>
          <w:szCs w:val="32"/>
        </w:rPr>
        <w:t>次会议提案7件，办复率均为100%。除涉及国家秘密、工作秘密的，所有建议提案办理复文或摘要以及办理总体情况均在县政府门户网站建议提案办理专题中予以公开。</w:t>
      </w:r>
    </w:p>
    <w:p w14:paraId="6B9FC4A5">
      <w:pPr>
        <w:spacing w:line="560" w:lineRule="exact"/>
        <w:ind w:firstLine="640" w:firstLineChars="200"/>
        <w:jc w:val="left"/>
        <w:rPr>
          <w:rFonts w:eastAsia="楷体_GB2312"/>
          <w:bCs/>
        </w:rPr>
      </w:pPr>
      <w:r>
        <w:rPr>
          <w:rFonts w:eastAsia="楷体_GB2312"/>
          <w:bCs/>
        </w:rPr>
        <w:t>（四）政务公开工作创新情况</w:t>
      </w:r>
    </w:p>
    <w:p w14:paraId="6B47DA49">
      <w:pPr>
        <w:spacing w:line="560" w:lineRule="exact"/>
        <w:ind w:firstLine="640" w:firstLineChars="200"/>
        <w:jc w:val="left"/>
        <w:rPr>
          <w:rFonts w:eastAsia="仿宋_GB2312"/>
          <w:kern w:val="22"/>
          <w:szCs w:val="32"/>
        </w:rPr>
      </w:pPr>
      <w:r>
        <w:rPr>
          <w:rFonts w:hint="eastAsia" w:eastAsia="仿宋_GB2312"/>
          <w:kern w:val="22"/>
          <w:szCs w:val="32"/>
        </w:rPr>
        <w:t>建立政策解读“三同步”机制，要求政策出台时同步谋划、同步发布、同步解读，丰富解读形式，推广案例解读、图表图解、视频宣讲等多元方式，通俗化阐释财政专业内容，适配不同受众理解需求。</w:t>
      </w:r>
    </w:p>
    <w:p w14:paraId="3E8E20ED">
      <w:pPr>
        <w:spacing w:line="560" w:lineRule="exact"/>
        <w:ind w:firstLine="640" w:firstLineChars="200"/>
        <w:jc w:val="left"/>
        <w:rPr>
          <w:rFonts w:eastAsia="楷体_GB2312"/>
          <w:bCs/>
        </w:rPr>
      </w:pPr>
      <w:r>
        <w:rPr>
          <w:rFonts w:eastAsia="楷体_GB2312"/>
          <w:bCs/>
        </w:rPr>
        <w:t>（五）有关数据统计说明</w:t>
      </w:r>
    </w:p>
    <w:p w14:paraId="6D91E80E">
      <w:pPr>
        <w:pStyle w:val="2"/>
        <w:spacing w:before="0" w:beforeAutospacing="0" w:after="0" w:afterAutospacing="0" w:line="560" w:lineRule="exact"/>
        <w:ind w:firstLine="640" w:firstLineChars="200"/>
        <w:rPr>
          <w:rFonts w:hint="default" w:ascii="Times New Roman" w:hAnsi="Times New Roman" w:eastAsia="仿宋_GB2312"/>
          <w:color w:val="auto"/>
          <w:kern w:val="22"/>
          <w:sz w:val="32"/>
          <w:szCs w:val="32"/>
          <w:lang w:val="en-US" w:bidi="ar-SA"/>
        </w:rPr>
      </w:pPr>
      <w:r>
        <w:rPr>
          <w:rFonts w:ascii="Times New Roman" w:hAnsi="Times New Roman" w:eastAsia="仿宋_GB2312"/>
          <w:color w:val="auto"/>
          <w:kern w:val="22"/>
          <w:sz w:val="32"/>
          <w:szCs w:val="32"/>
          <w:lang w:val="en-US" w:bidi="ar-SA"/>
        </w:rPr>
        <w:t>1.报告中所列数据可能因四舍五入原因与数据直接相加之和存在尾数差异。</w:t>
      </w:r>
    </w:p>
    <w:p w14:paraId="118057A0">
      <w:pPr>
        <w:pStyle w:val="2"/>
        <w:spacing w:before="0" w:beforeAutospacing="0" w:after="0" w:afterAutospacing="0" w:line="560" w:lineRule="exact"/>
        <w:ind w:firstLine="640" w:firstLineChars="200"/>
        <w:rPr>
          <w:rFonts w:hint="default" w:ascii="Times New Roman" w:hAnsi="Times New Roman" w:eastAsia="仿宋_GB2312"/>
          <w:color w:val="auto"/>
          <w:kern w:val="22"/>
          <w:sz w:val="32"/>
          <w:szCs w:val="32"/>
          <w:lang w:val="en-US" w:bidi="ar-SA"/>
        </w:rPr>
      </w:pPr>
      <w:r>
        <w:rPr>
          <w:rFonts w:ascii="Times New Roman" w:hAnsi="Times New Roman" w:eastAsia="仿宋_GB2312"/>
          <w:color w:val="auto"/>
          <w:kern w:val="22"/>
          <w:sz w:val="32"/>
          <w:szCs w:val="32"/>
          <w:lang w:val="en-US" w:bidi="ar-SA"/>
        </w:rPr>
        <w:t>2.行政许可数量、行政处罚和行政强制数量，包括已公开和依法未公开的全部处理决定。</w:t>
      </w:r>
    </w:p>
    <w:p w14:paraId="03AE5664">
      <w:pPr>
        <w:pStyle w:val="2"/>
        <w:spacing w:before="0" w:beforeAutospacing="0" w:after="0" w:afterAutospacing="0" w:line="560" w:lineRule="exact"/>
        <w:ind w:firstLine="640" w:firstLineChars="200"/>
        <w:rPr>
          <w:rFonts w:hint="default" w:ascii="Times New Roman" w:hAnsi="Times New Roman" w:eastAsia="仿宋_GB2312"/>
          <w:color w:val="auto"/>
          <w:kern w:val="22"/>
          <w:sz w:val="32"/>
          <w:szCs w:val="32"/>
          <w:lang w:val="en-US" w:bidi="ar-SA"/>
        </w:rPr>
      </w:pPr>
      <w:r>
        <w:rPr>
          <w:rFonts w:ascii="Times New Roman" w:hAnsi="Times New Roman" w:eastAsia="仿宋_GB2312"/>
          <w:color w:val="auto"/>
          <w:kern w:val="22"/>
          <w:sz w:val="32"/>
          <w:szCs w:val="32"/>
          <w:lang w:val="en-US" w:bidi="ar-SA"/>
        </w:rPr>
        <w:t>3.行政复议机关作为共同被告的行政诉讼案件，只计算原行为主体的案件数量，不计算行政复议机关的案件数量。</w:t>
      </w:r>
    </w:p>
    <w:p w14:paraId="5234F5D2"/>
    <w:p w14:paraId="54C75BAB"/>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EU-B1"/>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EU-B1"/>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903837"/>
    <w:multiLevelType w:val="singleLevel"/>
    <w:tmpl w:val="6E9038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2RhNzRiZTgxYzliNDk3ZDJmYjZkY2ViYWNjYjUifQ=="/>
    <w:docVar w:name="KSO_WPS_MARK_KEY" w:val="16ed8eff-497c-4dc9-a50b-abc7a1389a81"/>
  </w:docVars>
  <w:rsids>
    <w:rsidRoot w:val="005C6612"/>
    <w:rsid w:val="00021307"/>
    <w:rsid w:val="00057EC5"/>
    <w:rsid w:val="000B7DFB"/>
    <w:rsid w:val="002604D4"/>
    <w:rsid w:val="002853AD"/>
    <w:rsid w:val="005C6612"/>
    <w:rsid w:val="007061DA"/>
    <w:rsid w:val="009D48D9"/>
    <w:rsid w:val="00CB26D2"/>
    <w:rsid w:val="00CB683E"/>
    <w:rsid w:val="00D46B7E"/>
    <w:rsid w:val="00D60F91"/>
    <w:rsid w:val="00E555B8"/>
    <w:rsid w:val="00F138AA"/>
    <w:rsid w:val="011F300C"/>
    <w:rsid w:val="12BC5F85"/>
    <w:rsid w:val="14BE1616"/>
    <w:rsid w:val="165F2D2C"/>
    <w:rsid w:val="1867785B"/>
    <w:rsid w:val="1DC93146"/>
    <w:rsid w:val="1F974FC1"/>
    <w:rsid w:val="1FFA1DDD"/>
    <w:rsid w:val="25D60694"/>
    <w:rsid w:val="2C9805ED"/>
    <w:rsid w:val="2F34636C"/>
    <w:rsid w:val="374101FF"/>
    <w:rsid w:val="3D0D6F18"/>
    <w:rsid w:val="3D7E576A"/>
    <w:rsid w:val="3FFDE0D7"/>
    <w:rsid w:val="43AC7FC4"/>
    <w:rsid w:val="450862B9"/>
    <w:rsid w:val="49F7C424"/>
    <w:rsid w:val="50475269"/>
    <w:rsid w:val="53224129"/>
    <w:rsid w:val="569C2904"/>
    <w:rsid w:val="571C28E4"/>
    <w:rsid w:val="595A2C9E"/>
    <w:rsid w:val="5B1F4A89"/>
    <w:rsid w:val="5C355153"/>
    <w:rsid w:val="5EDA0F45"/>
    <w:rsid w:val="5EF7A881"/>
    <w:rsid w:val="62357E25"/>
    <w:rsid w:val="668E474B"/>
    <w:rsid w:val="6B3B91CA"/>
    <w:rsid w:val="6B6213A8"/>
    <w:rsid w:val="6BFF9212"/>
    <w:rsid w:val="70C878A8"/>
    <w:rsid w:val="72564B99"/>
    <w:rsid w:val="76BBD3E3"/>
    <w:rsid w:val="774BEC00"/>
    <w:rsid w:val="77FF9C39"/>
    <w:rsid w:val="79746A32"/>
    <w:rsid w:val="7BD572BD"/>
    <w:rsid w:val="7BF31C5A"/>
    <w:rsid w:val="7DEA41FE"/>
    <w:rsid w:val="7F7B2A60"/>
    <w:rsid w:val="7FB436EE"/>
    <w:rsid w:val="7FF7816E"/>
    <w:rsid w:val="B79F9A61"/>
    <w:rsid w:val="B7F67BC0"/>
    <w:rsid w:val="BF2F172D"/>
    <w:rsid w:val="DDEC0B23"/>
    <w:rsid w:val="EDE74D1C"/>
    <w:rsid w:val="EF3DDDCE"/>
    <w:rsid w:val="F3FE40CB"/>
    <w:rsid w:val="F76E7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方正小标宋简体"/>
      <w:color w:val="000000"/>
      <w:kern w:val="44"/>
      <w:sz w:val="44"/>
      <w:szCs w:val="48"/>
      <w:lang w:val="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pPr>
      <w:spacing w:line="240" w:lineRule="auto"/>
    </w:pPr>
    <w:rPr>
      <w:sz w:val="18"/>
      <w:szCs w:val="18"/>
    </w:rPr>
  </w:style>
  <w:style w:type="paragraph" w:styleId="5">
    <w:name w:val="footer"/>
    <w:basedOn w:val="1"/>
    <w:link w:val="15"/>
    <w:qFormat/>
    <w:uiPriority w:val="0"/>
    <w:pPr>
      <w:tabs>
        <w:tab w:val="center" w:pos="4153"/>
        <w:tab w:val="right" w:pos="8306"/>
      </w:tabs>
      <w:spacing w:line="240" w:lineRule="atLeast"/>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pacing w:line="240" w:lineRule="atLeast"/>
      <w:jc w:val="center"/>
    </w:pPr>
    <w:rPr>
      <w:sz w:val="18"/>
      <w:szCs w:val="18"/>
    </w:rPr>
  </w:style>
  <w:style w:type="paragraph" w:styleId="7">
    <w:name w:val="Normal (Web)"/>
    <w:basedOn w:val="1"/>
    <w:qFormat/>
    <w:uiPriority w:val="0"/>
    <w:pPr>
      <w:spacing w:beforeAutospacing="1" w:afterAutospacing="1"/>
      <w:jc w:val="left"/>
    </w:pPr>
    <w:rPr>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批注框文本 字符"/>
    <w:basedOn w:val="9"/>
    <w:link w:val="4"/>
    <w:qFormat/>
    <w:uiPriority w:val="0"/>
    <w:rPr>
      <w:rFonts w:eastAsia="方正仿宋_GBK"/>
      <w:snapToGrid w:val="0"/>
      <w:sz w:val="18"/>
      <w:szCs w:val="18"/>
    </w:rPr>
  </w:style>
  <w:style w:type="paragraph" w:styleId="13">
    <w:name w:val="List Paragraph"/>
    <w:basedOn w:val="1"/>
    <w:unhideWhenUsed/>
    <w:qFormat/>
    <w:uiPriority w:val="99"/>
    <w:pPr>
      <w:ind w:firstLine="420" w:firstLineChars="200"/>
    </w:pPr>
  </w:style>
  <w:style w:type="character" w:customStyle="1" w:styleId="14">
    <w:name w:val="页眉 字符"/>
    <w:basedOn w:val="9"/>
    <w:link w:val="6"/>
    <w:qFormat/>
    <w:uiPriority w:val="0"/>
    <w:rPr>
      <w:rFonts w:eastAsia="方正仿宋_GBK"/>
      <w:snapToGrid w:val="0"/>
      <w:sz w:val="18"/>
      <w:szCs w:val="18"/>
    </w:rPr>
  </w:style>
  <w:style w:type="character" w:customStyle="1" w:styleId="15">
    <w:name w:val="页脚 字符"/>
    <w:basedOn w:val="9"/>
    <w:link w:val="5"/>
    <w:qFormat/>
    <w:uiPriority w:val="0"/>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590</Words>
  <Characters>3367</Characters>
  <Lines>28</Lines>
  <Paragraphs>7</Paragraphs>
  <TotalTime>36</TotalTime>
  <ScaleCrop>false</ScaleCrop>
  <LinksUpToDate>false</LinksUpToDate>
  <CharactersWithSpaces>3950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2025-01-15T05:36:00Z</dcterms:created>
  <dc:creator>Administrator.PC-20220523YITL</dc:creator>
  <cp:lastModifiedBy>user</cp:lastModifiedBy>
  <dcterms:modified xsi:type="dcterms:W3CDTF">2026-01-28T16:13:31Z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eyJoZGlkIjoiOGZlM2UwZjMyODdhNTgyOGU0MWIyODJjZDE3MTdlM2MiLCJ1c2VySWQiOiI5NDE4Nzg4NTEifQ==</vt:lpwstr>
  </property>
  <property fmtid="{D5CDD505-2E9C-101B-9397-08002B2CF9AE}" pid="4" name="ICV">
    <vt:lpwstr>7D36B1B932FF4FE7BE9567775F5F3332_12</vt:lpwstr>
  </property>
</Properties>
</file>