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eastAsia="方正小标宋简体"/>
          <w:sz w:val="44"/>
          <w:szCs w:val="44"/>
        </w:rPr>
      </w:pPr>
      <w:r>
        <w:rPr>
          <w:rFonts w:eastAsia="方正小标宋简体"/>
          <w:sz w:val="44"/>
          <w:szCs w:val="44"/>
        </w:rPr>
        <w:t>高青县财政局</w:t>
      </w:r>
    </w:p>
    <w:p>
      <w:pPr>
        <w:spacing w:line="600" w:lineRule="exact"/>
        <w:ind w:firstLine="0"/>
        <w:jc w:val="center"/>
        <w:rPr>
          <w:rFonts w:eastAsia="方正小标宋简体"/>
          <w:sz w:val="44"/>
          <w:szCs w:val="44"/>
        </w:rPr>
      </w:pPr>
      <w:r>
        <w:rPr>
          <w:rFonts w:eastAsia="方正小标宋简体"/>
          <w:sz w:val="44"/>
          <w:szCs w:val="44"/>
        </w:rPr>
        <w:t>2021年政府信息公开工作年度报告</w:t>
      </w:r>
    </w:p>
    <w:p>
      <w:pPr>
        <w:spacing w:line="600" w:lineRule="exact"/>
        <w:ind w:firstLine="640" w:firstLineChars="200"/>
        <w:rPr>
          <w:rFonts w:eastAsia="仿宋_GB2312"/>
        </w:rPr>
      </w:pPr>
    </w:p>
    <w:p>
      <w:pPr>
        <w:spacing w:line="600" w:lineRule="exact"/>
        <w:ind w:firstLine="640" w:firstLineChars="200"/>
        <w:rPr>
          <w:rFonts w:eastAsia="仿宋_GB2312"/>
        </w:rPr>
      </w:pPr>
      <w:r>
        <w:rPr>
          <w:rFonts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600" w:lineRule="exact"/>
        <w:ind w:firstLine="640" w:firstLineChars="200"/>
        <w:rPr>
          <w:rFonts w:eastAsia="仿宋_GB2312"/>
        </w:rPr>
      </w:pPr>
      <w:r>
        <w:rPr>
          <w:rFonts w:eastAsia="仿宋_GB2312"/>
        </w:rPr>
        <w:t>报告中所列数据统计期限自2021年1月1日始，至2021年12月31日止。报告电子版可在高青县人民政府门户网站（www.gaoqing.gov.cn）查阅和下载。如对报告内容有疑问，请与高青县财政局办公室联系（地址：山东省淄博市高青县高苑路15号；邮编：256300；电话：0533-6962293；传真：0533-6962296）。</w:t>
      </w:r>
    </w:p>
    <w:p>
      <w:pPr>
        <w:spacing w:line="600" w:lineRule="exact"/>
        <w:ind w:firstLine="640" w:firstLineChars="200"/>
        <w:rPr>
          <w:rFonts w:eastAsia="黑体"/>
          <w:szCs w:val="32"/>
        </w:rPr>
      </w:pPr>
      <w:r>
        <w:rPr>
          <w:rFonts w:eastAsia="黑体"/>
          <w:szCs w:val="32"/>
        </w:rPr>
        <w:t>一、总体情况</w:t>
      </w:r>
    </w:p>
    <w:p>
      <w:pPr>
        <w:spacing w:line="600" w:lineRule="exact"/>
        <w:jc w:val="left"/>
        <w:rPr>
          <w:rFonts w:eastAsia="楷体_GB2312"/>
        </w:rPr>
      </w:pPr>
      <w:r>
        <w:rPr>
          <w:rFonts w:eastAsia="楷体_GB2312"/>
        </w:rPr>
        <w:t>（一）主动公开</w:t>
      </w:r>
    </w:p>
    <w:p>
      <w:pPr>
        <w:spacing w:line="600" w:lineRule="exact"/>
        <w:ind w:firstLine="640" w:firstLineChars="200"/>
        <w:rPr>
          <w:rFonts w:eastAsia="仿宋_GB2312"/>
          <w:szCs w:val="32"/>
        </w:rPr>
      </w:pPr>
      <w:r>
        <w:rPr>
          <w:rFonts w:eastAsia="仿宋_GB2312"/>
        </w:rPr>
        <w:t>制定《高青县财政局2021年政务公开工作实施方案》，召开了</w:t>
      </w:r>
      <w:r>
        <w:rPr>
          <w:rFonts w:hint="eastAsia" w:eastAsia="仿宋_GB2312"/>
          <w:lang w:eastAsia="zh-CN"/>
        </w:rPr>
        <w:t>政府</w:t>
      </w:r>
      <w:r>
        <w:rPr>
          <w:rFonts w:eastAsia="仿宋_GB2312"/>
        </w:rPr>
        <w:t>信息公开部署培训会，研究部署2021年信息公开的具体负责科室、信息公开流程等内容。2021年</w:t>
      </w:r>
      <w:r>
        <w:rPr>
          <w:rFonts w:hint="eastAsia" w:eastAsia="仿宋_GB2312"/>
        </w:rPr>
        <w:t>在县政府网站</w:t>
      </w:r>
      <w:r>
        <w:rPr>
          <w:rFonts w:eastAsia="仿宋_GB2312"/>
        </w:rPr>
        <w:t>主动公开</w:t>
      </w:r>
      <w:r>
        <w:rPr>
          <w:rFonts w:hint="eastAsia" w:eastAsia="仿宋_GB2312"/>
        </w:rPr>
        <w:t>政府信息</w:t>
      </w:r>
      <w:r>
        <w:rPr>
          <w:rFonts w:eastAsia="仿宋_GB2312"/>
        </w:rPr>
        <w:t>19</w:t>
      </w:r>
      <w:r>
        <w:rPr>
          <w:rFonts w:hint="eastAsia" w:eastAsia="仿宋_GB2312"/>
        </w:rPr>
        <w:t>1</w:t>
      </w:r>
      <w:r>
        <w:rPr>
          <w:rFonts w:eastAsia="仿宋_GB2312"/>
        </w:rPr>
        <w:t>余条，其中，公开机构职能1条、政策文件14条、建议提案办理10条、重要部署执行12条，财政信息5</w:t>
      </w:r>
      <w:r>
        <w:rPr>
          <w:rFonts w:hint="eastAsia" w:eastAsia="仿宋_GB2312"/>
        </w:rPr>
        <w:t>3</w:t>
      </w:r>
      <w:r>
        <w:rPr>
          <w:rFonts w:eastAsia="仿宋_GB2312"/>
        </w:rPr>
        <w:t>条、行政执法公示1</w:t>
      </w:r>
      <w:r>
        <w:rPr>
          <w:rFonts w:hint="eastAsia" w:eastAsia="仿宋_GB2312"/>
        </w:rPr>
        <w:t>1</w:t>
      </w:r>
      <w:r>
        <w:rPr>
          <w:rFonts w:eastAsia="仿宋_GB2312"/>
        </w:rPr>
        <w:t>条、双随机一公开7条、公共资源配置32条、减税降费28条、国资国企2</w:t>
      </w:r>
      <w:r>
        <w:rPr>
          <w:rFonts w:hint="eastAsia" w:eastAsia="仿宋_GB2312"/>
        </w:rPr>
        <w:t>2</w:t>
      </w:r>
      <w:r>
        <w:rPr>
          <w:rFonts w:eastAsia="仿宋_GB2312"/>
        </w:rPr>
        <w:t>条、主动公开基本目录1条等。发布5条政策解读材料，重点对青年创业扶持资金项目、黑牛养殖扶持政策等进行了详细解读。政府信箱收到6件群众留言，均在</w:t>
      </w:r>
      <w:r>
        <w:rPr>
          <w:rFonts w:eastAsia="仿宋_GB2312"/>
          <w:szCs w:val="32"/>
        </w:rPr>
        <w:t>5个工作日内答复完毕，</w:t>
      </w:r>
      <w:r>
        <w:rPr>
          <w:rFonts w:eastAsia="仿宋_GB2312"/>
        </w:rPr>
        <w:t>主要涉及我县道路路灯、会计继续教育等方面，</w:t>
      </w:r>
      <w:r>
        <w:rPr>
          <w:rFonts w:eastAsia="仿宋_GB2312"/>
          <w:szCs w:val="32"/>
        </w:rPr>
        <w:t>群众对答复结果表示满意。</w:t>
      </w:r>
    </w:p>
    <w:p>
      <w:pPr>
        <w:spacing w:line="600" w:lineRule="exact"/>
        <w:jc w:val="left"/>
        <w:rPr>
          <w:rFonts w:eastAsia="楷体_GB2312"/>
        </w:rPr>
      </w:pPr>
      <w:r>
        <w:rPr>
          <w:rFonts w:eastAsia="楷体_GB2312"/>
        </w:rPr>
        <w:t>（二）依申请公开</w:t>
      </w:r>
    </w:p>
    <w:p>
      <w:pPr>
        <w:spacing w:line="560" w:lineRule="exact"/>
        <w:ind w:firstLine="640" w:firstLineChars="200"/>
        <w:rPr>
          <w:rFonts w:eastAsia="仿宋_GB2312"/>
          <w:kern w:val="22"/>
          <w:szCs w:val="32"/>
        </w:rPr>
      </w:pPr>
      <w:r>
        <w:rPr>
          <w:rFonts w:eastAsia="仿宋_GB2312"/>
          <w:kern w:val="22"/>
          <w:szCs w:val="32"/>
        </w:rPr>
        <w:t>2021年，共收到政府信息公开申请</w:t>
      </w:r>
      <w:r>
        <w:rPr>
          <w:rFonts w:hint="eastAsia" w:eastAsia="仿宋_GB2312"/>
          <w:kern w:val="22"/>
          <w:szCs w:val="32"/>
        </w:rPr>
        <w:t>4</w:t>
      </w:r>
      <w:r>
        <w:rPr>
          <w:rFonts w:eastAsia="仿宋_GB2312"/>
          <w:kern w:val="22"/>
          <w:szCs w:val="32"/>
        </w:rPr>
        <w:t>件，同比增长</w:t>
      </w:r>
      <w:r>
        <w:rPr>
          <w:rFonts w:hint="eastAsia" w:eastAsia="仿宋_GB2312"/>
          <w:kern w:val="22"/>
          <w:szCs w:val="32"/>
        </w:rPr>
        <w:t>33.3</w:t>
      </w:r>
      <w:r>
        <w:rPr>
          <w:rFonts w:eastAsia="仿宋_GB2312"/>
          <w:kern w:val="22"/>
          <w:szCs w:val="32"/>
        </w:rPr>
        <w:t>%。</w:t>
      </w:r>
      <w:r>
        <w:rPr>
          <w:rFonts w:hint="eastAsia" w:eastAsia="仿宋_GB2312"/>
          <w:kern w:val="22"/>
          <w:szCs w:val="32"/>
        </w:rPr>
        <w:t>申请内容主要集中在财政预决算等领域。</w:t>
      </w:r>
      <w:r>
        <w:rPr>
          <w:rFonts w:eastAsia="仿宋_GB2312"/>
          <w:kern w:val="22"/>
          <w:szCs w:val="32"/>
        </w:rPr>
        <w:t>办结政府信息公开申请3件</w:t>
      </w:r>
      <w:r>
        <w:rPr>
          <w:rFonts w:hint="eastAsia" w:eastAsia="仿宋_GB2312"/>
          <w:kern w:val="22"/>
          <w:szCs w:val="32"/>
        </w:rPr>
        <w:t>，结转2022年继续办理1件，</w:t>
      </w:r>
      <w:r>
        <w:rPr>
          <w:rFonts w:eastAsia="仿宋_GB2312"/>
          <w:kern w:val="22"/>
          <w:szCs w:val="32"/>
        </w:rPr>
        <w:t>在办结的申请中：予以公开2件，占67%；无法提供1件，占33%。</w:t>
      </w:r>
      <w:r>
        <w:rPr>
          <w:rFonts w:hint="eastAsia" w:ascii="仿宋_GB2312" w:eastAsia="仿宋_GB2312"/>
          <w:szCs w:val="32"/>
        </w:rPr>
        <w:t>未因政府信息公开被申请行政复议、提起行政诉讼。</w:t>
      </w:r>
    </w:p>
    <w:p>
      <w:pPr>
        <w:autoSpaceDE/>
        <w:autoSpaceDN/>
        <w:snapToGrid/>
        <w:spacing w:line="240" w:lineRule="auto"/>
        <w:ind w:firstLine="640" w:firstLineChars="200"/>
        <w:jc w:val="center"/>
        <w:rPr>
          <w:rFonts w:eastAsia="仿宋_GB2312"/>
          <w:kern w:val="22"/>
          <w:szCs w:val="32"/>
        </w:rPr>
      </w:pPr>
      <w:r>
        <w:drawing>
          <wp:inline distT="0" distB="0" distL="114300" distR="114300">
            <wp:extent cx="4288155" cy="3152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301285" cy="3162159"/>
                    </a:xfrm>
                    <a:prstGeom prst="rect">
                      <a:avLst/>
                    </a:prstGeom>
                    <a:noFill/>
                    <a:ln>
                      <a:noFill/>
                    </a:ln>
                  </pic:spPr>
                </pic:pic>
              </a:graphicData>
            </a:graphic>
          </wp:inline>
        </w:drawing>
      </w:r>
    </w:p>
    <w:p>
      <w:pPr>
        <w:spacing w:line="560" w:lineRule="exact"/>
        <w:jc w:val="left"/>
        <w:rPr>
          <w:rFonts w:eastAsia="楷体_GB2312"/>
        </w:rPr>
      </w:pPr>
      <w:r>
        <w:rPr>
          <w:rFonts w:eastAsia="楷体_GB2312"/>
        </w:rPr>
        <w:t>（三）政府信息管理</w:t>
      </w:r>
    </w:p>
    <w:p>
      <w:pPr>
        <w:autoSpaceDE/>
        <w:autoSpaceDN/>
        <w:snapToGrid/>
        <w:spacing w:line="560" w:lineRule="exact"/>
        <w:ind w:firstLine="640" w:firstLineChars="200"/>
        <w:rPr>
          <w:rFonts w:eastAsia="仿宋_GB2312"/>
          <w:szCs w:val="32"/>
        </w:rPr>
      </w:pPr>
      <w:r>
        <w:rPr>
          <w:rFonts w:eastAsia="仿宋_GB2312"/>
          <w:szCs w:val="32"/>
        </w:rPr>
        <w:t>组织</w:t>
      </w:r>
      <w:r>
        <w:rPr>
          <w:rFonts w:hint="eastAsia" w:eastAsia="仿宋_GB2312"/>
          <w:szCs w:val="32"/>
        </w:rPr>
        <w:t>本机关</w:t>
      </w:r>
      <w:r>
        <w:rPr>
          <w:rFonts w:eastAsia="仿宋_GB2312"/>
          <w:szCs w:val="32"/>
        </w:rPr>
        <w:t>全体干部职工学习《政府信息公开条例》以及县政府相关文件，不断提高对推行政府信息公开重要意义的认识。着重加强县政府门户网站信息保障、公开信息保密审核，按照《高青县财政局政府信息公开流程》对信息公开的目录、流程、审核等内容做出具体规定。</w:t>
      </w:r>
    </w:p>
    <w:p>
      <w:pPr>
        <w:spacing w:line="560" w:lineRule="exact"/>
        <w:jc w:val="left"/>
        <w:rPr>
          <w:rFonts w:eastAsia="楷体_GB2312"/>
        </w:rPr>
      </w:pPr>
      <w:r>
        <w:rPr>
          <w:rFonts w:eastAsia="楷体_GB2312"/>
        </w:rPr>
        <w:t>（四）政府信息公开平台建设</w:t>
      </w:r>
    </w:p>
    <w:p>
      <w:pPr>
        <w:autoSpaceDE/>
        <w:autoSpaceDN/>
        <w:snapToGrid/>
        <w:spacing w:line="560" w:lineRule="exact"/>
        <w:ind w:firstLine="640" w:firstLineChars="200"/>
        <w:rPr>
          <w:rFonts w:eastAsia="仿宋_GB2312"/>
          <w:szCs w:val="32"/>
        </w:rPr>
      </w:pPr>
      <w:r>
        <w:rPr>
          <w:rFonts w:eastAsia="仿宋_GB2312"/>
          <w:szCs w:val="32"/>
        </w:rPr>
        <w:t>2021年，</w:t>
      </w:r>
      <w:r>
        <w:rPr>
          <w:rFonts w:hint="eastAsia" w:eastAsia="仿宋_GB2312"/>
          <w:szCs w:val="32"/>
        </w:rPr>
        <w:t>本机关</w:t>
      </w:r>
      <w:r>
        <w:rPr>
          <w:rFonts w:eastAsia="仿宋_GB2312"/>
          <w:szCs w:val="32"/>
        </w:rPr>
        <w:t>主要从高青县人民政府网站、“高青财政”微信公众号进行政府信息公开。坚持对政务公开工作人员进行教育培训，提高政务公开工作水平。</w:t>
      </w:r>
    </w:p>
    <w:p>
      <w:pPr>
        <w:spacing w:line="560" w:lineRule="exact"/>
        <w:jc w:val="left"/>
        <w:rPr>
          <w:rFonts w:eastAsia="楷体_GB2312"/>
        </w:rPr>
      </w:pPr>
      <w:r>
        <w:rPr>
          <w:rFonts w:eastAsia="楷体_GB2312"/>
        </w:rPr>
        <w:t>（五）监督保障</w:t>
      </w:r>
    </w:p>
    <w:p>
      <w:pPr>
        <w:spacing w:line="560" w:lineRule="exact"/>
        <w:jc w:val="left"/>
        <w:rPr>
          <w:rFonts w:eastAsia="仿宋_GB2312"/>
          <w:szCs w:val="32"/>
        </w:rPr>
      </w:pPr>
      <w:r>
        <w:rPr>
          <w:rFonts w:hint="eastAsia" w:eastAsia="仿宋_GB2312"/>
          <w:szCs w:val="32"/>
        </w:rPr>
        <w:t>调整政务公开领导小组，由局主要负责人任组长，局办公室作为政府信息公开工作具体科室，专人负责政务公开工作，配备3名专职人员。开展政务公开培训1次，培训主要从公开事前审查、公开事后更新等多个方面进行培训。</w:t>
      </w: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640" w:firstLineChars="200"/>
        <w:rPr>
          <w:rFonts w:eastAsia="黑体"/>
          <w:szCs w:val="32"/>
        </w:rPr>
      </w:pPr>
      <w:r>
        <w:rPr>
          <w:rFonts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黑体"/>
                <w:sz w:val="20"/>
              </w:rPr>
            </w:pPr>
            <w:r>
              <w:rPr>
                <w:rFonts w:eastAsia="宋体"/>
                <w:snapToGrid/>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2130"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本年制发件数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本年废止件数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规章</w:t>
            </w:r>
          </w:p>
        </w:tc>
        <w:tc>
          <w:tcPr>
            <w:tcW w:w="2130"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行政规范性文件</w:t>
            </w:r>
          </w:p>
        </w:tc>
        <w:tc>
          <w:tcPr>
            <w:tcW w:w="2130"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sz w:val="20"/>
              </w:rPr>
            </w:pPr>
            <w:r>
              <w:rPr>
                <w:rFonts w:eastAsia="宋体"/>
                <w:snapToGrid/>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行政许可</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sz w:val="20"/>
              </w:rPr>
            </w:pPr>
            <w:r>
              <w:rPr>
                <w:rFonts w:eastAsia="宋体"/>
                <w:snapToGrid/>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行政处罚</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行政强制</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sz w:val="20"/>
              </w:rPr>
            </w:pPr>
            <w:r>
              <w:rPr>
                <w:rFonts w:eastAsia="宋体"/>
                <w:snapToGrid/>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行政事业性收费</w:t>
            </w:r>
          </w:p>
        </w:tc>
        <w:tc>
          <w:tcPr>
            <w:tcW w:w="6392" w:type="dxa"/>
            <w:gridSpan w:val="3"/>
            <w:vAlign w:val="center"/>
          </w:tcPr>
          <w:p>
            <w:pPr>
              <w:spacing w:line="240" w:lineRule="auto"/>
              <w:ind w:firstLine="0"/>
              <w:jc w:val="center"/>
              <w:rPr>
                <w:rFonts w:eastAsia="黑体"/>
                <w:sz w:val="20"/>
              </w:rPr>
            </w:pPr>
            <w:r>
              <w:rPr>
                <w:rFonts w:eastAsia="黑体"/>
                <w:sz w:val="20"/>
              </w:rPr>
              <w:t>0</w:t>
            </w:r>
          </w:p>
        </w:tc>
      </w:tr>
    </w:tbl>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600" w:firstLineChars="200"/>
        <w:rPr>
          <w:rFonts w:eastAsia="黑体"/>
          <w:sz w:val="30"/>
          <w:szCs w:val="30"/>
        </w:rPr>
      </w:pPr>
    </w:p>
    <w:p>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商业</w:t>
            </w:r>
          </w:p>
          <w:p>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科研</w:t>
            </w:r>
          </w:p>
          <w:p>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4</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3</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1</w:t>
            </w:r>
          </w:p>
        </w:tc>
      </w:tr>
    </w:tbl>
    <w:p>
      <w:pPr>
        <w:spacing w:line="240" w:lineRule="auto"/>
        <w:ind w:firstLine="600" w:firstLineChars="200"/>
        <w:rPr>
          <w:rFonts w:eastAsia="黑体"/>
          <w:sz w:val="30"/>
          <w:szCs w:val="30"/>
        </w:rPr>
      </w:pPr>
    </w:p>
    <w:p>
      <w:pPr>
        <w:spacing w:line="240" w:lineRule="auto"/>
        <w:ind w:firstLine="600" w:firstLineChars="200"/>
        <w:rPr>
          <w:rFonts w:eastAsia="黑体"/>
          <w:sz w:val="30"/>
          <w:szCs w:val="30"/>
        </w:rPr>
      </w:pPr>
    </w:p>
    <w:p>
      <w:pPr>
        <w:spacing w:line="240" w:lineRule="auto"/>
        <w:ind w:firstLine="600" w:firstLineChars="200"/>
        <w:rPr>
          <w:rFonts w:eastAsia="黑体"/>
          <w:sz w:val="30"/>
          <w:szCs w:val="30"/>
        </w:rPr>
      </w:pPr>
    </w:p>
    <w:p>
      <w:pPr>
        <w:spacing w:line="240" w:lineRule="auto"/>
        <w:ind w:firstLine="600" w:firstLineChars="200"/>
        <w:rPr>
          <w:rFonts w:eastAsia="黑体"/>
          <w:sz w:val="30"/>
          <w:szCs w:val="30"/>
        </w:rPr>
      </w:pPr>
    </w:p>
    <w:p>
      <w:pPr>
        <w:spacing w:after="156" w:afterLines="50" w:line="240" w:lineRule="auto"/>
        <w:ind w:firstLine="640" w:firstLineChars="200"/>
        <w:rPr>
          <w:rFonts w:eastAsia="黑体"/>
          <w:sz w:val="30"/>
          <w:szCs w:val="30"/>
        </w:rPr>
      </w:pPr>
      <w:r>
        <w:rPr>
          <w:rFonts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其他</w:t>
            </w:r>
          </w:p>
          <w:p>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尚未</w:t>
            </w:r>
          </w:p>
          <w:p>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其他</w:t>
            </w:r>
          </w:p>
          <w:p>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尚未</w:t>
            </w:r>
          </w:p>
          <w:p>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其他</w:t>
            </w:r>
          </w:p>
          <w:p>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尚未</w:t>
            </w:r>
          </w:p>
          <w:p>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bl>
    <w:p>
      <w:pPr>
        <w:spacing w:line="240" w:lineRule="auto"/>
        <w:ind w:firstLine="640" w:firstLineChars="200"/>
        <w:rPr>
          <w:rFonts w:eastAsia="黑体"/>
          <w:szCs w:val="32"/>
        </w:rPr>
      </w:pPr>
    </w:p>
    <w:p>
      <w:pPr>
        <w:spacing w:line="560" w:lineRule="exact"/>
        <w:ind w:firstLine="640" w:firstLineChars="200"/>
        <w:rPr>
          <w:rFonts w:eastAsia="黑体"/>
          <w:szCs w:val="32"/>
        </w:rPr>
      </w:pPr>
      <w:r>
        <w:rPr>
          <w:rFonts w:eastAsia="黑体"/>
          <w:szCs w:val="32"/>
        </w:rPr>
        <w:t>五、存在的主要问题及改进情况</w:t>
      </w:r>
    </w:p>
    <w:p>
      <w:pPr>
        <w:spacing w:line="560" w:lineRule="exact"/>
        <w:ind w:firstLine="640" w:firstLineChars="200"/>
        <w:rPr>
          <w:rFonts w:eastAsia="楷体_GB2312"/>
          <w:szCs w:val="32"/>
        </w:rPr>
      </w:pPr>
      <w:r>
        <w:rPr>
          <w:rFonts w:eastAsia="楷体_GB2312"/>
          <w:szCs w:val="32"/>
        </w:rPr>
        <w:t>（一）存在问题</w:t>
      </w:r>
    </w:p>
    <w:p>
      <w:pPr>
        <w:autoSpaceDE/>
        <w:autoSpaceDN/>
        <w:snapToGrid/>
        <w:spacing w:line="560" w:lineRule="exact"/>
        <w:ind w:firstLine="640" w:firstLineChars="200"/>
        <w:rPr>
          <w:rFonts w:eastAsia="楷体_GB2312"/>
          <w:sz w:val="30"/>
          <w:szCs w:val="30"/>
        </w:rPr>
      </w:pPr>
      <w:r>
        <w:rPr>
          <w:rFonts w:eastAsia="仿宋_GB2312"/>
          <w:kern w:val="22"/>
          <w:szCs w:val="32"/>
        </w:rPr>
        <w:t>一是</w:t>
      </w:r>
      <w:r>
        <w:rPr>
          <w:rFonts w:eastAsia="仿宋_GB2312"/>
          <w:szCs w:val="32"/>
        </w:rPr>
        <w:t>信息公开及时性有待提高。部分财政信息，特别是涉及重大财政收支事项的信息，均需经过研究审查，在政策明确前，无法及时向社会公众公开。二是重点领域信息公开深度不够。重点领域信息公开的范围不断扩大的同时，推进公开工作的标准化建设不够、内容不全。三是主动公开政府信息意识不强，缺乏工作积极性和主动性</w:t>
      </w:r>
      <w:r>
        <w:rPr>
          <w:rFonts w:eastAsia="仿宋_GB2312"/>
          <w:kern w:val="22"/>
          <w:szCs w:val="32"/>
        </w:rPr>
        <w:t>，有时会存在应付心理，对信息公开的重要性认识不够。</w:t>
      </w:r>
    </w:p>
    <w:p>
      <w:pPr>
        <w:spacing w:line="560" w:lineRule="exact"/>
        <w:ind w:firstLine="640" w:firstLineChars="200"/>
        <w:rPr>
          <w:rFonts w:eastAsia="楷体_GB2312"/>
          <w:szCs w:val="32"/>
        </w:rPr>
      </w:pPr>
      <w:r>
        <w:rPr>
          <w:rFonts w:eastAsia="楷体_GB2312"/>
          <w:szCs w:val="32"/>
        </w:rPr>
        <w:t>（二）改进措施</w:t>
      </w:r>
    </w:p>
    <w:p>
      <w:pPr>
        <w:autoSpaceDE/>
        <w:autoSpaceDN/>
        <w:snapToGrid/>
        <w:spacing w:line="560" w:lineRule="exact"/>
        <w:ind w:firstLine="640" w:firstLineChars="200"/>
        <w:rPr>
          <w:rFonts w:eastAsia="仿宋_GB2312"/>
          <w:kern w:val="22"/>
          <w:szCs w:val="32"/>
        </w:rPr>
      </w:pPr>
      <w:r>
        <w:rPr>
          <w:rFonts w:eastAsia="仿宋_GB2312"/>
          <w:kern w:val="22"/>
          <w:szCs w:val="32"/>
        </w:rPr>
        <w:t>2022年将加强以下工作，全力推动政府信息公开工作深入开展。</w:t>
      </w:r>
    </w:p>
    <w:p>
      <w:pPr>
        <w:autoSpaceDE/>
        <w:autoSpaceDN/>
        <w:snapToGrid/>
        <w:spacing w:line="560" w:lineRule="exact"/>
        <w:ind w:firstLine="640" w:firstLineChars="200"/>
        <w:rPr>
          <w:rFonts w:eastAsia="仿宋_GB2312"/>
          <w:kern w:val="22"/>
          <w:szCs w:val="32"/>
        </w:rPr>
      </w:pPr>
      <w:r>
        <w:rPr>
          <w:rFonts w:eastAsia="仿宋_GB2312"/>
          <w:kern w:val="22"/>
          <w:szCs w:val="32"/>
        </w:rPr>
        <w:t>一是进一步加强政府信息公开工作的宣传和培训工作。加强新闻宣传，提高公众对政府信息公开的知晓率和参与度；加强学习培训，不断提高信息经办人员的业务素质和办事效率。</w:t>
      </w:r>
    </w:p>
    <w:p>
      <w:pPr>
        <w:autoSpaceDE/>
        <w:autoSpaceDN/>
        <w:snapToGrid/>
        <w:spacing w:line="560" w:lineRule="exact"/>
        <w:ind w:firstLine="640" w:firstLineChars="200"/>
        <w:rPr>
          <w:rFonts w:eastAsia="仿宋_GB2312"/>
          <w:kern w:val="22"/>
          <w:szCs w:val="32"/>
        </w:rPr>
      </w:pPr>
      <w:r>
        <w:rPr>
          <w:rFonts w:eastAsia="仿宋_GB2312"/>
          <w:kern w:val="22"/>
          <w:szCs w:val="32"/>
        </w:rPr>
        <w:t>二是加强组织领导提高重视程度。进一步明确办公室作为政务公开工作主管科室，对专职人员进行业务培训，切实做到责任到位、人员到位，保证政府信息高质量高效率公开。</w:t>
      </w:r>
    </w:p>
    <w:p>
      <w:pPr>
        <w:autoSpaceDE/>
        <w:autoSpaceDN/>
        <w:snapToGrid/>
        <w:spacing w:line="560" w:lineRule="exact"/>
        <w:ind w:firstLine="640" w:firstLineChars="200"/>
        <w:rPr>
          <w:rFonts w:eastAsia="黑体"/>
          <w:sz w:val="30"/>
          <w:szCs w:val="30"/>
        </w:rPr>
      </w:pPr>
      <w:r>
        <w:rPr>
          <w:rFonts w:eastAsia="仿宋_GB2312"/>
          <w:kern w:val="22"/>
          <w:szCs w:val="32"/>
        </w:rPr>
        <w:t>三是拓展公开渠道完善政策解读机制。坚持“以公开为</w:t>
      </w:r>
      <w:r>
        <w:rPr>
          <w:rFonts w:hint="eastAsia" w:eastAsia="仿宋_GB2312"/>
          <w:kern w:val="22"/>
          <w:szCs w:val="32"/>
          <w:lang w:eastAsia="zh-CN"/>
        </w:rPr>
        <w:t>常态</w:t>
      </w:r>
      <w:r>
        <w:rPr>
          <w:rFonts w:eastAsia="仿宋_GB2312"/>
          <w:kern w:val="22"/>
          <w:szCs w:val="32"/>
        </w:rPr>
        <w:t xml:space="preserve">，不公开为例外”，充分发挥政府网站作为政务公开第一平台作用，按时维护更新政府信息依申请公开、政府信息公开监督信箱等栏目，对政策文件做好解读工作，保障群众知情权。  </w:t>
      </w:r>
    </w:p>
    <w:p>
      <w:pPr>
        <w:spacing w:line="560" w:lineRule="exact"/>
        <w:ind w:firstLine="640" w:firstLineChars="200"/>
        <w:rPr>
          <w:rFonts w:eastAsia="黑体"/>
          <w:szCs w:val="32"/>
        </w:rPr>
      </w:pPr>
      <w:r>
        <w:rPr>
          <w:rFonts w:eastAsia="黑体"/>
          <w:szCs w:val="32"/>
        </w:rPr>
        <w:t>六、其他需要报告的事项</w:t>
      </w:r>
    </w:p>
    <w:p>
      <w:pPr>
        <w:ind w:firstLine="640" w:firstLineChars="200"/>
        <w:jc w:val="left"/>
        <w:rPr>
          <w:rFonts w:eastAsia="楷体_GB2312"/>
          <w:szCs w:val="32"/>
        </w:rPr>
      </w:pPr>
      <w:r>
        <w:rPr>
          <w:rFonts w:eastAsia="楷体_GB2312"/>
          <w:szCs w:val="32"/>
        </w:rPr>
        <w:t>（一）收取信息处理费情况</w:t>
      </w:r>
    </w:p>
    <w:p>
      <w:pPr>
        <w:autoSpaceDE/>
        <w:autoSpaceDN/>
        <w:snapToGrid/>
        <w:spacing w:line="560" w:lineRule="exact"/>
        <w:ind w:firstLine="640" w:firstLineChars="200"/>
        <w:rPr>
          <w:rFonts w:eastAsia="仿宋_GB2312"/>
          <w:szCs w:val="32"/>
        </w:rPr>
      </w:pPr>
      <w:r>
        <w:rPr>
          <w:rFonts w:eastAsia="仿宋_GB2312"/>
          <w:szCs w:val="32"/>
        </w:rPr>
        <w:t>本机关依申请提供政府信息，按照《国务院办公厅关于印发&lt;政府信息公开信息处理费管理办法&gt;的通知》（国办函〔2020〕</w:t>
      </w:r>
      <w:bookmarkStart w:id="0" w:name="_GoBack"/>
      <w:bookmarkEnd w:id="0"/>
      <w:r>
        <w:rPr>
          <w:rFonts w:eastAsia="仿宋_GB2312"/>
          <w:szCs w:val="32"/>
        </w:rPr>
        <w:t>109号）和《山东省人民政府办公厅关于做好政府信息公开信息处理费管理工作有关事项的通知》（鲁政办字〔2020〕179号）收取信息处理费。2021年，本机关依申请公开政府信息未收取任何费用。</w:t>
      </w:r>
    </w:p>
    <w:p>
      <w:pPr>
        <w:ind w:firstLine="640" w:firstLineChars="200"/>
        <w:jc w:val="left"/>
        <w:rPr>
          <w:rFonts w:eastAsia="楷体_GB2312"/>
          <w:szCs w:val="32"/>
        </w:rPr>
      </w:pPr>
      <w:r>
        <w:rPr>
          <w:rFonts w:eastAsia="楷体_GB2312"/>
          <w:szCs w:val="32"/>
        </w:rPr>
        <w:t>（二）落实上级年度政务公开工作要点情况</w:t>
      </w:r>
    </w:p>
    <w:p>
      <w:pPr>
        <w:spacing w:line="60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制定了《高青县财政局2021年政务公开工作实施方案》，并根据要点要求，重点做好财政信息领域信息公开工作</w:t>
      </w:r>
      <w:r>
        <w:rPr>
          <w:rFonts w:hint="eastAsia" w:eastAsia="仿宋_GB2312"/>
          <w:color w:val="000000" w:themeColor="text1"/>
          <w:szCs w:val="32"/>
          <w14:textFill>
            <w14:solidFill>
              <w14:schemeClr w14:val="tx1"/>
            </w14:solidFill>
          </w14:textFill>
        </w:rPr>
        <w:t>。</w:t>
      </w:r>
      <w:r>
        <w:rPr>
          <w:rFonts w:eastAsia="仿宋_GB2312"/>
          <w:color w:val="000000" w:themeColor="text1"/>
          <w14:textFill>
            <w14:solidFill>
              <w14:schemeClr w14:val="tx1"/>
            </w14:solidFill>
          </w14:textFill>
        </w:rPr>
        <w:t>一是在减税降费方面，公开《2021年高青县行政事业性收费目录清单》《2021年高青县涉企行政事业性收费目录清单》等，确保广大纳税人和缴费人应享尽享减税降费红利，推进各项减税降费政策在我县落地生效。二是在推进财政信息细化公开方面，除涉密单位和涉密信息外，将全县“全口径”2021年政府预算、部门预算、“三公”经费预算和2020年政府决算、部门决算、“三公”经费决算信息全部进行公开，并对县级“三公”经费增减变化原因进行了说明；每月定期公开财政收支信息，并对下一步形势进行预判；对高青县2021年债券发行、存续期管理等信息进行公开。三是在推进国资国企信息公开方面，</w:t>
      </w:r>
      <w:r>
        <w:rPr>
          <w:rFonts w:hint="eastAsia" w:eastAsia="仿宋_GB2312"/>
          <w:color w:val="000000" w:themeColor="text1"/>
          <w14:textFill>
            <w14:solidFill>
              <w14:schemeClr w14:val="tx1"/>
            </w14:solidFill>
          </w14:textFill>
        </w:rPr>
        <w:t>按月</w:t>
      </w:r>
      <w:r>
        <w:rPr>
          <w:rFonts w:eastAsia="仿宋_GB2312"/>
          <w:color w:val="000000" w:themeColor="text1"/>
          <w14:textFill>
            <w14:solidFill>
              <w14:schemeClr w14:val="tx1"/>
            </w14:solidFill>
          </w14:textFill>
        </w:rPr>
        <w:t>公开高青县县属</w:t>
      </w:r>
      <w:r>
        <w:rPr>
          <w:rFonts w:hint="eastAsia" w:eastAsia="仿宋_GB2312"/>
          <w:color w:val="000000" w:themeColor="text1"/>
          <w14:textFill>
            <w14:solidFill>
              <w14:schemeClr w14:val="tx1"/>
            </w14:solidFill>
          </w14:textFill>
        </w:rPr>
        <w:t>国有</w:t>
      </w:r>
      <w:r>
        <w:rPr>
          <w:rFonts w:eastAsia="仿宋_GB2312"/>
          <w:color w:val="000000" w:themeColor="text1"/>
          <w14:textFill>
            <w14:solidFill>
              <w14:schemeClr w14:val="tx1"/>
            </w14:solidFill>
          </w14:textFill>
        </w:rPr>
        <w:t>企业</w:t>
      </w:r>
      <w:r>
        <w:rPr>
          <w:rFonts w:hint="eastAsia" w:eastAsia="仿宋_GB2312"/>
          <w:color w:val="000000" w:themeColor="text1"/>
          <w14:textFill>
            <w14:solidFill>
              <w14:schemeClr w14:val="tx1"/>
            </w14:solidFill>
          </w14:textFill>
        </w:rPr>
        <w:t>经营情况</w:t>
      </w:r>
      <w:r>
        <w:rPr>
          <w:rFonts w:eastAsia="仿宋_GB2312"/>
          <w:color w:val="000000" w:themeColor="text1"/>
          <w14:textFill>
            <w14:solidFill>
              <w14:schemeClr w14:val="tx1"/>
            </w14:solidFill>
          </w14:textFill>
        </w:rPr>
        <w:t>及主要经济效益指标。</w:t>
      </w:r>
    </w:p>
    <w:p>
      <w:pPr>
        <w:ind w:firstLine="640" w:firstLineChars="200"/>
        <w:jc w:val="left"/>
        <w:rPr>
          <w:rFonts w:eastAsia="楷体_GB2312"/>
          <w:szCs w:val="32"/>
        </w:rPr>
      </w:pPr>
      <w:r>
        <w:rPr>
          <w:rFonts w:eastAsia="楷体_GB2312"/>
          <w:szCs w:val="32"/>
        </w:rPr>
        <w:t>（三）人大代表建议和政协委员提案办理结果公开情况</w:t>
      </w:r>
    </w:p>
    <w:p>
      <w:r>
        <w:rPr>
          <w:rFonts w:eastAsia="仿宋_GB2312"/>
          <w:szCs w:val="32"/>
        </w:rPr>
        <w:t>2021年，本机关共承办县十七届人大五次会议建议4件，承办县政协十四届五次会议提案6件，均在县政府网站建议提案专题集中公开建议提案人、建议提案原文、建议提案办理结果等信息。</w:t>
      </w:r>
    </w:p>
    <w:p>
      <w:pPr>
        <w:ind w:firstLine="640" w:firstLineChars="200"/>
        <w:jc w:val="left"/>
        <w:rPr>
          <w:rFonts w:eastAsia="楷体_GB2312"/>
          <w:szCs w:val="32"/>
        </w:rPr>
      </w:pPr>
      <w:r>
        <w:rPr>
          <w:rFonts w:eastAsia="楷体_GB2312"/>
          <w:szCs w:val="32"/>
        </w:rPr>
        <w:t>（四）政务公开工作创新情况</w:t>
      </w:r>
    </w:p>
    <w:p>
      <w:pPr>
        <w:spacing w:line="560" w:lineRule="exact"/>
        <w:ind w:firstLine="640" w:firstLineChars="200"/>
        <w:rPr>
          <w:rFonts w:eastAsia="仿宋_GB2312"/>
          <w:szCs w:val="32"/>
        </w:rPr>
      </w:pPr>
      <w:r>
        <w:rPr>
          <w:rFonts w:eastAsia="仿宋_GB2312"/>
          <w:szCs w:val="32"/>
        </w:rPr>
        <w:t>积极推动政策解读创新，在微信公众号“高青财政”进行青年创业扶持资金项目、高青黑牛养殖扶持政策等政策解读，并以视频、音频、图片和文字等通俗易懂的形式做好各类政策公开。</w:t>
      </w:r>
    </w:p>
    <w:p>
      <w:pPr>
        <w:ind w:firstLine="640" w:firstLineChars="200"/>
        <w:jc w:val="left"/>
        <w:rPr>
          <w:rFonts w:eastAsia="楷体_GB2312"/>
          <w:szCs w:val="32"/>
        </w:rPr>
      </w:pPr>
      <w:r>
        <w:rPr>
          <w:rFonts w:eastAsia="楷体_GB2312"/>
          <w:szCs w:val="32"/>
        </w:rPr>
        <w:t>（五）有关数据统计说明</w:t>
      </w:r>
    </w:p>
    <w:p>
      <w:pPr>
        <w:ind w:firstLine="640" w:firstLineChars="200"/>
        <w:jc w:val="left"/>
        <w:rPr>
          <w:rFonts w:eastAsia="仿宋_GB2312"/>
        </w:rPr>
      </w:pPr>
      <w:r>
        <w:rPr>
          <w:rFonts w:eastAsia="仿宋_GB2312"/>
          <w:szCs w:val="32"/>
        </w:rPr>
        <w:t>报告中所列数据可能因四舍五入原因与数据直接相加之和存在尾数差异。</w:t>
      </w:r>
    </w:p>
    <w:p>
      <w:pPr>
        <w:ind w:firstLine="600" w:firstLineChars="200"/>
        <w:jc w:val="left"/>
        <w:rPr>
          <w:rFonts w:eastAsia="楷体_GB2312"/>
          <w:sz w:val="30"/>
          <w:szCs w:val="30"/>
        </w:rPr>
      </w:pPr>
    </w:p>
    <w:p>
      <w:pPr>
        <w:spacing w:line="560" w:lineRule="exact"/>
        <w:ind w:firstLine="600" w:firstLineChars="200"/>
        <w:rPr>
          <w:rFonts w:eastAsia="楷体_GB2312"/>
          <w:sz w:val="30"/>
          <w:szCs w:val="30"/>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0561A6"/>
    <w:rsid w:val="00117733"/>
    <w:rsid w:val="00121DCF"/>
    <w:rsid w:val="00211942"/>
    <w:rsid w:val="00290375"/>
    <w:rsid w:val="002E3543"/>
    <w:rsid w:val="003B0EE3"/>
    <w:rsid w:val="00415AB1"/>
    <w:rsid w:val="004811A7"/>
    <w:rsid w:val="00591E5D"/>
    <w:rsid w:val="00660338"/>
    <w:rsid w:val="00673AC7"/>
    <w:rsid w:val="00676851"/>
    <w:rsid w:val="00704FCD"/>
    <w:rsid w:val="00710BB9"/>
    <w:rsid w:val="008C4ED2"/>
    <w:rsid w:val="009B028C"/>
    <w:rsid w:val="00A74546"/>
    <w:rsid w:val="00C04BCC"/>
    <w:rsid w:val="00C67940"/>
    <w:rsid w:val="00CB016A"/>
    <w:rsid w:val="00CC2BE7"/>
    <w:rsid w:val="00CD1D00"/>
    <w:rsid w:val="00D66B06"/>
    <w:rsid w:val="00E97A09"/>
    <w:rsid w:val="00EA0721"/>
    <w:rsid w:val="00EF5607"/>
    <w:rsid w:val="00FA216A"/>
    <w:rsid w:val="00FD5381"/>
    <w:rsid w:val="03C67AA8"/>
    <w:rsid w:val="04142FF2"/>
    <w:rsid w:val="08A85193"/>
    <w:rsid w:val="08D062B9"/>
    <w:rsid w:val="0D735465"/>
    <w:rsid w:val="119D0D03"/>
    <w:rsid w:val="13F15336"/>
    <w:rsid w:val="15CA4090"/>
    <w:rsid w:val="17C132C2"/>
    <w:rsid w:val="17EC4BEB"/>
    <w:rsid w:val="19633913"/>
    <w:rsid w:val="19B0396B"/>
    <w:rsid w:val="1A216A5B"/>
    <w:rsid w:val="1C2A383E"/>
    <w:rsid w:val="1EAD4961"/>
    <w:rsid w:val="243948BB"/>
    <w:rsid w:val="28227310"/>
    <w:rsid w:val="283C6D97"/>
    <w:rsid w:val="29EB26FB"/>
    <w:rsid w:val="2E852304"/>
    <w:rsid w:val="311C17EC"/>
    <w:rsid w:val="311D0D4C"/>
    <w:rsid w:val="35A252C5"/>
    <w:rsid w:val="370074BA"/>
    <w:rsid w:val="39D71B1E"/>
    <w:rsid w:val="3A850402"/>
    <w:rsid w:val="3AB7179E"/>
    <w:rsid w:val="3AC96C9F"/>
    <w:rsid w:val="3B585B17"/>
    <w:rsid w:val="3BF10DE2"/>
    <w:rsid w:val="3CD71855"/>
    <w:rsid w:val="3D0477FC"/>
    <w:rsid w:val="3EEE34B5"/>
    <w:rsid w:val="3F724AD0"/>
    <w:rsid w:val="40E90E51"/>
    <w:rsid w:val="41830D87"/>
    <w:rsid w:val="43CC0E50"/>
    <w:rsid w:val="44C81A04"/>
    <w:rsid w:val="45072508"/>
    <w:rsid w:val="48BD16AF"/>
    <w:rsid w:val="531E54F3"/>
    <w:rsid w:val="54492049"/>
    <w:rsid w:val="55481E36"/>
    <w:rsid w:val="55C013D0"/>
    <w:rsid w:val="58823D7B"/>
    <w:rsid w:val="59302559"/>
    <w:rsid w:val="5AC266B1"/>
    <w:rsid w:val="5CD11697"/>
    <w:rsid w:val="5D5A0E23"/>
    <w:rsid w:val="5DAB1F64"/>
    <w:rsid w:val="5DBD7190"/>
    <w:rsid w:val="60B13450"/>
    <w:rsid w:val="68866CD3"/>
    <w:rsid w:val="6C303DC2"/>
    <w:rsid w:val="76A33AA3"/>
    <w:rsid w:val="78E0091E"/>
    <w:rsid w:val="792425B9"/>
    <w:rsid w:val="7A287B21"/>
    <w:rsid w:val="7BC2655F"/>
    <w:rsid w:val="7C1E1BC0"/>
    <w:rsid w:val="7CBC0D5A"/>
    <w:rsid w:val="7E40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qFormat/>
    <w:uiPriority w:val="0"/>
    <w:pPr>
      <w:spacing w:beforeAutospacing="1" w:afterAutospacing="1"/>
      <w:jc w:val="left"/>
    </w:pPr>
    <w:rPr>
      <w:sz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qFormat/>
    <w:uiPriority w:val="99"/>
    <w:rPr>
      <w:rFonts w:ascii="Times New Roman" w:hAnsi="Times New Roman" w:eastAsia="方正仿宋_GBK" w:cs="Times New Roman"/>
      <w:snapToGrid w:val="0"/>
      <w:kern w:val="0"/>
      <w:sz w:val="18"/>
      <w:szCs w:val="18"/>
    </w:rPr>
  </w:style>
  <w:style w:type="character" w:customStyle="1" w:styleId="14">
    <w:name w:val="页脚 Char"/>
    <w:basedOn w:val="10"/>
    <w:link w:val="4"/>
    <w:qFormat/>
    <w:uiPriority w:val="99"/>
    <w:rPr>
      <w:rFonts w:ascii="Times New Roman" w:hAnsi="Times New Roman" w:eastAsia="方正仿宋_GBK" w:cs="Times New Roman"/>
      <w:snapToGrid w:val="0"/>
      <w:kern w:val="0"/>
      <w:sz w:val="18"/>
      <w:szCs w:val="18"/>
    </w:rPr>
  </w:style>
  <w:style w:type="character" w:customStyle="1" w:styleId="15">
    <w:name w:val="批注框文本 Char"/>
    <w:basedOn w:val="10"/>
    <w:link w:val="3"/>
    <w:semiHidden/>
    <w:qFormat/>
    <w:uiPriority w:val="99"/>
    <w:rPr>
      <w:rFonts w:eastAsia="方正仿宋_GBK"/>
      <w:snapToGrid w:val="0"/>
      <w:sz w:val="18"/>
      <w:szCs w:val="18"/>
    </w:rPr>
  </w:style>
  <w:style w:type="character" w:customStyle="1" w:styleId="16">
    <w:name w:val="批注文字 Char"/>
    <w:basedOn w:val="10"/>
    <w:link w:val="2"/>
    <w:semiHidden/>
    <w:qFormat/>
    <w:uiPriority w:val="99"/>
    <w:rPr>
      <w:rFonts w:eastAsia="方正仿宋_GBK"/>
      <w:snapToGrid w:val="0"/>
      <w:sz w:val="32"/>
    </w:rPr>
  </w:style>
  <w:style w:type="character" w:customStyle="1" w:styleId="17">
    <w:name w:val="批注主题 Char"/>
    <w:basedOn w:val="16"/>
    <w:link w:val="7"/>
    <w:semiHidden/>
    <w:qFormat/>
    <w:uiPriority w:val="99"/>
    <w:rPr>
      <w:rFonts w:eastAsia="方正仿宋_GBK"/>
      <w:b/>
      <w:bCs/>
      <w:snapToGrid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560</Words>
  <Characters>3193</Characters>
  <Lines>26</Lines>
  <Paragraphs>7</Paragraphs>
  <TotalTime>3</TotalTime>
  <ScaleCrop>false</ScaleCrop>
  <LinksUpToDate>false</LinksUpToDate>
  <CharactersWithSpaces>3746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W.</cp:lastModifiedBy>
  <cp:lastPrinted>2022-01-11T09:17:00Z</cp:lastPrinted>
  <dcterms:modified xsi:type="dcterms:W3CDTF">2022-01-24T01:44:49Z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14FB55E2F6674EF8A4A9D0448ED25A5F</vt:lpwstr>
  </property>
</Properties>
</file>