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1CA" w:rsidRPr="00F071CA" w:rsidRDefault="00F071CA" w:rsidP="00F071CA">
      <w:pPr>
        <w:widowControl/>
        <w:shd w:val="clear" w:color="auto" w:fill="FFFFFF"/>
        <w:spacing w:line="626" w:lineRule="atLeast"/>
        <w:jc w:val="center"/>
        <w:rPr>
          <w:rFonts w:ascii="方正小标宋简体" w:eastAsia="方正小标宋简体" w:hAnsi="微软雅黑" w:cs="宋体" w:hint="eastAsia"/>
          <w:color w:val="000000"/>
          <w:kern w:val="0"/>
          <w:sz w:val="44"/>
          <w:szCs w:val="44"/>
        </w:rPr>
      </w:pPr>
      <w:r w:rsidRPr="00F071CA">
        <w:rPr>
          <w:rFonts w:ascii="方正小标宋简体" w:eastAsia="方正小标宋简体" w:hAnsi="微软雅黑" w:cs="宋体" w:hint="eastAsia"/>
          <w:color w:val="000000"/>
          <w:kern w:val="0"/>
          <w:sz w:val="44"/>
          <w:szCs w:val="44"/>
        </w:rPr>
        <w:t>（转载）财政部山东监管局：坚持“三个全覆盖”扎紧中央财政直达资金监管“笼子”</w:t>
      </w:r>
    </w:p>
    <w:p w:rsidR="00F071CA" w:rsidRPr="00F071CA" w:rsidRDefault="00F071CA" w:rsidP="00F071CA">
      <w:pPr>
        <w:widowControl/>
        <w:shd w:val="clear" w:color="auto" w:fill="FFFFFF"/>
        <w:spacing w:line="501" w:lineRule="atLeast"/>
        <w:jc w:val="left"/>
        <w:rPr>
          <w:rFonts w:ascii="仿宋_GB2312" w:eastAsia="仿宋_GB2312" w:hAnsi="微软雅黑" w:cs="宋体" w:hint="eastAsia"/>
          <w:color w:val="000000"/>
          <w:kern w:val="0"/>
          <w:sz w:val="32"/>
          <w:szCs w:val="32"/>
        </w:rPr>
      </w:pPr>
      <w:r w:rsidRPr="00F071CA">
        <w:rPr>
          <w:rFonts w:ascii="微软雅黑" w:eastAsia="微软雅黑" w:hAnsi="微软雅黑" w:cs="宋体" w:hint="eastAsia"/>
          <w:color w:val="000000"/>
          <w:kern w:val="0"/>
          <w:sz w:val="20"/>
          <w:szCs w:val="20"/>
        </w:rPr>
        <w:t xml:space="preserve">　　</w:t>
      </w:r>
      <w:r w:rsidRPr="00F071CA">
        <w:rPr>
          <w:rFonts w:ascii="仿宋_GB2312" w:eastAsia="仿宋_GB2312" w:hAnsi="微软雅黑" w:cs="宋体" w:hint="eastAsia"/>
          <w:color w:val="000000"/>
          <w:kern w:val="0"/>
          <w:sz w:val="32"/>
          <w:szCs w:val="32"/>
        </w:rPr>
        <w:t>为推动中央财政资金直达基层落地见效、直接惠企利民，财政部山东监管局做实做好直达资金监管“三个全覆盖”，扎紧中央财政直达资金监管“藩篱”，以监管工作“严与实”，规范直达资金“管与用”，为中央直达资金进一步提升效能保驾护航。</w:t>
      </w:r>
    </w:p>
    <w:p w:rsidR="00F071CA" w:rsidRPr="00F071CA" w:rsidRDefault="00F071CA" w:rsidP="00F071CA">
      <w:pPr>
        <w:widowControl/>
        <w:shd w:val="clear" w:color="auto" w:fill="FFFFFF"/>
        <w:spacing w:line="501" w:lineRule="atLeast"/>
        <w:jc w:val="left"/>
        <w:rPr>
          <w:rFonts w:ascii="仿宋_GB2312" w:eastAsia="仿宋_GB2312" w:hAnsi="微软雅黑" w:cs="宋体" w:hint="eastAsia"/>
          <w:color w:val="000000"/>
          <w:kern w:val="0"/>
          <w:sz w:val="32"/>
          <w:szCs w:val="32"/>
        </w:rPr>
      </w:pPr>
      <w:r w:rsidRPr="00F071CA">
        <w:rPr>
          <w:rFonts w:ascii="仿宋_GB2312" w:eastAsia="仿宋_GB2312" w:hAnsi="微软雅黑" w:cs="宋体" w:hint="eastAsia"/>
          <w:color w:val="000000"/>
          <w:kern w:val="0"/>
          <w:sz w:val="32"/>
          <w:szCs w:val="32"/>
        </w:rPr>
        <w:t xml:space="preserve">　　一、责任到人，坚持所有市县全覆盖</w:t>
      </w:r>
    </w:p>
    <w:p w:rsidR="00F071CA" w:rsidRPr="00F071CA" w:rsidRDefault="00F071CA" w:rsidP="00F071CA">
      <w:pPr>
        <w:widowControl/>
        <w:shd w:val="clear" w:color="auto" w:fill="FFFFFF"/>
        <w:spacing w:line="501" w:lineRule="atLeast"/>
        <w:jc w:val="left"/>
        <w:rPr>
          <w:rFonts w:ascii="仿宋_GB2312" w:eastAsia="仿宋_GB2312" w:hAnsi="微软雅黑" w:cs="宋体" w:hint="eastAsia"/>
          <w:color w:val="000000"/>
          <w:kern w:val="0"/>
          <w:sz w:val="32"/>
          <w:szCs w:val="32"/>
        </w:rPr>
      </w:pPr>
      <w:r w:rsidRPr="00F071CA">
        <w:rPr>
          <w:rFonts w:ascii="仿宋_GB2312" w:eastAsia="仿宋_GB2312" w:hAnsi="微软雅黑" w:cs="宋体" w:hint="eastAsia"/>
          <w:color w:val="000000"/>
          <w:kern w:val="0"/>
          <w:sz w:val="32"/>
          <w:szCs w:val="32"/>
        </w:rPr>
        <w:t xml:space="preserve">　　聚焦日常监管，坚持点面结合。依托直达资金监控系统，全面提高直达资金管理、使用的规范性和有效性，确保各市县落实直达机制各项要求，推动直达资金监管工作高质量发展。一是坚持责任到人，成立“直达资金监管工作专班”。以直达</w:t>
      </w:r>
      <w:proofErr w:type="gramStart"/>
      <w:r w:rsidRPr="00F071CA">
        <w:rPr>
          <w:rFonts w:ascii="仿宋_GB2312" w:eastAsia="仿宋_GB2312" w:hAnsi="微软雅黑" w:cs="宋体" w:hint="eastAsia"/>
          <w:color w:val="000000"/>
          <w:kern w:val="0"/>
          <w:sz w:val="32"/>
          <w:szCs w:val="32"/>
        </w:rPr>
        <w:t>资金台</w:t>
      </w:r>
      <w:proofErr w:type="gramEnd"/>
      <w:r w:rsidRPr="00F071CA">
        <w:rPr>
          <w:rFonts w:ascii="仿宋_GB2312" w:eastAsia="仿宋_GB2312" w:hAnsi="微软雅黑" w:cs="宋体" w:hint="eastAsia"/>
          <w:color w:val="000000"/>
          <w:kern w:val="0"/>
          <w:sz w:val="32"/>
          <w:szCs w:val="32"/>
        </w:rPr>
        <w:t>账为基础，细化分解工作任务、将15地市本级及所辖县区的监控任务明确分工责任到人，通过日常监控、实地核查等方式，切实做好督导直达资金管理使用工作，做到线上线下</w:t>
      </w:r>
      <w:proofErr w:type="gramStart"/>
      <w:r w:rsidRPr="00F071CA">
        <w:rPr>
          <w:rFonts w:ascii="仿宋_GB2312" w:eastAsia="仿宋_GB2312" w:hAnsi="微软雅黑" w:cs="宋体" w:hint="eastAsia"/>
          <w:color w:val="000000"/>
          <w:kern w:val="0"/>
          <w:sz w:val="32"/>
          <w:szCs w:val="32"/>
        </w:rPr>
        <w:t>监控全</w:t>
      </w:r>
      <w:proofErr w:type="gramEnd"/>
      <w:r w:rsidRPr="00F071CA">
        <w:rPr>
          <w:rFonts w:ascii="仿宋_GB2312" w:eastAsia="仿宋_GB2312" w:hAnsi="微软雅黑" w:cs="宋体" w:hint="eastAsia"/>
          <w:color w:val="000000"/>
          <w:kern w:val="0"/>
          <w:sz w:val="32"/>
          <w:szCs w:val="32"/>
        </w:rPr>
        <w:t>覆盖、市县</w:t>
      </w:r>
      <w:proofErr w:type="gramStart"/>
      <w:r w:rsidRPr="00F071CA">
        <w:rPr>
          <w:rFonts w:ascii="仿宋_GB2312" w:eastAsia="仿宋_GB2312" w:hAnsi="微软雅黑" w:cs="宋体" w:hint="eastAsia"/>
          <w:color w:val="000000"/>
          <w:kern w:val="0"/>
          <w:sz w:val="32"/>
          <w:szCs w:val="32"/>
        </w:rPr>
        <w:t>监管面</w:t>
      </w:r>
      <w:proofErr w:type="gramEnd"/>
      <w:r w:rsidRPr="00F071CA">
        <w:rPr>
          <w:rFonts w:ascii="仿宋_GB2312" w:eastAsia="仿宋_GB2312" w:hAnsi="微软雅黑" w:cs="宋体" w:hint="eastAsia"/>
          <w:color w:val="000000"/>
          <w:kern w:val="0"/>
          <w:sz w:val="32"/>
          <w:szCs w:val="32"/>
        </w:rPr>
        <w:t>无死角。二是强化协同联动，搭建与市、县两级基层财政部门的直达资金监管“直通车”。建立快捷高效的“点对点”监管沟通协调机制，及时跟踪掌握直达资金分配、拨付和管理使用情况，积极向财政部反映地方一线情况，为上级完善政策、科学决策提供参考和依据。三是注重核查调研，定期选取有疑点、资金量大</w:t>
      </w:r>
      <w:r w:rsidRPr="00F071CA">
        <w:rPr>
          <w:rFonts w:ascii="仿宋_GB2312" w:eastAsia="仿宋_GB2312" w:hAnsi="微软雅黑" w:cs="宋体" w:hint="eastAsia"/>
          <w:color w:val="000000"/>
          <w:kern w:val="0"/>
          <w:sz w:val="32"/>
          <w:szCs w:val="32"/>
        </w:rPr>
        <w:lastRenderedPageBreak/>
        <w:t>的地市开展调研工作。通过现场核查和重点问题调研，以工作专报等形式提出进一步完善整改建议，多篇工作专报及调研</w:t>
      </w:r>
      <w:proofErr w:type="gramStart"/>
      <w:r w:rsidRPr="00F071CA">
        <w:rPr>
          <w:rFonts w:ascii="仿宋_GB2312" w:eastAsia="仿宋_GB2312" w:hAnsi="微软雅黑" w:cs="宋体" w:hint="eastAsia"/>
          <w:color w:val="000000"/>
          <w:kern w:val="0"/>
          <w:sz w:val="32"/>
          <w:szCs w:val="32"/>
        </w:rPr>
        <w:t>材料获</w:t>
      </w:r>
      <w:proofErr w:type="gramEnd"/>
      <w:r w:rsidRPr="00F071CA">
        <w:rPr>
          <w:rFonts w:ascii="仿宋_GB2312" w:eastAsia="仿宋_GB2312" w:hAnsi="微软雅黑" w:cs="宋体" w:hint="eastAsia"/>
          <w:color w:val="000000"/>
          <w:kern w:val="0"/>
          <w:sz w:val="32"/>
          <w:szCs w:val="32"/>
        </w:rPr>
        <w:t>部省领导批示，真正发挥日常监控“探照灯”作用。通过加强对所有市县直达资金的日常监管工作，真正做到将日常监管穿透到基层，以点带面规范直达资金管理情况，提高直达资金执行效率、发挥惠企利民实效。</w:t>
      </w:r>
    </w:p>
    <w:p w:rsidR="00F071CA" w:rsidRPr="00F071CA" w:rsidRDefault="00F071CA" w:rsidP="00F071CA">
      <w:pPr>
        <w:widowControl/>
        <w:shd w:val="clear" w:color="auto" w:fill="FFFFFF"/>
        <w:spacing w:line="501" w:lineRule="atLeast"/>
        <w:jc w:val="left"/>
        <w:rPr>
          <w:rFonts w:ascii="仿宋_GB2312" w:eastAsia="仿宋_GB2312" w:hAnsi="微软雅黑" w:cs="宋体" w:hint="eastAsia"/>
          <w:color w:val="000000"/>
          <w:kern w:val="0"/>
          <w:sz w:val="32"/>
          <w:szCs w:val="32"/>
        </w:rPr>
      </w:pPr>
      <w:r w:rsidRPr="00F071CA">
        <w:rPr>
          <w:rFonts w:ascii="仿宋_GB2312" w:eastAsia="仿宋_GB2312" w:hAnsi="微软雅黑" w:cs="宋体" w:hint="eastAsia"/>
          <w:color w:val="000000"/>
          <w:kern w:val="0"/>
          <w:sz w:val="32"/>
          <w:szCs w:val="32"/>
        </w:rPr>
        <w:t xml:space="preserve">　　二、有的放矢，坚持疑点问题全覆盖</w:t>
      </w:r>
    </w:p>
    <w:p w:rsidR="00F071CA" w:rsidRPr="00F071CA" w:rsidRDefault="00F071CA" w:rsidP="00F071CA">
      <w:pPr>
        <w:widowControl/>
        <w:shd w:val="clear" w:color="auto" w:fill="FFFFFF"/>
        <w:spacing w:line="501" w:lineRule="atLeast"/>
        <w:jc w:val="left"/>
        <w:rPr>
          <w:rFonts w:ascii="仿宋_GB2312" w:eastAsia="仿宋_GB2312" w:hAnsi="微软雅黑" w:cs="宋体" w:hint="eastAsia"/>
          <w:color w:val="000000"/>
          <w:kern w:val="0"/>
          <w:sz w:val="32"/>
          <w:szCs w:val="32"/>
        </w:rPr>
      </w:pPr>
      <w:r w:rsidRPr="00F071CA">
        <w:rPr>
          <w:rFonts w:ascii="仿宋_GB2312" w:eastAsia="仿宋_GB2312" w:hAnsi="微软雅黑" w:cs="宋体" w:hint="eastAsia"/>
          <w:color w:val="000000"/>
          <w:kern w:val="0"/>
          <w:sz w:val="32"/>
          <w:szCs w:val="32"/>
        </w:rPr>
        <w:t xml:space="preserve">　　聚焦靶向发力，坚持问题导向。基于直达资金监控系统预警规则，定期分析讨论、梳理日常监控和现场监管中发现的问题，统一疑点问题认定口径，</w:t>
      </w:r>
      <w:proofErr w:type="gramStart"/>
      <w:r w:rsidRPr="00F071CA">
        <w:rPr>
          <w:rFonts w:ascii="仿宋_GB2312" w:eastAsia="仿宋_GB2312" w:hAnsi="微软雅黑" w:cs="宋体" w:hint="eastAsia"/>
          <w:color w:val="000000"/>
          <w:kern w:val="0"/>
          <w:sz w:val="32"/>
          <w:szCs w:val="32"/>
        </w:rPr>
        <w:t>实现线</w:t>
      </w:r>
      <w:proofErr w:type="gramEnd"/>
      <w:r w:rsidRPr="00F071CA">
        <w:rPr>
          <w:rFonts w:ascii="仿宋_GB2312" w:eastAsia="仿宋_GB2312" w:hAnsi="微软雅黑" w:cs="宋体" w:hint="eastAsia"/>
          <w:color w:val="000000"/>
          <w:kern w:val="0"/>
          <w:sz w:val="32"/>
          <w:szCs w:val="32"/>
        </w:rPr>
        <w:t>上线下所有疑点问题</w:t>
      </w:r>
      <w:proofErr w:type="gramStart"/>
      <w:r w:rsidRPr="00F071CA">
        <w:rPr>
          <w:rFonts w:ascii="仿宋_GB2312" w:eastAsia="仿宋_GB2312" w:hAnsi="微软雅黑" w:cs="宋体" w:hint="eastAsia"/>
          <w:color w:val="000000"/>
          <w:kern w:val="0"/>
          <w:sz w:val="32"/>
          <w:szCs w:val="32"/>
        </w:rPr>
        <w:t>监管全</w:t>
      </w:r>
      <w:proofErr w:type="gramEnd"/>
      <w:r w:rsidRPr="00F071CA">
        <w:rPr>
          <w:rFonts w:ascii="仿宋_GB2312" w:eastAsia="仿宋_GB2312" w:hAnsi="微软雅黑" w:cs="宋体" w:hint="eastAsia"/>
          <w:color w:val="000000"/>
          <w:kern w:val="0"/>
          <w:sz w:val="32"/>
          <w:szCs w:val="32"/>
        </w:rPr>
        <w:t>覆盖。一是坚持有的放矢，认真梳理直达资金管理工作中存在的问题与薄弱环节，采取座谈学习、集中研讨等方式，精准把脉疑点问题、找准重点核查方向。统一疑点问题认定口径、规范核查工作标准，统一规程制定具体方案、明确监管工作实施细则，统一格式下发疑点《关注函》、《风险提示函》，推动直达资金监管工作高质量开展。二是用好系统预警功能，完善监管标签体系。在做好系统日常预警反馈工作的同时，综合运用动态监控系统预警信息检索功能，对系统预警热点字段和资金使用管理办法中的敏感词汇进行重点关注，通过“线上+线下”相结合的方式梳理筛查出各类疑点信息问题，第一时间督查反馈，推动日常监管工作走深走稳、落到实处。三是强化数据分析和筛查工作，建立</w:t>
      </w:r>
      <w:r w:rsidRPr="00F071CA">
        <w:rPr>
          <w:rFonts w:ascii="仿宋_GB2312" w:eastAsia="仿宋_GB2312" w:hAnsi="微软雅黑" w:cs="宋体" w:hint="eastAsia"/>
          <w:color w:val="000000"/>
          <w:kern w:val="0"/>
          <w:sz w:val="32"/>
          <w:szCs w:val="32"/>
        </w:rPr>
        <w:lastRenderedPageBreak/>
        <w:t>健全“纵向到底、横向到边”的监管体系，持续关注资金下达使用情况，对系统指标管理、线上数据与线下业务一致性、资金使用合</w:t>
      </w:r>
      <w:proofErr w:type="gramStart"/>
      <w:r w:rsidRPr="00F071CA">
        <w:rPr>
          <w:rFonts w:ascii="仿宋_GB2312" w:eastAsia="仿宋_GB2312" w:hAnsi="微软雅黑" w:cs="宋体" w:hint="eastAsia"/>
          <w:color w:val="000000"/>
          <w:kern w:val="0"/>
          <w:sz w:val="32"/>
          <w:szCs w:val="32"/>
        </w:rPr>
        <w:t>规</w:t>
      </w:r>
      <w:proofErr w:type="gramEnd"/>
      <w:r w:rsidRPr="00F071CA">
        <w:rPr>
          <w:rFonts w:ascii="仿宋_GB2312" w:eastAsia="仿宋_GB2312" w:hAnsi="微软雅黑" w:cs="宋体" w:hint="eastAsia"/>
          <w:color w:val="000000"/>
          <w:kern w:val="0"/>
          <w:sz w:val="32"/>
          <w:szCs w:val="32"/>
        </w:rPr>
        <w:t>性、落实国库管理制度要求等方面重点把控，切实做好直达资金全过程、全链条监管工作，不留监管死角。</w:t>
      </w:r>
    </w:p>
    <w:p w:rsidR="00F071CA" w:rsidRPr="00F071CA" w:rsidRDefault="00F071CA" w:rsidP="00F071CA">
      <w:pPr>
        <w:widowControl/>
        <w:shd w:val="clear" w:color="auto" w:fill="FFFFFF"/>
        <w:spacing w:line="501" w:lineRule="atLeast"/>
        <w:jc w:val="left"/>
        <w:rPr>
          <w:rFonts w:ascii="仿宋_GB2312" w:eastAsia="仿宋_GB2312" w:hAnsi="微软雅黑" w:cs="宋体" w:hint="eastAsia"/>
          <w:color w:val="000000"/>
          <w:kern w:val="0"/>
          <w:sz w:val="32"/>
          <w:szCs w:val="32"/>
        </w:rPr>
      </w:pPr>
      <w:r w:rsidRPr="00F071CA">
        <w:rPr>
          <w:rFonts w:ascii="仿宋_GB2312" w:eastAsia="仿宋_GB2312" w:hAnsi="微软雅黑" w:cs="宋体" w:hint="eastAsia"/>
          <w:color w:val="000000"/>
          <w:kern w:val="0"/>
          <w:sz w:val="32"/>
          <w:szCs w:val="32"/>
        </w:rPr>
        <w:t xml:space="preserve">　　三、结果导向，坚持整改</w:t>
      </w:r>
      <w:proofErr w:type="gramStart"/>
      <w:r w:rsidRPr="00F071CA">
        <w:rPr>
          <w:rFonts w:ascii="仿宋_GB2312" w:eastAsia="仿宋_GB2312" w:hAnsi="微软雅黑" w:cs="宋体" w:hint="eastAsia"/>
          <w:color w:val="000000"/>
          <w:kern w:val="0"/>
          <w:sz w:val="32"/>
          <w:szCs w:val="32"/>
        </w:rPr>
        <w:t>落实全</w:t>
      </w:r>
      <w:proofErr w:type="gramEnd"/>
      <w:r w:rsidRPr="00F071CA">
        <w:rPr>
          <w:rFonts w:ascii="仿宋_GB2312" w:eastAsia="仿宋_GB2312" w:hAnsi="微软雅黑" w:cs="宋体" w:hint="eastAsia"/>
          <w:color w:val="000000"/>
          <w:kern w:val="0"/>
          <w:sz w:val="32"/>
          <w:szCs w:val="32"/>
        </w:rPr>
        <w:t>覆盖</w:t>
      </w:r>
    </w:p>
    <w:p w:rsidR="00F071CA" w:rsidRPr="00F071CA" w:rsidRDefault="00F071CA" w:rsidP="00F071CA">
      <w:pPr>
        <w:widowControl/>
        <w:shd w:val="clear" w:color="auto" w:fill="FFFFFF"/>
        <w:spacing w:line="501" w:lineRule="atLeast"/>
        <w:jc w:val="left"/>
        <w:rPr>
          <w:rFonts w:ascii="仿宋_GB2312" w:eastAsia="仿宋_GB2312" w:hAnsi="微软雅黑" w:cs="宋体" w:hint="eastAsia"/>
          <w:color w:val="000000"/>
          <w:kern w:val="0"/>
          <w:sz w:val="32"/>
          <w:szCs w:val="32"/>
        </w:rPr>
      </w:pPr>
      <w:r w:rsidRPr="00F071CA">
        <w:rPr>
          <w:rFonts w:ascii="仿宋_GB2312" w:eastAsia="仿宋_GB2312" w:hAnsi="微软雅黑" w:cs="宋体" w:hint="eastAsia"/>
          <w:color w:val="000000"/>
          <w:kern w:val="0"/>
          <w:sz w:val="32"/>
          <w:szCs w:val="32"/>
        </w:rPr>
        <w:t xml:space="preserve">　　聚焦结果应用，坚持以查促改。牢固树立“以督促改、以督提效”意识，强化直达资金监管应用，突出监管成效，做到以点带面、以查促改。一是发挥监管优势，用好约谈和整改跟踪机制。向排查发现存在疑点问题的市县发放《关注函》或《风险提示函》，规范地方直达资金管理。二是强化长效监管机制，</w:t>
      </w:r>
      <w:proofErr w:type="gramStart"/>
      <w:r w:rsidRPr="00F071CA">
        <w:rPr>
          <w:rFonts w:ascii="仿宋_GB2312" w:eastAsia="仿宋_GB2312" w:hAnsi="微软雅黑" w:cs="宋体" w:hint="eastAsia"/>
          <w:color w:val="000000"/>
          <w:kern w:val="0"/>
          <w:sz w:val="32"/>
          <w:szCs w:val="32"/>
        </w:rPr>
        <w:t>对之前</w:t>
      </w:r>
      <w:proofErr w:type="gramEnd"/>
      <w:r w:rsidRPr="00F071CA">
        <w:rPr>
          <w:rFonts w:ascii="仿宋_GB2312" w:eastAsia="仿宋_GB2312" w:hAnsi="微软雅黑" w:cs="宋体" w:hint="eastAsia"/>
          <w:color w:val="000000"/>
          <w:kern w:val="0"/>
          <w:sz w:val="32"/>
          <w:szCs w:val="32"/>
        </w:rPr>
        <w:t>年度资金使用管理整改情况进行穿透监管，持续发挥工作影响力。同时，与省财政厅建立按月报送直达资金管理使用情况、文件抄送等长效工作机制，安排专人点对点沟通对接，确保工作久久为功，持久发力。三是完善制度体制、健全监管机制。将直达资金监管纳入《山东省中央转移支付资金监管工作细则》，明确管理要点，细化监管措施，构建起一套科学、严密的直达资金监管体系。在日常监管中不断总结经验做法、持续完善管理制度，精准落实直达资金监管4个“一”，即“明确一个目标，构建一套制度，搭建一个系统，建立一个机制”，抓实抓好监管工作标准化、规范化、流程化、常态化，强化激励约束、优化资源配置，促进直达资金落实到位、规范使用，确保资金“管</w:t>
      </w:r>
      <w:r w:rsidRPr="00F071CA">
        <w:rPr>
          <w:rFonts w:ascii="仿宋_GB2312" w:eastAsia="仿宋_GB2312" w:hAnsi="微软雅黑" w:cs="宋体" w:hint="eastAsia"/>
          <w:color w:val="000000"/>
          <w:kern w:val="0"/>
          <w:sz w:val="32"/>
          <w:szCs w:val="32"/>
        </w:rPr>
        <w:lastRenderedPageBreak/>
        <w:t>得严、放得活、用得准”。四是做好做实整改落实工作全覆盖，强调结果导向、坚持查改并重，做好问题整改跟踪，走好日常监控“最后一公里”。</w:t>
      </w:r>
    </w:p>
    <w:p w:rsidR="00142C7F" w:rsidRPr="00F071CA" w:rsidRDefault="00142C7F" w:rsidP="00F071CA">
      <w:pPr>
        <w:rPr>
          <w:rFonts w:ascii="仿宋_GB2312" w:eastAsia="仿宋_GB2312" w:hint="eastAsia"/>
          <w:sz w:val="32"/>
          <w:szCs w:val="32"/>
        </w:rPr>
      </w:pPr>
    </w:p>
    <w:sectPr w:rsidR="00142C7F" w:rsidRPr="00F071CA" w:rsidSect="00142C7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26C80"/>
    <w:rsid w:val="00126C80"/>
    <w:rsid w:val="00142C7F"/>
    <w:rsid w:val="00F071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C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1295550">
      <w:bodyDiv w:val="1"/>
      <w:marLeft w:val="0"/>
      <w:marRight w:val="0"/>
      <w:marTop w:val="0"/>
      <w:marBottom w:val="0"/>
      <w:divBdr>
        <w:top w:val="none" w:sz="0" w:space="0" w:color="auto"/>
        <w:left w:val="none" w:sz="0" w:space="0" w:color="auto"/>
        <w:bottom w:val="none" w:sz="0" w:space="0" w:color="auto"/>
        <w:right w:val="none" w:sz="0" w:space="0" w:color="auto"/>
      </w:divBdr>
      <w:divsChild>
        <w:div w:id="1964191972">
          <w:marLeft w:val="0"/>
          <w:marRight w:val="0"/>
          <w:marTop w:val="0"/>
          <w:marBottom w:val="0"/>
          <w:divBdr>
            <w:top w:val="none" w:sz="0" w:space="0" w:color="auto"/>
            <w:left w:val="none" w:sz="0" w:space="0" w:color="auto"/>
            <w:bottom w:val="single" w:sz="4" w:space="6" w:color="DDDDDD"/>
            <w:right w:val="none" w:sz="0" w:space="0" w:color="auto"/>
          </w:divBdr>
        </w:div>
        <w:div w:id="403260884">
          <w:marLeft w:val="0"/>
          <w:marRight w:val="0"/>
          <w:marTop w:val="125"/>
          <w:marBottom w:val="0"/>
          <w:divBdr>
            <w:top w:val="none" w:sz="0" w:space="0" w:color="auto"/>
            <w:left w:val="none" w:sz="0" w:space="0" w:color="auto"/>
            <w:bottom w:val="none" w:sz="0" w:space="0" w:color="auto"/>
            <w:right w:val="none" w:sz="0" w:space="0" w:color="auto"/>
          </w:divBdr>
          <w:divsChild>
            <w:div w:id="123810637">
              <w:marLeft w:val="0"/>
              <w:marRight w:val="0"/>
              <w:marTop w:val="0"/>
              <w:marBottom w:val="0"/>
              <w:divBdr>
                <w:top w:val="none" w:sz="0" w:space="0" w:color="auto"/>
                <w:left w:val="none" w:sz="0" w:space="0" w:color="auto"/>
                <w:bottom w:val="none" w:sz="0" w:space="0" w:color="auto"/>
                <w:right w:val="none" w:sz="0" w:space="0" w:color="auto"/>
              </w:divBdr>
              <w:divsChild>
                <w:div w:id="658776292">
                  <w:marLeft w:val="0"/>
                  <w:marRight w:val="0"/>
                  <w:marTop w:val="0"/>
                  <w:marBottom w:val="0"/>
                  <w:divBdr>
                    <w:top w:val="none" w:sz="0" w:space="0" w:color="auto"/>
                    <w:left w:val="none" w:sz="0" w:space="0" w:color="auto"/>
                    <w:bottom w:val="none" w:sz="0" w:space="0" w:color="auto"/>
                    <w:right w:val="none" w:sz="0" w:space="0" w:color="auto"/>
                  </w:divBdr>
                </w:div>
                <w:div w:id="1493988886">
                  <w:marLeft w:val="0"/>
                  <w:marRight w:val="0"/>
                  <w:marTop w:val="0"/>
                  <w:marBottom w:val="0"/>
                  <w:divBdr>
                    <w:top w:val="none" w:sz="0" w:space="0" w:color="auto"/>
                    <w:left w:val="none" w:sz="0" w:space="0" w:color="auto"/>
                    <w:bottom w:val="none" w:sz="0" w:space="0" w:color="auto"/>
                    <w:right w:val="none" w:sz="0" w:space="0" w:color="auto"/>
                  </w:divBdr>
                </w:div>
                <w:div w:id="1584684452">
                  <w:marLeft w:val="0"/>
                  <w:marRight w:val="0"/>
                  <w:marTop w:val="0"/>
                  <w:marBottom w:val="0"/>
                  <w:divBdr>
                    <w:top w:val="none" w:sz="0" w:space="0" w:color="auto"/>
                    <w:left w:val="none" w:sz="0" w:space="0" w:color="auto"/>
                    <w:bottom w:val="none" w:sz="0" w:space="0" w:color="auto"/>
                    <w:right w:val="none" w:sz="0" w:space="0" w:color="auto"/>
                  </w:divBdr>
                </w:div>
                <w:div w:id="1932279037">
                  <w:marLeft w:val="0"/>
                  <w:marRight w:val="0"/>
                  <w:marTop w:val="0"/>
                  <w:marBottom w:val="0"/>
                  <w:divBdr>
                    <w:top w:val="none" w:sz="0" w:space="0" w:color="auto"/>
                    <w:left w:val="none" w:sz="0" w:space="0" w:color="auto"/>
                    <w:bottom w:val="none" w:sz="0" w:space="0" w:color="auto"/>
                    <w:right w:val="none" w:sz="0" w:space="0" w:color="auto"/>
                  </w:divBdr>
                </w:div>
                <w:div w:id="1092042306">
                  <w:marLeft w:val="0"/>
                  <w:marRight w:val="0"/>
                  <w:marTop w:val="0"/>
                  <w:marBottom w:val="0"/>
                  <w:divBdr>
                    <w:top w:val="none" w:sz="0" w:space="0" w:color="auto"/>
                    <w:left w:val="none" w:sz="0" w:space="0" w:color="auto"/>
                    <w:bottom w:val="none" w:sz="0" w:space="0" w:color="auto"/>
                    <w:right w:val="none" w:sz="0" w:space="0" w:color="auto"/>
                  </w:divBdr>
                </w:div>
                <w:div w:id="2031448031">
                  <w:marLeft w:val="0"/>
                  <w:marRight w:val="0"/>
                  <w:marTop w:val="0"/>
                  <w:marBottom w:val="0"/>
                  <w:divBdr>
                    <w:top w:val="none" w:sz="0" w:space="0" w:color="auto"/>
                    <w:left w:val="none" w:sz="0" w:space="0" w:color="auto"/>
                    <w:bottom w:val="none" w:sz="0" w:space="0" w:color="auto"/>
                    <w:right w:val="none" w:sz="0" w:space="0" w:color="auto"/>
                  </w:divBdr>
                </w:div>
                <w:div w:id="155110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967026">
      <w:bodyDiv w:val="1"/>
      <w:marLeft w:val="0"/>
      <w:marRight w:val="0"/>
      <w:marTop w:val="0"/>
      <w:marBottom w:val="0"/>
      <w:divBdr>
        <w:top w:val="none" w:sz="0" w:space="0" w:color="auto"/>
        <w:left w:val="none" w:sz="0" w:space="0" w:color="auto"/>
        <w:bottom w:val="none" w:sz="0" w:space="0" w:color="auto"/>
        <w:right w:val="none" w:sz="0" w:space="0" w:color="auto"/>
      </w:divBdr>
      <w:divsChild>
        <w:div w:id="878516114">
          <w:marLeft w:val="0"/>
          <w:marRight w:val="0"/>
          <w:marTop w:val="0"/>
          <w:marBottom w:val="0"/>
          <w:divBdr>
            <w:top w:val="none" w:sz="0" w:space="0" w:color="auto"/>
            <w:left w:val="none" w:sz="0" w:space="0" w:color="auto"/>
            <w:bottom w:val="single" w:sz="4" w:space="6" w:color="DDDDDD"/>
            <w:right w:val="none" w:sz="0" w:space="0" w:color="auto"/>
          </w:divBdr>
        </w:div>
        <w:div w:id="1287347086">
          <w:marLeft w:val="0"/>
          <w:marRight w:val="0"/>
          <w:marTop w:val="125"/>
          <w:marBottom w:val="0"/>
          <w:divBdr>
            <w:top w:val="none" w:sz="0" w:space="0" w:color="auto"/>
            <w:left w:val="none" w:sz="0" w:space="0" w:color="auto"/>
            <w:bottom w:val="none" w:sz="0" w:space="0" w:color="auto"/>
            <w:right w:val="none" w:sz="0" w:space="0" w:color="auto"/>
          </w:divBdr>
          <w:divsChild>
            <w:div w:id="1730810917">
              <w:marLeft w:val="0"/>
              <w:marRight w:val="0"/>
              <w:marTop w:val="0"/>
              <w:marBottom w:val="0"/>
              <w:divBdr>
                <w:top w:val="none" w:sz="0" w:space="0" w:color="auto"/>
                <w:left w:val="none" w:sz="0" w:space="0" w:color="auto"/>
                <w:bottom w:val="none" w:sz="0" w:space="0" w:color="auto"/>
                <w:right w:val="none" w:sz="0" w:space="0" w:color="auto"/>
              </w:divBdr>
              <w:divsChild>
                <w:div w:id="1271430055">
                  <w:marLeft w:val="0"/>
                  <w:marRight w:val="0"/>
                  <w:marTop w:val="0"/>
                  <w:marBottom w:val="0"/>
                  <w:divBdr>
                    <w:top w:val="none" w:sz="0" w:space="0" w:color="auto"/>
                    <w:left w:val="none" w:sz="0" w:space="0" w:color="auto"/>
                    <w:bottom w:val="none" w:sz="0" w:space="0" w:color="auto"/>
                    <w:right w:val="none" w:sz="0" w:space="0" w:color="auto"/>
                  </w:divBdr>
                </w:div>
                <w:div w:id="1532500077">
                  <w:marLeft w:val="0"/>
                  <w:marRight w:val="0"/>
                  <w:marTop w:val="0"/>
                  <w:marBottom w:val="0"/>
                  <w:divBdr>
                    <w:top w:val="none" w:sz="0" w:space="0" w:color="auto"/>
                    <w:left w:val="none" w:sz="0" w:space="0" w:color="auto"/>
                    <w:bottom w:val="none" w:sz="0" w:space="0" w:color="auto"/>
                    <w:right w:val="none" w:sz="0" w:space="0" w:color="auto"/>
                  </w:divBdr>
                </w:div>
                <w:div w:id="423382204">
                  <w:marLeft w:val="0"/>
                  <w:marRight w:val="0"/>
                  <w:marTop w:val="0"/>
                  <w:marBottom w:val="0"/>
                  <w:divBdr>
                    <w:top w:val="none" w:sz="0" w:space="0" w:color="auto"/>
                    <w:left w:val="none" w:sz="0" w:space="0" w:color="auto"/>
                    <w:bottom w:val="none" w:sz="0" w:space="0" w:color="auto"/>
                    <w:right w:val="none" w:sz="0" w:space="0" w:color="auto"/>
                  </w:divBdr>
                </w:div>
                <w:div w:id="1425884403">
                  <w:marLeft w:val="0"/>
                  <w:marRight w:val="0"/>
                  <w:marTop w:val="0"/>
                  <w:marBottom w:val="0"/>
                  <w:divBdr>
                    <w:top w:val="none" w:sz="0" w:space="0" w:color="auto"/>
                    <w:left w:val="none" w:sz="0" w:space="0" w:color="auto"/>
                    <w:bottom w:val="none" w:sz="0" w:space="0" w:color="auto"/>
                    <w:right w:val="none" w:sz="0" w:space="0" w:color="auto"/>
                  </w:divBdr>
                </w:div>
                <w:div w:id="992488421">
                  <w:marLeft w:val="0"/>
                  <w:marRight w:val="0"/>
                  <w:marTop w:val="0"/>
                  <w:marBottom w:val="0"/>
                  <w:divBdr>
                    <w:top w:val="none" w:sz="0" w:space="0" w:color="auto"/>
                    <w:left w:val="none" w:sz="0" w:space="0" w:color="auto"/>
                    <w:bottom w:val="none" w:sz="0" w:space="0" w:color="auto"/>
                    <w:right w:val="none" w:sz="0" w:space="0" w:color="auto"/>
                  </w:divBdr>
                </w:div>
                <w:div w:id="1939210291">
                  <w:marLeft w:val="0"/>
                  <w:marRight w:val="0"/>
                  <w:marTop w:val="0"/>
                  <w:marBottom w:val="0"/>
                  <w:divBdr>
                    <w:top w:val="none" w:sz="0" w:space="0" w:color="auto"/>
                    <w:left w:val="none" w:sz="0" w:space="0" w:color="auto"/>
                    <w:bottom w:val="none" w:sz="0" w:space="0" w:color="auto"/>
                    <w:right w:val="none" w:sz="0" w:space="0" w:color="auto"/>
                  </w:divBdr>
                </w:div>
                <w:div w:id="752162904">
                  <w:marLeft w:val="0"/>
                  <w:marRight w:val="0"/>
                  <w:marTop w:val="0"/>
                  <w:marBottom w:val="0"/>
                  <w:divBdr>
                    <w:top w:val="none" w:sz="0" w:space="0" w:color="auto"/>
                    <w:left w:val="none" w:sz="0" w:space="0" w:color="auto"/>
                    <w:bottom w:val="none" w:sz="0" w:space="0" w:color="auto"/>
                    <w:right w:val="none" w:sz="0" w:space="0" w:color="auto"/>
                  </w:divBdr>
                </w:div>
                <w:div w:id="165484381">
                  <w:marLeft w:val="0"/>
                  <w:marRight w:val="0"/>
                  <w:marTop w:val="0"/>
                  <w:marBottom w:val="0"/>
                  <w:divBdr>
                    <w:top w:val="none" w:sz="0" w:space="0" w:color="auto"/>
                    <w:left w:val="none" w:sz="0" w:space="0" w:color="auto"/>
                    <w:bottom w:val="none" w:sz="0" w:space="0" w:color="auto"/>
                    <w:right w:val="none" w:sz="0" w:space="0" w:color="auto"/>
                  </w:divBdr>
                </w:div>
                <w:div w:id="1575316142">
                  <w:marLeft w:val="0"/>
                  <w:marRight w:val="0"/>
                  <w:marTop w:val="0"/>
                  <w:marBottom w:val="0"/>
                  <w:divBdr>
                    <w:top w:val="none" w:sz="0" w:space="0" w:color="auto"/>
                    <w:left w:val="none" w:sz="0" w:space="0" w:color="auto"/>
                    <w:bottom w:val="none" w:sz="0" w:space="0" w:color="auto"/>
                    <w:right w:val="none" w:sz="0" w:space="0" w:color="auto"/>
                  </w:divBdr>
                </w:div>
                <w:div w:id="910777699">
                  <w:marLeft w:val="0"/>
                  <w:marRight w:val="0"/>
                  <w:marTop w:val="0"/>
                  <w:marBottom w:val="0"/>
                  <w:divBdr>
                    <w:top w:val="none" w:sz="0" w:space="0" w:color="auto"/>
                    <w:left w:val="none" w:sz="0" w:space="0" w:color="auto"/>
                    <w:bottom w:val="none" w:sz="0" w:space="0" w:color="auto"/>
                    <w:right w:val="none" w:sz="0" w:space="0" w:color="auto"/>
                  </w:divBdr>
                </w:div>
                <w:div w:id="1325233777">
                  <w:marLeft w:val="0"/>
                  <w:marRight w:val="0"/>
                  <w:marTop w:val="0"/>
                  <w:marBottom w:val="0"/>
                  <w:divBdr>
                    <w:top w:val="none" w:sz="0" w:space="0" w:color="auto"/>
                    <w:left w:val="none" w:sz="0" w:space="0" w:color="auto"/>
                    <w:bottom w:val="none" w:sz="0" w:space="0" w:color="auto"/>
                    <w:right w:val="none" w:sz="0" w:space="0" w:color="auto"/>
                  </w:divBdr>
                </w:div>
                <w:div w:id="1751388948">
                  <w:marLeft w:val="0"/>
                  <w:marRight w:val="0"/>
                  <w:marTop w:val="0"/>
                  <w:marBottom w:val="0"/>
                  <w:divBdr>
                    <w:top w:val="none" w:sz="0" w:space="0" w:color="auto"/>
                    <w:left w:val="none" w:sz="0" w:space="0" w:color="auto"/>
                    <w:bottom w:val="none" w:sz="0" w:space="0" w:color="auto"/>
                    <w:right w:val="none" w:sz="0" w:space="0" w:color="auto"/>
                  </w:divBdr>
                </w:div>
                <w:div w:id="204952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Lenoco</dc:creator>
  <cp:lastModifiedBy>Lenoco</cp:lastModifiedBy>
  <cp:revision>2</cp:revision>
  <dcterms:created xsi:type="dcterms:W3CDTF">2022-11-17T08:48:00Z</dcterms:created>
  <dcterms:modified xsi:type="dcterms:W3CDTF">2022-11-17T08:48:00Z</dcterms:modified>
</cp:coreProperties>
</file>