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高青县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2016年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本报告由高青县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财政局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按照《中华人民共和国政府信息公开条例》（以下简称《条例》）和《山东省政府信息公开办法》要求编制，报告中所列数据的统计期限是2016年1月1日至12月31日，报告电子版可在高青县人民政府门户网站（www.gaoqing.gov.cn）查阅和下载。如对报告内容有疑问，请与高青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财政局办公室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联系（地址：高青县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高苑路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15号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；邮编：256300；电话：0533-696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2293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；传真：0533-696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2296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一、概述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2016年，高青县认真贯彻落实党的十八大及十八届三中、四中、五中、六中全会和习近平总书记系列重要讲话精神，按照《条例》、《国务院办公厅关于印发2016年政务公开工作要点的通知》（国办发〔2016〕19号）、《山东省人民政府办公厅关于印发2016年山东省政务公开工作要点的通知》（鲁政办发〔2016〕23号）、《淄博市人民政府办公厅关于印发淄博市2016年政务公开工作要点的通知》（淄政办字〔2016〕85号）要求，紧紧围绕县委、县政府重大决策部署和公众关切，进一步细化政府信息公开工作任务，加大公开力度，增强公开实效，切实保障人民群众知情权、参与权、表达权和监督权，助力深化改革、经济发展、民生改善和政府建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  <w:t>（一）加强组织领导。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局办公室牵头做好政府信息公开工作，确定一位局领导分管，建立健全协调机制，明确责任分工，切实抓好工作落实。局办公室积极发挥政府信息公开工作职责，具体负责组织协调、指导推进、监督检查全局政府信息公开工作。各科室、单位进一步理顺机制，明确工作机构，配齐配强专职工作人员，加强政府信息公开工作经费保障，为工作顺利开展提供了保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  <w:t>（二）强化制度落实。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我局制定了主动公开、依申请公开、信息公开属性源头认定、发布协调、保密审查、虚假或不完整信息澄清、责任追究、评议考核等9项政府信息公开工作制度。2016年，按照《高青县人民政府关于全面推进政务公开的意见》（高政发〔2016〕12号）、《高青县人民政府办公室关于印发高青县2016年政务公开工作要点的通知》（高政办字〔2016〕32号）等文件要求，在实际工作中，把各项制度落到实处，确保政府信息公开工作制度化、规范化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  <w:t>（三）加强解读回应。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探索建立政策解读机制,明确解读范围,强化解读责任,规范解读程序。建立舆情收集、研判、报告和回应机制。进一步加强政府与群众的互动交流，通过“政民互动平台”，解决群众问题，回应社会关切，征求意见建议，消除不实传言，正面引导舆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2016年，我局主动公开政府信息共24条。其中，财政业务工作政策法规4条，涉及资金信息的财政预算决算报告3条，其他17条。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三、依申请公开政府信息情况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  <w:t>（一）依申请公开情况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2016年，未有公民、法人或其他组织提出政府信息公开申请。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  <w:t>（二）收费及减免情况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我局在政府信息公开申请办理过程中，暂未收取任何费用。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四、涉及政府信息公开的复议诉讼和举报情况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2016年，没有发生因政府信息公开申请行政复议、提起行政诉讼的情况。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五、存在的不足及改进措施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2016年，我局政府信息公开工作虽然取得了一定的成效，但离省、市、县政府的要求还有一定的差距和不足，与社会公众的需求相比仍有很大距离，主要表现为：依申请工作需要进一步规范；政策解读工作需要进一步加强；政府信息公开制度机制落实情况需要进一步提高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2017年，我局将重点抓好以下几方面工作：一是深入贯彻落实中办、国办《关于全面推进政务公开工作的意见》精神，坚持以公开为常态、不公开为例外，推进行政决策公开、执行公开、管理公开、服务公开和结果公开，推动简政放权、放管结合、优化服务改革，增强政府公信力和执行力，保障人民群众知情权、参与权、表达权、监督权。二是加强政策解读，将政策解读与政策制定工作同步考虑，同步安排。注重运用数字化、图表图解、音频视频等方式，提高政策解读的针对性、科学性、权威性。三是进一步规范依申请公开工作，加强业务指导，改进申请办理方式，提高依法依规办理工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附：2016年度高青县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财政局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信息公开工作情况统计表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高青县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2017年3月24日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  <w:sz w:val="36"/>
          <w:szCs w:val="36"/>
        </w:rPr>
        <w:t>2016年度高青县</w:t>
      </w:r>
      <w:r>
        <w:rPr>
          <w:rFonts w:hint="eastAsia" w:ascii="Times New Roman" w:hAnsi="Times New Roman" w:eastAsia="宋体" w:cs="Times New Roman"/>
          <w:b w:val="0"/>
          <w:bCs/>
          <w:sz w:val="36"/>
          <w:szCs w:val="36"/>
          <w:lang w:eastAsia="zh-CN"/>
        </w:rPr>
        <w:t>财政局</w:t>
      </w:r>
      <w:r>
        <w:rPr>
          <w:rFonts w:hint="default" w:ascii="Times New Roman" w:hAnsi="Times New Roman" w:eastAsia="宋体" w:cs="Times New Roman"/>
          <w:b w:val="0"/>
          <w:bCs/>
          <w:sz w:val="36"/>
          <w:szCs w:val="36"/>
        </w:rPr>
        <w:t>信息公开工作情况统计表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</w:pPr>
    </w:p>
    <w:tbl>
      <w:tblPr>
        <w:tblStyle w:val="6"/>
        <w:tblW w:w="9742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307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85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（一）主动公开政府信息数（不同渠道和方式公开相同信息计1条）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85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85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（一）纸质文件数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（二）电子文件数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（一）区县政府及其部门门户网站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（二）乡镇政府（街道办事处）门户网站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00" w:firstLineChars="50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（一）公报发行期数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（一）区县政府及其部门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（二）乡镇政府（街道办事处）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（一）区县政府及其部门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（二）乡镇政府（街道办事处）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（二）从事政府信息公开工作人员数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（三）政府信息公开专项经费（不包括政府公报编辑管理及政府网站建设）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 w:val="0"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181D5304"/>
    <w:rsid w:val="2C246BC1"/>
    <w:rsid w:val="3F36057E"/>
    <w:rsid w:val="415D10F2"/>
    <w:rsid w:val="4546062D"/>
    <w:rsid w:val="72A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7</Pages>
  <Words>2841</Words>
  <Characters>2988</Characters>
  <Lines>17</Lines>
  <Paragraphs>4</Paragraphs>
  <TotalTime>15</TotalTime>
  <ScaleCrop>false</ScaleCrop>
  <LinksUpToDate>false</LinksUpToDate>
  <CharactersWithSpaces>3317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Yoon</cp:lastModifiedBy>
  <cp:lastPrinted>2017-03-24T01:56:00Z</cp:lastPrinted>
  <dcterms:modified xsi:type="dcterms:W3CDTF">2020-06-30T08:19:45Z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