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rPr>
        <w:t>高青县</w:t>
      </w:r>
      <w:r>
        <w:rPr>
          <w:rFonts w:hint="default" w:ascii="Times New Roman" w:hAnsi="Times New Roman" w:eastAsia="方正小标宋简体" w:cs="Times New Roman"/>
          <w:b w:val="0"/>
          <w:bCs/>
          <w:sz w:val="44"/>
          <w:szCs w:val="44"/>
          <w:lang w:eastAsia="zh-CN"/>
        </w:rPr>
        <w:t>财政局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2017年</w:t>
      </w:r>
      <w:r>
        <w:rPr>
          <w:rFonts w:hint="default" w:ascii="Times New Roman" w:hAnsi="Times New Roman" w:eastAsia="方正小标宋简体" w:cs="Times New Roman"/>
          <w:b w:val="0"/>
          <w:bCs/>
          <w:sz w:val="44"/>
          <w:szCs w:val="44"/>
          <w:lang w:eastAsia="zh-CN"/>
        </w:rPr>
        <w:t>度</w:t>
      </w:r>
      <w:r>
        <w:rPr>
          <w:rFonts w:hint="default" w:ascii="Times New Roman" w:hAnsi="Times New Roman" w:eastAsia="方正小标宋简体" w:cs="Times New Roman"/>
          <w:b w:val="0"/>
          <w:bCs/>
          <w:sz w:val="44"/>
          <w:szCs w:val="44"/>
        </w:rPr>
        <w:t>政府信息公开工作年度报告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本报告按照《中华人民共和国政府信息公开条例》（以下简称《条例》）和《山东省政府信息公开办法》（以下简称《办法》）规定</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rPr>
        <w:t>由</w:t>
      </w:r>
      <w:r>
        <w:rPr>
          <w:rFonts w:hint="default" w:ascii="Times New Roman" w:hAnsi="Times New Roman" w:eastAsia="仿宋_GB2312" w:cs="Times New Roman"/>
          <w:color w:val="auto"/>
          <w:sz w:val="32"/>
          <w:szCs w:val="32"/>
          <w:u w:val="none"/>
          <w:lang w:eastAsia="zh-CN"/>
        </w:rPr>
        <w:t>高青县财政局根据本单位</w:t>
      </w:r>
      <w:r>
        <w:rPr>
          <w:rFonts w:hint="default" w:ascii="Times New Roman" w:hAnsi="Times New Roman" w:eastAsia="仿宋_GB2312" w:cs="Times New Roman"/>
          <w:color w:val="auto"/>
          <w:sz w:val="32"/>
          <w:szCs w:val="32"/>
          <w:u w:val="none"/>
        </w:rPr>
        <w:t>信息公开工作情况编制。</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报告全文由概述、主动公开政府信息情况、依申请公开政府信息情况、政府信息公开复议诉讼和举报情况、政府信息公开工作机构和人员情况、存在的不足及改进措施六个部分组成，并附有相关统计表格。</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报告中所列数据统计期限自2017年1月1日始，至2017年12月31日止。报告电子版可在高青县人民政府门户网站（www.gaoqing.gov.cn）查阅和下载。如对报告内容有疑问，请与高青县</w:t>
      </w:r>
      <w:r>
        <w:rPr>
          <w:rFonts w:hint="default" w:ascii="Times New Roman" w:hAnsi="Times New Roman" w:eastAsia="仿宋_GB2312" w:cs="Times New Roman"/>
          <w:sz w:val="32"/>
          <w:szCs w:val="32"/>
          <w:lang w:eastAsia="zh-CN"/>
        </w:rPr>
        <w:t>财政局办公室</w:t>
      </w:r>
      <w:r>
        <w:rPr>
          <w:rFonts w:hint="default" w:ascii="Times New Roman" w:hAnsi="Times New Roman" w:eastAsia="仿宋_GB2312" w:cs="Times New Roman"/>
          <w:sz w:val="32"/>
          <w:szCs w:val="32"/>
        </w:rPr>
        <w:t>（地址：高青县</w:t>
      </w:r>
      <w:r>
        <w:rPr>
          <w:rFonts w:hint="default" w:ascii="Times New Roman" w:hAnsi="Times New Roman" w:eastAsia="仿宋_GB2312" w:cs="Times New Roman"/>
          <w:sz w:val="32"/>
          <w:szCs w:val="32"/>
          <w:lang w:eastAsia="zh-CN"/>
        </w:rPr>
        <w:t>高苑路</w:t>
      </w:r>
      <w:r>
        <w:rPr>
          <w:rFonts w:hint="default" w:ascii="Times New Roman" w:hAnsi="Times New Roman" w:eastAsia="仿宋_GB2312" w:cs="Times New Roman"/>
          <w:sz w:val="32"/>
          <w:szCs w:val="32"/>
          <w:lang w:val="en-US" w:eastAsia="zh-CN"/>
        </w:rPr>
        <w:t>15号</w:t>
      </w:r>
      <w:r>
        <w:rPr>
          <w:rFonts w:hint="default" w:ascii="Times New Roman" w:hAnsi="Times New Roman" w:eastAsia="仿宋_GB2312" w:cs="Times New Roman"/>
          <w:sz w:val="32"/>
          <w:szCs w:val="32"/>
        </w:rPr>
        <w:t>；邮编：256300；电话：0533-696</w:t>
      </w:r>
      <w:r>
        <w:rPr>
          <w:rFonts w:hint="default" w:ascii="Times New Roman" w:hAnsi="Times New Roman" w:eastAsia="仿宋_GB2312" w:cs="Times New Roman"/>
          <w:sz w:val="32"/>
          <w:szCs w:val="32"/>
          <w:lang w:val="en-US" w:eastAsia="zh-CN"/>
        </w:rPr>
        <w:t>2293</w:t>
      </w:r>
      <w:r>
        <w:rPr>
          <w:rFonts w:hint="default" w:ascii="Times New Roman" w:hAnsi="Times New Roman" w:eastAsia="仿宋_GB2312" w:cs="Times New Roman"/>
          <w:sz w:val="32"/>
          <w:szCs w:val="32"/>
        </w:rPr>
        <w:t>；传真：0533-696</w:t>
      </w:r>
      <w:r>
        <w:rPr>
          <w:rFonts w:hint="default" w:ascii="Times New Roman" w:hAnsi="Times New Roman" w:eastAsia="仿宋_GB2312" w:cs="Times New Roman"/>
          <w:sz w:val="32"/>
          <w:szCs w:val="32"/>
          <w:lang w:val="en-US" w:eastAsia="zh-CN"/>
        </w:rPr>
        <w:t>2296</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黑体" w:cs="Times New Roman"/>
          <w:b w:val="0"/>
          <w:bCs/>
          <w:color w:val="auto"/>
          <w:sz w:val="32"/>
          <w:szCs w:val="32"/>
        </w:rPr>
        <w:t>一、概述</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高青县财政局认真贯彻落实党的十九大精神，以落实国务院办公厅《关于印发2017年政务公开工作要点的通知》（国办发〔2017〕24号）、省政府办公厅《关于印发2017年山东省政务公开工作要点的通知》（鲁政办发〔2017〕39号）市政府办公厅《关于印发2017年淄博市政务公开工作要点的通知》（淄政办发〔2017〕17号）和县府办《关于印发高青县2017年政务公开工作要点的通知》等文件为重点，坚持改革创新和需求导向，建立健全局政务公开制度体系，全面推进决策、执行、管理、服务、结果公开，积极回应社会关切和公众期盼，全力保障人民群众的知情权、参与权和监督权。</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（一）加强组织领导，优化队伍建设。</w:t>
      </w:r>
      <w:r>
        <w:rPr>
          <w:rFonts w:hint="default" w:ascii="Times New Roman" w:hAnsi="Times New Roman" w:eastAsia="仿宋_GB2312" w:cs="Times New Roman"/>
          <w:kern w:val="2"/>
          <w:sz w:val="32"/>
          <w:szCs w:val="32"/>
          <w:lang w:val="en-US" w:eastAsia="zh-CN" w:bidi="ar-SA"/>
        </w:rPr>
        <w:t>政务公开工作列入单位领导分工。进一步明确办公室作为政务公开工作主管科室，具体负责组织协调、指导推进、监督检查全局政务公开工作，切实做到责任到位、人员到位，政务公开工作队伍建设进一步加强。</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（二）完善制度机制，强力部署推进。</w:t>
      </w:r>
      <w:r>
        <w:rPr>
          <w:rFonts w:hint="default" w:ascii="Times New Roman" w:hAnsi="Times New Roman" w:eastAsia="仿宋_GB2312" w:cs="Times New Roman"/>
          <w:kern w:val="2"/>
          <w:sz w:val="32"/>
          <w:szCs w:val="32"/>
          <w:lang w:val="en-US" w:eastAsia="zh-CN" w:bidi="ar-SA"/>
        </w:rPr>
        <w:t>国办发〔2017〕24号文件、鲁政办发〔2017〕39号文件和淄政办发〔2017〕17号文件下发后，我单位高度重视，进一步明确重点领域、公开事项、公开方式、责任单位等具体要求，就做好2017年政务公开作出部署，切实抓好各项任务落实。加强公文公开属性管理，文件拟稿纸设有公开属性栏目，文件起草审核过程中同步确定其公开属性，规范发布程序和渠道。</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（三）加强平台建设，拓展公开渠道。</w:t>
      </w:r>
      <w:r>
        <w:rPr>
          <w:rFonts w:hint="default" w:ascii="Times New Roman" w:hAnsi="Times New Roman" w:eastAsia="仿宋_GB2312" w:cs="Times New Roman"/>
          <w:kern w:val="2"/>
          <w:sz w:val="32"/>
          <w:szCs w:val="32"/>
          <w:lang w:val="en-US" w:eastAsia="zh-CN" w:bidi="ar-SA"/>
        </w:rPr>
        <w:t>充分发挥政府网站作为政务公开第一平台作用，按时维护更新政府信息公开目录、政府信息依申请公开、政府信息公开监督信箱等栏目。</w:t>
      </w:r>
    </w:p>
    <w:p>
      <w:pPr>
        <w:keepNext w:val="0"/>
        <w:keepLines w:val="0"/>
        <w:pageBreakBefore w:val="0"/>
        <w:kinsoku/>
        <w:wordWrap/>
        <w:overflowPunct/>
        <w:topLinePunct w:val="0"/>
        <w:autoSpaceDE/>
        <w:autoSpaceDN/>
        <w:bidi w:val="0"/>
        <w:adjustRightInd/>
        <w:snapToGrid/>
        <w:spacing w:line="560" w:lineRule="exact"/>
        <w:ind w:firstLine="648"/>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二、主动公开政府信息情况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kern w:val="2"/>
          <w:sz w:val="32"/>
          <w:szCs w:val="32"/>
          <w:highlight w:val="none"/>
          <w:lang w:val="en-US" w:eastAsia="zh-CN" w:bidi="ar-SA"/>
        </w:rPr>
        <w:t>（一）</w:t>
      </w:r>
      <w:r>
        <w:rPr>
          <w:rFonts w:hint="default" w:ascii="Times New Roman" w:hAnsi="Times New Roman" w:eastAsia="楷体_GB2312" w:cs="Times New Roman"/>
          <w:color w:val="auto"/>
          <w:sz w:val="32"/>
          <w:szCs w:val="32"/>
          <w:highlight w:val="none"/>
        </w:rPr>
        <w:t>建议提案办理公开情况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2017年度我单位共收到</w:t>
      </w:r>
      <w:r>
        <w:rPr>
          <w:rFonts w:hint="default" w:ascii="Times New Roman" w:hAnsi="Times New Roman" w:eastAsia="仿宋_GB2312" w:cs="Times New Roman"/>
          <w:kern w:val="2"/>
          <w:sz w:val="32"/>
          <w:szCs w:val="32"/>
          <w:lang w:val="en-US" w:eastAsia="zh-CN" w:bidi="ar-SA"/>
        </w:rPr>
        <w:t>建议提案</w:t>
      </w:r>
      <w:r>
        <w:rPr>
          <w:rFonts w:hint="eastAsia" w:ascii="Times New Roman" w:hAnsi="Times New Roman" w:eastAsia="仿宋_GB2312" w:cs="Times New Roman"/>
          <w:kern w:val="2"/>
          <w:sz w:val="32"/>
          <w:szCs w:val="32"/>
          <w:lang w:val="en-US" w:eastAsia="zh-CN" w:bidi="ar-SA"/>
        </w:rPr>
        <w:t>3件，均已按照规定程序办理完毕。</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color w:val="auto"/>
          <w:kern w:val="2"/>
          <w:sz w:val="32"/>
          <w:szCs w:val="32"/>
          <w:lang w:val="en-US" w:eastAsia="zh-CN" w:bidi="ar-SA"/>
        </w:rPr>
      </w:pPr>
      <w:r>
        <w:rPr>
          <w:rFonts w:hint="default" w:ascii="Times New Roman" w:hAnsi="Times New Roman" w:eastAsia="楷体_GB2312" w:cs="Times New Roman"/>
          <w:color w:val="auto"/>
          <w:kern w:val="2"/>
          <w:sz w:val="32"/>
          <w:szCs w:val="32"/>
          <w:lang w:val="en-US" w:eastAsia="zh-CN" w:bidi="ar-SA"/>
        </w:rPr>
        <w:t>（二）财政政策和财政预决算公开情况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高青县政府预算决算公开暂行办法》(高财字〔2014〕88号)和《高青县县级“三公”经费预算管理和公开暂行办法》(高财字〔2014〕89号)文件要求，在高青政务网设立“资金信息”专栏，除涉密单位和涉密信息外，将全县所有一级预算单位及乡镇街区共计93个部门单位的“全口径”2017年政府预算、部门预算、“三公”经费预算和2016年政府决算、部门决算、“三公”经费决算信息全部进行了公开，并对县级“三公”经费增减变化原因进行了说明。</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三</w:t>
      </w:r>
      <w:r>
        <w:rPr>
          <w:rFonts w:hint="default" w:ascii="Times New Roman" w:hAnsi="Times New Roman" w:eastAsia="楷体_GB2312" w:cs="Times New Roman"/>
          <w:kern w:val="2"/>
          <w:sz w:val="32"/>
          <w:szCs w:val="32"/>
          <w:lang w:val="en-US" w:eastAsia="zh-CN" w:bidi="ar-SA"/>
        </w:rPr>
        <w:t>）收费目录清单公开情况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局会同物价部门制定《2017年高青县县级涉企现行行政事业性收费、政府性基金项目目录》、《2017年高青县行政事业性收费目录清单》、《2017年高青县涉企行政事业性收费目录清单》、《2017年高青县考试考务费目录清单》和《2017年高青县政府性基金目录清单》，及时在高青政务网予以实时公布，社会公众可以通过网络等便捷方式查询相关目录，并自觉接受社会监督。</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四</w:t>
      </w:r>
      <w:r>
        <w:rPr>
          <w:rFonts w:hint="default" w:ascii="Times New Roman" w:hAnsi="Times New Roman" w:eastAsia="楷体_GB2312" w:cs="Times New Roman"/>
          <w:kern w:val="2"/>
          <w:sz w:val="32"/>
          <w:szCs w:val="32"/>
          <w:lang w:val="en-US" w:eastAsia="zh-CN" w:bidi="ar-SA"/>
        </w:rPr>
        <w:t>）社会保险信息公开情况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上级财政部门要求，做好社保基金的预算执行工作，每季度编写社保基金预算执行情况说明及社保基金预算执行情况表上报上级财政部门及同级人大，按年度编制社保基金预决算草案。在高青政务网，对我县居民基本养老保险基金、机关事业单位养老保险基金、城镇职工基本医疗保险基金、居民基本医疗保险基金、失业保险基金在规定时限内按要求进行了公开。</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五</w:t>
      </w:r>
      <w:r>
        <w:rPr>
          <w:rFonts w:hint="default" w:ascii="Times New Roman" w:hAnsi="Times New Roman" w:eastAsia="楷体_GB2312" w:cs="Times New Roman"/>
          <w:kern w:val="2"/>
          <w:sz w:val="32"/>
          <w:szCs w:val="32"/>
          <w:lang w:val="en-US" w:eastAsia="zh-CN" w:bidi="ar-SA"/>
        </w:rPr>
        <w:t>）政府债务信息公开情况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1月18日，向高青县第十七届人民代表大会第一次会议提交《关于高青县2016年财政预算执行情况和2017年财政预算草案的报告》，其中列明了2016年政府债务情况，并在高青政务网进行了公开。</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w:t>
      </w:r>
      <w:r>
        <w:rPr>
          <w:rFonts w:hint="eastAsia" w:ascii="Times New Roman" w:hAnsi="Times New Roman" w:eastAsia="楷体_GB2312" w:cs="Times New Roman"/>
          <w:kern w:val="2"/>
          <w:sz w:val="32"/>
          <w:szCs w:val="32"/>
          <w:lang w:val="en-US" w:eastAsia="zh-CN" w:bidi="ar-SA"/>
        </w:rPr>
        <w:t>六</w:t>
      </w:r>
      <w:r>
        <w:rPr>
          <w:rFonts w:hint="default" w:ascii="Times New Roman" w:hAnsi="Times New Roman" w:eastAsia="楷体_GB2312" w:cs="Times New Roman"/>
          <w:kern w:val="2"/>
          <w:sz w:val="32"/>
          <w:szCs w:val="32"/>
          <w:lang w:val="en-US" w:eastAsia="zh-CN" w:bidi="ar-SA"/>
        </w:rPr>
        <w:t>）政府和社会资本合作(PPP)项目信息公开情况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按照财政部《政府和社会资本合作（PPP）综合信息平台信息公开管理暂行办法》（财金〔2017〕1号）文件要求，2017年我县5个PPP项目均在财政部网站的政府和社会资本合作中心高青县PPP项目列表进行信息公开。</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三、依申请公开政府信息情况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（一）依申请公开处理情况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2017年，我局未收到政府信息公开申请件。</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（二）收费及减免情况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2017年度，全县各级各部门在政府信息公开申请办理过程中，未收取任何费用。</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四、政府信息公开复议诉讼和举报情况</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2017年，我局未发生政府信息公开行政复议件，未发生政府信息公开行政诉讼，未收到政府信息公开工作群众举报。</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五、存在的不足及改进措施</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局政府信息公开工作虽然取得了一定的成效，但与建设法治政府的新要求、人民群众的新期待，还存在一些差距。主要表现为：部分科室对信息公开的重视程度不够，信息公开不够及时主动；政策解读形式单一、解读质量不高；政府信息公开目录不够规范，不便于公众查询信息等。</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2018年，我局将重点抓好以下几方面工作：一是加大政策解读力度，落实国家、省、市关于做好政策解读回应的相关规定，按照“谁起草、谁解读”的原则，实现政策性文件与解读方案、解读材料同步组织、同步审签、同步部署。同时，多运用数字化、图标图解等方式，增强政策解读的易读性。二是加强政务公开信息审核，用好政务新媒体，健全内容发布审核机制，强化互动和服务功能，保证发布信息内容合法、完整、准确、及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附：2017年度</w:t>
      </w:r>
      <w:r>
        <w:rPr>
          <w:rFonts w:hint="eastAsia" w:ascii="Times New Roman" w:hAnsi="Times New Roman" w:eastAsia="仿宋_GB2312" w:cs="Times New Roman"/>
          <w:color w:val="000000"/>
          <w:sz w:val="32"/>
          <w:szCs w:val="32"/>
          <w:lang w:eastAsia="zh-CN"/>
        </w:rPr>
        <w:t>高青县财政局</w:t>
      </w:r>
      <w:r>
        <w:rPr>
          <w:rFonts w:hint="default" w:ascii="Times New Roman" w:hAnsi="Times New Roman" w:eastAsia="仿宋_GB2312" w:cs="Times New Roman"/>
          <w:color w:val="000000"/>
          <w:sz w:val="32"/>
          <w:szCs w:val="32"/>
        </w:rPr>
        <w:t>信息公开工作情况统计表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Times New Roman" w:hAnsi="Times New Roman" w:eastAsia="仿宋_GB2312" w:cs="Times New Roman"/>
          <w:kern w:val="0"/>
          <w:sz w:val="32"/>
          <w:szCs w:val="32"/>
          <w:lang w:eastAsia="zh-CN"/>
        </w:rPr>
      </w:pPr>
      <w:r>
        <w:rPr>
          <w:rFonts w:hint="eastAsia"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高青县</w:t>
      </w:r>
      <w:r>
        <w:rPr>
          <w:rFonts w:hint="eastAsia" w:ascii="Times New Roman" w:hAnsi="Times New Roman" w:eastAsia="仿宋_GB2312" w:cs="Times New Roman"/>
          <w:kern w:val="0"/>
          <w:sz w:val="32"/>
          <w:szCs w:val="32"/>
          <w:lang w:eastAsia="zh-CN"/>
        </w:rPr>
        <w:t>财政局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2018年2月27日</w:t>
      </w:r>
    </w:p>
    <w:p>
      <w:pPr>
        <w:rPr>
          <w:rFonts w:hint="default" w:ascii="Times New Roman" w:hAnsi="Times New Roman" w:eastAsia="黑体" w:cs="Times New Roman"/>
          <w:szCs w:val="32"/>
        </w:rPr>
      </w:pPr>
    </w:p>
    <w:p>
      <w:pPr>
        <w:rPr>
          <w:rFonts w:hint="default" w:ascii="Times New Roman" w:hAnsi="Times New Roman" w:eastAsia="黑体" w:cs="Times New Roman"/>
          <w:szCs w:val="32"/>
        </w:rPr>
      </w:pPr>
      <w:r>
        <w:rPr>
          <w:rFonts w:hint="default" w:ascii="Times New Roman" w:hAnsi="Times New Roman" w:eastAsia="黑体" w:cs="Times New Roman"/>
          <w:szCs w:val="32"/>
        </w:rPr>
        <w:br w:type="page"/>
      </w:r>
      <w:r>
        <w:rPr>
          <w:rFonts w:hint="default" w:ascii="Times New Roman" w:hAnsi="Times New Roman" w:eastAsia="黑体" w:cs="Times New Roman"/>
          <w:szCs w:val="32"/>
        </w:rPr>
        <w:t>附件1</w:t>
      </w:r>
    </w:p>
    <w:p>
      <w:pPr>
        <w:jc w:val="center"/>
        <w:rPr>
          <w:rFonts w:hint="default" w:ascii="Times New Roman" w:hAnsi="Times New Roman" w:cs="Times New Roman"/>
          <w:b/>
        </w:rPr>
      </w:pPr>
      <w:r>
        <w:rPr>
          <w:rFonts w:hint="default" w:ascii="Times New Roman" w:hAnsi="Times New Roman" w:cs="Times New Roman"/>
          <w:b/>
          <w:sz w:val="36"/>
          <w:szCs w:val="36"/>
        </w:rPr>
        <w:t>2017年度</w:t>
      </w:r>
      <w:r>
        <w:rPr>
          <w:rFonts w:hint="eastAsia" w:ascii="Times New Roman" w:hAnsi="Times New Roman" w:cs="Times New Roman"/>
          <w:b/>
          <w:sz w:val="36"/>
          <w:szCs w:val="36"/>
          <w:lang w:eastAsia="zh-CN"/>
        </w:rPr>
        <w:t>高青县财政局</w:t>
      </w:r>
      <w:r>
        <w:rPr>
          <w:rFonts w:hint="default" w:ascii="Times New Roman" w:hAnsi="Times New Roman" w:cs="Times New Roman"/>
          <w:b/>
          <w:sz w:val="36"/>
          <w:szCs w:val="36"/>
        </w:rPr>
        <w:t>信息公开工作情况统计表</w:t>
      </w:r>
    </w:p>
    <w:tbl>
      <w:tblPr>
        <w:tblStyle w:val="8"/>
        <w:tblW w:w="9458" w:type="dxa"/>
        <w:jc w:val="center"/>
        <w:tblInd w:w="0" w:type="dxa"/>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023"/>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685"/>
              <w:jc w:val="center"/>
              <w:rPr>
                <w:rFonts w:hint="default" w:ascii="Times New Roman" w:hAnsi="Times New Roman" w:cs="Times New Roman"/>
                <w:color w:val="000000"/>
              </w:rPr>
            </w:pPr>
            <w:r>
              <w:rPr>
                <w:rStyle w:val="10"/>
                <w:rFonts w:hint="default" w:ascii="Times New Roman" w:hAnsi="Times New Roman" w:cs="Times New Roman"/>
                <w:color w:val="000000"/>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Style w:val="10"/>
                <w:rFonts w:hint="default" w:ascii="Times New Roman" w:hAnsi="Times New Roman" w:cs="Times New Roman"/>
                <w:color w:val="000000"/>
                <w:sz w:val="20"/>
                <w:szCs w:val="20"/>
              </w:rPr>
              <w:t>单位</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Style w:val="10"/>
                <w:rFonts w:hint="default" w:ascii="Times New Roman" w:hAnsi="Times New Roman" w:cs="Times New Roman"/>
                <w:color w:val="000000"/>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（一）主动公开政府信息数（不同渠道和方式公开相同信息计1条）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22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22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b/>
                <w:color w:val="000000"/>
                <w:sz w:val="24"/>
              </w:rPr>
            </w:pPr>
            <w:r>
              <w:rPr>
                <w:rFonts w:hint="default" w:ascii="Times New Roman" w:hAnsi="Times New Roman" w:eastAsia="黑体" w:cs="Times New Roman"/>
                <w:color w:val="000000"/>
                <w:sz w:val="20"/>
                <w:szCs w:val="20"/>
              </w:rPr>
              <w:t>二、回应解读情况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default" w:ascii="Times New Roman" w:hAnsi="Times New Roman" w:cs="Times New Roman"/>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jc w:val="center"/>
              <w:rPr>
                <w:rFonts w:hint="default" w:ascii="Times New Roman" w:hAnsi="Times New Roman" w:cs="Times New Roman"/>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18"/>
              <w:spacing w:before="0" w:beforeAutospacing="0" w:after="0" w:afterAutospacing="0" w:line="420" w:lineRule="atLeast"/>
              <w:ind w:firstLine="400" w:firstLineChars="200"/>
              <w:rPr>
                <w:rFonts w:hint="default" w:ascii="Times New Roman" w:hAnsi="Times New Roman" w:cs="Times New Roman"/>
                <w:color w:val="000000"/>
                <w:highlight w:val="yellow"/>
              </w:rPr>
            </w:pPr>
            <w:r>
              <w:rPr>
                <w:rFonts w:hint="default" w:ascii="Times New Roman" w:hAnsi="Times New Roman" w:cs="Times New Roman"/>
                <w:color w:val="000000"/>
                <w:kern w:val="2"/>
                <w:sz w:val="20"/>
                <w:szCs w:val="20"/>
              </w:rPr>
              <w:t>（一）回应公众关注热点或重大舆情数（不同方式回应同一热点或舆情计1次）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篇</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4"/>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18"/>
              <w:spacing w:before="0" w:beforeAutospacing="0" w:after="0" w:afterAutospacing="0" w:line="420" w:lineRule="atLeast"/>
              <w:ind w:firstLine="685"/>
              <w:jc w:val="center"/>
              <w:rPr>
                <w:rFonts w:hint="default" w:ascii="Times New Roman" w:hAnsi="Times New Roman" w:cs="Times New Roman"/>
                <w:color w:val="000000"/>
              </w:rPr>
            </w:pPr>
          </w:p>
        </w:tc>
        <w:tc>
          <w:tcPr>
            <w:tcW w:w="1023" w:type="dxa"/>
            <w:tcBorders>
              <w:top w:val="single" w:color="auto" w:sz="0" w:space="0"/>
              <w:left w:val="single" w:color="auto" w:sz="0" w:space="0"/>
              <w:bottom w:val="single" w:color="auto" w:sz="0" w:space="0"/>
              <w:tr2bl w:val="single" w:color="auto" w:sz="4" w:space="0"/>
            </w:tcBorders>
            <w:shd w:val="clear" w:color="auto" w:fill="FFFFFF"/>
            <w:vAlign w:val="center"/>
          </w:tcPr>
          <w:p>
            <w:pPr>
              <w:jc w:val="center"/>
              <w:rPr>
                <w:rFonts w:hint="default" w:ascii="Times New Roman" w:hAnsi="Times New Roman" w:cs="Times New Roman"/>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件</w:t>
            </w:r>
          </w:p>
        </w:tc>
        <w:tc>
          <w:tcPr>
            <w:tcW w:w="1023"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eastAsia="宋体" w:cs="Times New Roman"/>
                <w:color w:val="000000"/>
                <w:sz w:val="24"/>
                <w:lang w:val="en-US"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0"/>
                <w:szCs w:val="20"/>
                <w:lang w:val="en-US"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eastAsia="黑体" w:cs="Times New Roman"/>
                <w:color w:val="000000"/>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件</w:t>
            </w:r>
          </w:p>
        </w:tc>
        <w:tc>
          <w:tcPr>
            <w:tcW w:w="102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件</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七、向图书馆、档案馆等查阅场所报送信息数</w:t>
            </w:r>
          </w:p>
          <w:p>
            <w:pPr>
              <w:spacing w:line="420" w:lineRule="atLeast"/>
              <w:rPr>
                <w:rFonts w:hint="default" w:ascii="Times New Roman" w:hAnsi="Times New Roman" w:cs="Times New Roman"/>
                <w:color w:val="000000"/>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（一）纸质文件数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（二）电子文件数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0"/>
                <w:szCs w:val="20"/>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eastAsia="黑体" w:cs="Times New Roman"/>
                <w:color w:val="000000"/>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（一）区县政府及其部门门户网站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eastAsia="黑体" w:cs="Times New Roman"/>
                <w:color w:val="000000"/>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p>
        </w:tc>
        <w:tc>
          <w:tcPr>
            <w:tcW w:w="1023"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ind w:firstLine="1000" w:firstLineChars="500"/>
              <w:jc w:val="center"/>
              <w:rPr>
                <w:rFonts w:hint="default" w:ascii="Times New Roman" w:hAnsi="Times New Roman" w:eastAsia="黑体" w:cs="Times New Roman"/>
                <w:color w:val="000000"/>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期</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份</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eastAsia="黑体" w:cs="Times New Roman"/>
                <w:color w:val="000000"/>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both"/>
              <w:rPr>
                <w:rFonts w:hint="eastAsia" w:ascii="Times New Roman" w:hAnsi="Times New Roman" w:eastAsia="黑体" w:cs="Times New Roman"/>
                <w:color w:val="000000"/>
                <w:sz w:val="20"/>
                <w:szCs w:val="20"/>
                <w:lang w:eastAsia="zh-CN"/>
              </w:rPr>
            </w:pPr>
            <w:r>
              <w:rPr>
                <w:rFonts w:hint="eastAsia" w:ascii="Times New Roman" w:hAnsi="Times New Roman" w:eastAsia="黑体"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both"/>
              <w:rPr>
                <w:rFonts w:hint="eastAsia" w:ascii="Times New Roman" w:hAnsi="Times New Roman" w:eastAsia="黑体" w:cs="Times New Roman"/>
                <w:color w:val="000000"/>
                <w:sz w:val="20"/>
                <w:szCs w:val="20"/>
                <w:lang w:eastAsia="zh-CN"/>
              </w:rPr>
            </w:pPr>
            <w:r>
              <w:rPr>
                <w:rFonts w:hint="eastAsia" w:ascii="Times New Roman" w:hAnsi="Times New Roman" w:eastAsia="黑体"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个</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0"/>
                <w:szCs w:val="20"/>
              </w:rPr>
            </w:pPr>
            <w:r>
              <w:rPr>
                <w:rFonts w:hint="default" w:ascii="Times New Roman" w:hAnsi="Times New Roman" w:eastAsia="黑体" w:cs="Times New Roman"/>
                <w:color w:val="000000"/>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人次</w:t>
            </w:r>
          </w:p>
        </w:tc>
        <w:tc>
          <w:tcPr>
            <w:tcW w:w="1023"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（二）乡镇政府（街道办事处）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人次</w:t>
            </w:r>
          </w:p>
        </w:tc>
        <w:tc>
          <w:tcPr>
            <w:tcW w:w="1023"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ind w:firstLine="400" w:firstLineChars="200"/>
              <w:jc w:val="both"/>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0"/>
                <w:szCs w:val="20"/>
              </w:rPr>
            </w:pPr>
            <w:r>
              <w:rPr>
                <w:rFonts w:hint="default" w:ascii="Times New Roman" w:hAnsi="Times New Roman" w:eastAsia="黑体" w:cs="Times New Roman"/>
                <w:color w:val="000000"/>
                <w:sz w:val="20"/>
                <w:szCs w:val="20"/>
              </w:rPr>
              <w:t>十二、机构建设和保障经费情况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both"/>
              <w:rPr>
                <w:rFonts w:hint="default" w:ascii="Times New Roman" w:hAnsi="Times New Roman" w:cs="Times New Roman"/>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个</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人</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（三）政府信息公开专项经费（不包括政府公报编辑管理及政府网站建设）</w:t>
            </w:r>
            <w:r>
              <w:rPr>
                <w:rFonts w:hint="default" w:ascii="Times New Roman" w:hAnsi="Times New Roman" w:cs="Times New Roman"/>
                <w:color w:val="000000"/>
                <w:sz w:val="20"/>
                <w:szCs w:val="20"/>
              </w:rPr>
              <w:br w:type="textWrapping"/>
            </w:r>
            <w:r>
              <w:rPr>
                <w:rFonts w:hint="default" w:ascii="Times New Roman" w:hAnsi="Times New Roman" w:cs="Times New Roman"/>
                <w:color w:val="000000"/>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万元</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0"/>
                <w:szCs w:val="20"/>
              </w:rPr>
              <w:t>十三、政府信息公开会议和培训情况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c>
          <w:tcPr>
            <w:tcW w:w="1023"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hint="default" w:ascii="Times New Roman" w:hAnsi="Times New Roman" w:cs="Times New Roman"/>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Layout w:type="fixed"/>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hint="default" w:ascii="Times New Roman" w:hAnsi="Times New Roman" w:cs="Times New Roman"/>
                <w:color w:val="000000"/>
                <w:sz w:val="24"/>
              </w:rPr>
            </w:pPr>
            <w:r>
              <w:rPr>
                <w:rFonts w:hint="default" w:ascii="Times New Roman" w:hAnsi="Times New Roman" w:cs="Times New Roman"/>
                <w:color w:val="000000"/>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Times New Roman" w:hAnsi="Times New Roman" w:cs="Times New Roman"/>
                <w:color w:val="000000"/>
                <w:sz w:val="24"/>
              </w:rPr>
            </w:pPr>
            <w:r>
              <w:rPr>
                <w:rFonts w:hint="default" w:ascii="Times New Roman" w:hAnsi="Times New Roman" w:cs="Times New Roman"/>
                <w:color w:val="000000"/>
                <w:sz w:val="20"/>
                <w:szCs w:val="20"/>
              </w:rPr>
              <w:t>人次</w:t>
            </w:r>
          </w:p>
        </w:tc>
        <w:tc>
          <w:tcPr>
            <w:tcW w:w="102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Times New Roman" w:hAnsi="Times New Roman" w:eastAsia="宋体" w:cs="Times New Roman"/>
                <w:color w:val="000000"/>
                <w:sz w:val="24"/>
                <w:lang w:eastAsia="zh-CN"/>
              </w:rPr>
            </w:pPr>
            <w:r>
              <w:rPr>
                <w:rFonts w:hint="eastAsia" w:ascii="Times New Roman" w:hAnsi="Times New Roman" w:cs="Times New Roman"/>
                <w:color w:val="000000"/>
                <w:sz w:val="20"/>
                <w:szCs w:val="20"/>
                <w:lang w:val="en-US" w:eastAsia="zh-CN"/>
              </w:rPr>
              <w:t>1</w:t>
            </w:r>
          </w:p>
        </w:tc>
      </w:tr>
    </w:tbl>
    <w:p>
      <w:pPr>
        <w:rPr>
          <w:rFonts w:hint="default" w:ascii="Times New Roman" w:hAnsi="Times New Roman" w:eastAsia="黑体" w:cs="Times New Roman"/>
          <w:szCs w:val="32"/>
        </w:rPr>
      </w:pPr>
    </w:p>
    <w:p>
      <w:pPr>
        <w:widowControl/>
        <w:jc w:val="left"/>
        <w:rPr>
          <w:rFonts w:hint="default" w:ascii="Times New Roman" w:hAnsi="Times New Roman" w:eastAsia="黑体" w:cs="Times New Roman"/>
          <w:szCs w:val="32"/>
        </w:rPr>
      </w:pPr>
    </w:p>
    <w:p>
      <w:pPr>
        <w:widowControl/>
        <w:jc w:val="left"/>
        <w:rPr>
          <w:rFonts w:hint="default" w:ascii="Times New Roman" w:hAnsi="Times New Roman" w:cs="Times New Roman"/>
        </w:rPr>
      </w:pPr>
      <w:r>
        <w:rPr>
          <w:rFonts w:hint="default" w:ascii="Times New Roman" w:hAnsi="Times New Roman" w:cs="Times New Roman"/>
        </w:rPr>
        <w:t xml:space="preserve"> </w:t>
      </w:r>
    </w:p>
    <w:p>
      <w:pPr>
        <w:spacing w:line="540" w:lineRule="exact"/>
        <w:ind w:right="160" w:firstLine="640" w:firstLineChars="200"/>
        <w:jc w:val="left"/>
        <w:rPr>
          <w:rFonts w:hint="default" w:ascii="Times New Roman" w:hAnsi="Times New Roman" w:eastAsia="仿宋_GB2312" w:cs="Times New Roman"/>
          <w:kern w:val="0"/>
          <w:sz w:val="32"/>
          <w:szCs w:val="32"/>
        </w:rPr>
      </w:pPr>
    </w:p>
    <w:p>
      <w:pPr>
        <w:spacing w:line="540" w:lineRule="exact"/>
        <w:ind w:right="160" w:firstLine="640" w:firstLineChars="200"/>
        <w:jc w:val="left"/>
        <w:rPr>
          <w:rFonts w:hint="default" w:ascii="Times New Roman" w:hAnsi="Times New Roman" w:eastAsia="仿宋_GB2312" w:cs="Times New Roman"/>
          <w:kern w:val="0"/>
          <w:sz w:val="32"/>
          <w:szCs w:val="32"/>
        </w:rPr>
      </w:pPr>
    </w:p>
    <w:p>
      <w:pPr>
        <w:spacing w:line="540" w:lineRule="exact"/>
        <w:ind w:right="160" w:firstLine="640" w:firstLineChars="200"/>
        <w:jc w:val="left"/>
        <w:rPr>
          <w:rFonts w:hint="default" w:ascii="Times New Roman" w:hAnsi="Times New Roman" w:eastAsia="仿宋_GB2312" w:cs="Times New Roman"/>
          <w:kern w:val="0"/>
          <w:sz w:val="32"/>
          <w:szCs w:val="32"/>
        </w:rPr>
      </w:pPr>
    </w:p>
    <w:sectPr>
      <w:footerReference r:id="rId3" w:type="default"/>
      <w:pgSz w:w="11906" w:h="16838"/>
      <w:pgMar w:top="1418"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4</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E34"/>
    <w:rsid w:val="000000EA"/>
    <w:rsid w:val="00002DCF"/>
    <w:rsid w:val="0001761C"/>
    <w:rsid w:val="00030987"/>
    <w:rsid w:val="00034201"/>
    <w:rsid w:val="000364D1"/>
    <w:rsid w:val="000378C6"/>
    <w:rsid w:val="00041EE7"/>
    <w:rsid w:val="00045B3C"/>
    <w:rsid w:val="000511D6"/>
    <w:rsid w:val="000537BF"/>
    <w:rsid w:val="00057599"/>
    <w:rsid w:val="00060DC3"/>
    <w:rsid w:val="00066860"/>
    <w:rsid w:val="00085C19"/>
    <w:rsid w:val="00086543"/>
    <w:rsid w:val="00092D07"/>
    <w:rsid w:val="0009560C"/>
    <w:rsid w:val="000B692D"/>
    <w:rsid w:val="000C1080"/>
    <w:rsid w:val="000C74F7"/>
    <w:rsid w:val="000E594E"/>
    <w:rsid w:val="000E6E84"/>
    <w:rsid w:val="00116297"/>
    <w:rsid w:val="00116A31"/>
    <w:rsid w:val="00123040"/>
    <w:rsid w:val="001244DA"/>
    <w:rsid w:val="00132600"/>
    <w:rsid w:val="00143BBA"/>
    <w:rsid w:val="00145D4A"/>
    <w:rsid w:val="00152C78"/>
    <w:rsid w:val="00170F9D"/>
    <w:rsid w:val="001752E7"/>
    <w:rsid w:val="001761FC"/>
    <w:rsid w:val="0019453E"/>
    <w:rsid w:val="00194854"/>
    <w:rsid w:val="001953C6"/>
    <w:rsid w:val="001B0104"/>
    <w:rsid w:val="001C2E5E"/>
    <w:rsid w:val="001C381E"/>
    <w:rsid w:val="001C57C2"/>
    <w:rsid w:val="001D133A"/>
    <w:rsid w:val="001D5CB7"/>
    <w:rsid w:val="001E70CB"/>
    <w:rsid w:val="001E76B5"/>
    <w:rsid w:val="001F0E29"/>
    <w:rsid w:val="0020710E"/>
    <w:rsid w:val="00246AC2"/>
    <w:rsid w:val="00261196"/>
    <w:rsid w:val="00277BF4"/>
    <w:rsid w:val="00285C01"/>
    <w:rsid w:val="00285F45"/>
    <w:rsid w:val="002A3348"/>
    <w:rsid w:val="002A5410"/>
    <w:rsid w:val="002A684D"/>
    <w:rsid w:val="002B47A6"/>
    <w:rsid w:val="002C396D"/>
    <w:rsid w:val="002E66D3"/>
    <w:rsid w:val="002F6167"/>
    <w:rsid w:val="00310D8C"/>
    <w:rsid w:val="00320B3A"/>
    <w:rsid w:val="00326C73"/>
    <w:rsid w:val="003300CC"/>
    <w:rsid w:val="00340EAB"/>
    <w:rsid w:val="00345FC5"/>
    <w:rsid w:val="00351598"/>
    <w:rsid w:val="003920FB"/>
    <w:rsid w:val="003A2AFB"/>
    <w:rsid w:val="003A5889"/>
    <w:rsid w:val="003A7F4A"/>
    <w:rsid w:val="003B758A"/>
    <w:rsid w:val="003C0711"/>
    <w:rsid w:val="003C64BC"/>
    <w:rsid w:val="003E006D"/>
    <w:rsid w:val="003E0193"/>
    <w:rsid w:val="003E5326"/>
    <w:rsid w:val="003F0C17"/>
    <w:rsid w:val="003F125C"/>
    <w:rsid w:val="003F2F4C"/>
    <w:rsid w:val="003F4540"/>
    <w:rsid w:val="003F733F"/>
    <w:rsid w:val="0040462C"/>
    <w:rsid w:val="00411E34"/>
    <w:rsid w:val="00451CA4"/>
    <w:rsid w:val="00464031"/>
    <w:rsid w:val="00467873"/>
    <w:rsid w:val="00484FDB"/>
    <w:rsid w:val="004861D4"/>
    <w:rsid w:val="004877A1"/>
    <w:rsid w:val="00491265"/>
    <w:rsid w:val="00497273"/>
    <w:rsid w:val="004A05B0"/>
    <w:rsid w:val="004A1A7E"/>
    <w:rsid w:val="004A36B9"/>
    <w:rsid w:val="004B180B"/>
    <w:rsid w:val="004B5804"/>
    <w:rsid w:val="004C4687"/>
    <w:rsid w:val="004D0758"/>
    <w:rsid w:val="004D0DF7"/>
    <w:rsid w:val="004D2803"/>
    <w:rsid w:val="004D62ED"/>
    <w:rsid w:val="004F435C"/>
    <w:rsid w:val="004F6D08"/>
    <w:rsid w:val="005053AD"/>
    <w:rsid w:val="0051385C"/>
    <w:rsid w:val="00523E65"/>
    <w:rsid w:val="00525398"/>
    <w:rsid w:val="00527D55"/>
    <w:rsid w:val="0053263F"/>
    <w:rsid w:val="0054196B"/>
    <w:rsid w:val="00545BA3"/>
    <w:rsid w:val="005A2E0C"/>
    <w:rsid w:val="005C0C10"/>
    <w:rsid w:val="005D2406"/>
    <w:rsid w:val="005F1DAF"/>
    <w:rsid w:val="00617C00"/>
    <w:rsid w:val="006219ED"/>
    <w:rsid w:val="006261E6"/>
    <w:rsid w:val="00633CB2"/>
    <w:rsid w:val="00644565"/>
    <w:rsid w:val="00654E06"/>
    <w:rsid w:val="00666572"/>
    <w:rsid w:val="00671E48"/>
    <w:rsid w:val="006902D9"/>
    <w:rsid w:val="00694918"/>
    <w:rsid w:val="006B13D9"/>
    <w:rsid w:val="006C7D31"/>
    <w:rsid w:val="006D095C"/>
    <w:rsid w:val="006D667E"/>
    <w:rsid w:val="00706493"/>
    <w:rsid w:val="00716325"/>
    <w:rsid w:val="0074216E"/>
    <w:rsid w:val="007421A6"/>
    <w:rsid w:val="007504FC"/>
    <w:rsid w:val="00763A91"/>
    <w:rsid w:val="00764FD6"/>
    <w:rsid w:val="007654AB"/>
    <w:rsid w:val="00775FB9"/>
    <w:rsid w:val="00777DB1"/>
    <w:rsid w:val="00797218"/>
    <w:rsid w:val="007A3D0F"/>
    <w:rsid w:val="007A420A"/>
    <w:rsid w:val="007B49E4"/>
    <w:rsid w:val="007C670E"/>
    <w:rsid w:val="007D54D1"/>
    <w:rsid w:val="007D6345"/>
    <w:rsid w:val="007E188B"/>
    <w:rsid w:val="007F1012"/>
    <w:rsid w:val="007F4226"/>
    <w:rsid w:val="007F58B5"/>
    <w:rsid w:val="007F7F19"/>
    <w:rsid w:val="00804D1F"/>
    <w:rsid w:val="008213BF"/>
    <w:rsid w:val="00821EBB"/>
    <w:rsid w:val="00827FFA"/>
    <w:rsid w:val="0083361D"/>
    <w:rsid w:val="0084294E"/>
    <w:rsid w:val="00845967"/>
    <w:rsid w:val="0085079E"/>
    <w:rsid w:val="00863627"/>
    <w:rsid w:val="0088460D"/>
    <w:rsid w:val="008908A8"/>
    <w:rsid w:val="008934F6"/>
    <w:rsid w:val="008A1523"/>
    <w:rsid w:val="008A1FF2"/>
    <w:rsid w:val="008C2DB1"/>
    <w:rsid w:val="008C4A06"/>
    <w:rsid w:val="008E5726"/>
    <w:rsid w:val="008E78DC"/>
    <w:rsid w:val="008F2FBD"/>
    <w:rsid w:val="008F7395"/>
    <w:rsid w:val="00906475"/>
    <w:rsid w:val="009120BF"/>
    <w:rsid w:val="0092232A"/>
    <w:rsid w:val="00937B03"/>
    <w:rsid w:val="009532C4"/>
    <w:rsid w:val="00956891"/>
    <w:rsid w:val="009831D3"/>
    <w:rsid w:val="009840BD"/>
    <w:rsid w:val="0099567F"/>
    <w:rsid w:val="009A35C3"/>
    <w:rsid w:val="009A5EBA"/>
    <w:rsid w:val="009B5062"/>
    <w:rsid w:val="009C0440"/>
    <w:rsid w:val="009E4AB6"/>
    <w:rsid w:val="009F2682"/>
    <w:rsid w:val="009F2E90"/>
    <w:rsid w:val="00A01FE2"/>
    <w:rsid w:val="00A17AAE"/>
    <w:rsid w:val="00A42055"/>
    <w:rsid w:val="00A4303E"/>
    <w:rsid w:val="00A635B9"/>
    <w:rsid w:val="00A65AE4"/>
    <w:rsid w:val="00A67831"/>
    <w:rsid w:val="00A853F1"/>
    <w:rsid w:val="00A85A88"/>
    <w:rsid w:val="00A91AF8"/>
    <w:rsid w:val="00A91D59"/>
    <w:rsid w:val="00A921E0"/>
    <w:rsid w:val="00A93522"/>
    <w:rsid w:val="00A96714"/>
    <w:rsid w:val="00AA19B2"/>
    <w:rsid w:val="00AA68D1"/>
    <w:rsid w:val="00AC783F"/>
    <w:rsid w:val="00AD182F"/>
    <w:rsid w:val="00AD379A"/>
    <w:rsid w:val="00AD54A9"/>
    <w:rsid w:val="00AD6543"/>
    <w:rsid w:val="00AD6BCD"/>
    <w:rsid w:val="00AD76D8"/>
    <w:rsid w:val="00AE010F"/>
    <w:rsid w:val="00AE0545"/>
    <w:rsid w:val="00AF0FF1"/>
    <w:rsid w:val="00AF3A05"/>
    <w:rsid w:val="00B02501"/>
    <w:rsid w:val="00B025FB"/>
    <w:rsid w:val="00B0742B"/>
    <w:rsid w:val="00B34F9D"/>
    <w:rsid w:val="00B43042"/>
    <w:rsid w:val="00B46E2B"/>
    <w:rsid w:val="00B5405C"/>
    <w:rsid w:val="00B571E7"/>
    <w:rsid w:val="00B60A0C"/>
    <w:rsid w:val="00B6616E"/>
    <w:rsid w:val="00B86D0C"/>
    <w:rsid w:val="00B90FB0"/>
    <w:rsid w:val="00B911BF"/>
    <w:rsid w:val="00B92EE8"/>
    <w:rsid w:val="00B94CE1"/>
    <w:rsid w:val="00B95991"/>
    <w:rsid w:val="00B96DB8"/>
    <w:rsid w:val="00BA4E15"/>
    <w:rsid w:val="00BC5174"/>
    <w:rsid w:val="00BC57CB"/>
    <w:rsid w:val="00BE37C6"/>
    <w:rsid w:val="00BF48E2"/>
    <w:rsid w:val="00C10648"/>
    <w:rsid w:val="00C178DA"/>
    <w:rsid w:val="00C37EDA"/>
    <w:rsid w:val="00C53D16"/>
    <w:rsid w:val="00C75D0E"/>
    <w:rsid w:val="00CB311F"/>
    <w:rsid w:val="00CC0157"/>
    <w:rsid w:val="00CD77B9"/>
    <w:rsid w:val="00CF1312"/>
    <w:rsid w:val="00CF4319"/>
    <w:rsid w:val="00CF4B6A"/>
    <w:rsid w:val="00CF5FCF"/>
    <w:rsid w:val="00CF6FA1"/>
    <w:rsid w:val="00CF78F4"/>
    <w:rsid w:val="00CF7B25"/>
    <w:rsid w:val="00D05772"/>
    <w:rsid w:val="00D05B04"/>
    <w:rsid w:val="00D064C5"/>
    <w:rsid w:val="00D23EE1"/>
    <w:rsid w:val="00D24114"/>
    <w:rsid w:val="00D40B64"/>
    <w:rsid w:val="00D40F19"/>
    <w:rsid w:val="00D41385"/>
    <w:rsid w:val="00D43F24"/>
    <w:rsid w:val="00D52DF1"/>
    <w:rsid w:val="00D54303"/>
    <w:rsid w:val="00D64989"/>
    <w:rsid w:val="00D76BA6"/>
    <w:rsid w:val="00D81113"/>
    <w:rsid w:val="00D9678A"/>
    <w:rsid w:val="00DA1C80"/>
    <w:rsid w:val="00DA59CE"/>
    <w:rsid w:val="00DB03B2"/>
    <w:rsid w:val="00DB4B65"/>
    <w:rsid w:val="00DB5360"/>
    <w:rsid w:val="00DC0058"/>
    <w:rsid w:val="00DC0BC1"/>
    <w:rsid w:val="00DC453E"/>
    <w:rsid w:val="00DD0161"/>
    <w:rsid w:val="00DD663A"/>
    <w:rsid w:val="00DE2878"/>
    <w:rsid w:val="00DE7F0F"/>
    <w:rsid w:val="00DF156D"/>
    <w:rsid w:val="00DF6987"/>
    <w:rsid w:val="00E045B9"/>
    <w:rsid w:val="00E07267"/>
    <w:rsid w:val="00E10F65"/>
    <w:rsid w:val="00E114AF"/>
    <w:rsid w:val="00E17298"/>
    <w:rsid w:val="00E227B7"/>
    <w:rsid w:val="00E274F4"/>
    <w:rsid w:val="00E303B2"/>
    <w:rsid w:val="00E51514"/>
    <w:rsid w:val="00E57D4A"/>
    <w:rsid w:val="00E83C31"/>
    <w:rsid w:val="00EA1DF7"/>
    <w:rsid w:val="00ED294A"/>
    <w:rsid w:val="00ED5ED4"/>
    <w:rsid w:val="00EE7283"/>
    <w:rsid w:val="00F035B6"/>
    <w:rsid w:val="00F27F46"/>
    <w:rsid w:val="00F3037E"/>
    <w:rsid w:val="00F3146D"/>
    <w:rsid w:val="00F31908"/>
    <w:rsid w:val="00F42521"/>
    <w:rsid w:val="00F61DFB"/>
    <w:rsid w:val="00F63275"/>
    <w:rsid w:val="00F65CD9"/>
    <w:rsid w:val="00F65E3D"/>
    <w:rsid w:val="00F73683"/>
    <w:rsid w:val="00F73F65"/>
    <w:rsid w:val="00F811EC"/>
    <w:rsid w:val="00F90738"/>
    <w:rsid w:val="00F96A41"/>
    <w:rsid w:val="00FA2083"/>
    <w:rsid w:val="00FA45F6"/>
    <w:rsid w:val="00FB67B4"/>
    <w:rsid w:val="00FC4D87"/>
    <w:rsid w:val="00FC5817"/>
    <w:rsid w:val="00FC65B9"/>
    <w:rsid w:val="00FC748E"/>
    <w:rsid w:val="00FD4F5E"/>
    <w:rsid w:val="00FD6EC3"/>
    <w:rsid w:val="00FE2F7E"/>
    <w:rsid w:val="00FE5B87"/>
    <w:rsid w:val="00FE71EA"/>
    <w:rsid w:val="00FF3BAA"/>
    <w:rsid w:val="00FF5B66"/>
    <w:rsid w:val="0FCC3402"/>
    <w:rsid w:val="1D542062"/>
    <w:rsid w:val="28A41765"/>
    <w:rsid w:val="297712E4"/>
    <w:rsid w:val="54320C03"/>
    <w:rsid w:val="5CBE3035"/>
    <w:rsid w:val="7EE90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4"/>
    <w:qFormat/>
    <w:uiPriority w:val="99"/>
    <w:rPr>
      <w:rFonts w:ascii="宋体" w:hAnsi="Courier New" w:cs="楷体_GB2312"/>
      <w:szCs w:val="21"/>
    </w:r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2"/>
    <w:qFormat/>
    <w:uiPriority w:val="99"/>
    <w:pPr>
      <w:tabs>
        <w:tab w:val="center" w:pos="4153"/>
        <w:tab w:val="right" w:pos="8306"/>
      </w:tabs>
      <w:snapToGrid w:val="0"/>
      <w:jc w:val="left"/>
    </w:pPr>
    <w:rPr>
      <w:kern w:val="0"/>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jc w:val="left"/>
    </w:pPr>
    <w:rPr>
      <w:kern w:val="0"/>
      <w:sz w:val="24"/>
    </w:rPr>
  </w:style>
  <w:style w:type="character" w:styleId="10">
    <w:name w:val="Strong"/>
    <w:qFormat/>
    <w:uiPriority w:val="0"/>
    <w:rPr>
      <w:rFonts w:cs="Times New Roman"/>
      <w:b/>
    </w:rPr>
  </w:style>
  <w:style w:type="character" w:customStyle="1" w:styleId="11">
    <w:name w:val="页眉 Char"/>
    <w:link w:val="6"/>
    <w:qFormat/>
    <w:locked/>
    <w:uiPriority w:val="99"/>
    <w:rPr>
      <w:sz w:val="18"/>
    </w:rPr>
  </w:style>
  <w:style w:type="character" w:customStyle="1" w:styleId="12">
    <w:name w:val="页脚 Char"/>
    <w:link w:val="5"/>
    <w:qFormat/>
    <w:locked/>
    <w:uiPriority w:val="99"/>
    <w:rPr>
      <w:sz w:val="18"/>
    </w:rPr>
  </w:style>
  <w:style w:type="character" w:customStyle="1" w:styleId="13">
    <w:name w:val="批注框文本 Char"/>
    <w:link w:val="4"/>
    <w:semiHidden/>
    <w:qFormat/>
    <w:locked/>
    <w:uiPriority w:val="99"/>
    <w:rPr>
      <w:sz w:val="18"/>
    </w:rPr>
  </w:style>
  <w:style w:type="character" w:customStyle="1" w:styleId="14">
    <w:name w:val="纯文本 Char"/>
    <w:link w:val="2"/>
    <w:qFormat/>
    <w:locked/>
    <w:uiPriority w:val="99"/>
    <w:rPr>
      <w:rFonts w:ascii="宋体" w:hAnsi="Courier New" w:eastAsia="宋体"/>
      <w:kern w:val="2"/>
      <w:sz w:val="21"/>
      <w:lang w:val="en-US" w:eastAsia="zh-CN"/>
    </w:rPr>
  </w:style>
  <w:style w:type="paragraph" w:customStyle="1" w:styleId="15">
    <w:name w:val="List Paragraph1"/>
    <w:basedOn w:val="1"/>
    <w:qFormat/>
    <w:uiPriority w:val="99"/>
    <w:pPr>
      <w:ind w:firstLine="420" w:firstLineChars="200"/>
    </w:pPr>
    <w:rPr>
      <w:rFonts w:ascii="Times New Roman" w:hAnsi="Times New Roman"/>
      <w:szCs w:val="24"/>
    </w:r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7">
    <w:name w:val="日期 Char"/>
    <w:link w:val="3"/>
    <w:semiHidden/>
    <w:qFormat/>
    <w:uiPriority w:val="99"/>
    <w:rPr>
      <w:kern w:val="2"/>
      <w:sz w:val="21"/>
      <w:szCs w:val="22"/>
    </w:rPr>
  </w:style>
  <w:style w:type="paragraph" w:customStyle="1" w:styleId="18">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6</Pages>
  <Words>468</Words>
  <Characters>2673</Characters>
  <Lines>22</Lines>
  <Paragraphs>6</Paragraphs>
  <TotalTime>0</TotalTime>
  <ScaleCrop>false</ScaleCrop>
  <LinksUpToDate>false</LinksUpToDate>
  <CharactersWithSpaces>3135</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Yoon</cp:lastModifiedBy>
  <cp:lastPrinted>2017-03-24T01:56:00Z</cp:lastPrinted>
  <dcterms:modified xsi:type="dcterms:W3CDTF">2020-06-30T08:32:02Z</dcterms:modified>
  <cp:revision>263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