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8BD" w:rsidRPr="005B3917" w:rsidRDefault="005B3917">
      <w:pPr>
        <w:jc w:val="center"/>
        <w:rPr>
          <w:rFonts w:ascii="方正小标宋简体" w:eastAsia="方正小标宋简体" w:hAnsi="宋体" w:hint="eastAsia"/>
          <w:color w:val="000000"/>
          <w:sz w:val="36"/>
          <w:szCs w:val="36"/>
        </w:rPr>
      </w:pPr>
      <w:r w:rsidRPr="005B3917">
        <w:rPr>
          <w:rFonts w:ascii="方正小标宋简体" w:eastAsia="方正小标宋简体" w:hAnsi="方正小标宋_GBK" w:hint="eastAsia"/>
          <w:bCs/>
          <w:sz w:val="36"/>
          <w:szCs w:val="36"/>
        </w:rPr>
        <w:t>高青县</w:t>
      </w:r>
      <w:r w:rsidRPr="005B3917">
        <w:rPr>
          <w:rFonts w:ascii="方正小标宋简体" w:eastAsia="方正小标宋简体" w:hAnsi="方正小标宋_GBK" w:hint="eastAsia"/>
          <w:bCs/>
          <w:sz w:val="36"/>
          <w:szCs w:val="36"/>
        </w:rPr>
        <w:t>国有土地上房屋征收与补偿领域基层政务公开标准目录</w:t>
      </w:r>
    </w:p>
    <w:tbl>
      <w:tblPr>
        <w:tblpPr w:leftFromText="180" w:rightFromText="180" w:vertAnchor="text" w:horzAnchor="page" w:tblpX="427" w:tblpY="609"/>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1134"/>
        <w:gridCol w:w="1276"/>
        <w:gridCol w:w="2126"/>
        <w:gridCol w:w="3119"/>
        <w:gridCol w:w="1276"/>
        <w:gridCol w:w="992"/>
        <w:gridCol w:w="2410"/>
        <w:gridCol w:w="567"/>
        <w:gridCol w:w="708"/>
        <w:gridCol w:w="567"/>
        <w:gridCol w:w="709"/>
      </w:tblGrid>
      <w:tr w:rsidR="005B3917" w:rsidTr="005B3917">
        <w:trPr>
          <w:cantSplit/>
        </w:trPr>
        <w:tc>
          <w:tcPr>
            <w:tcW w:w="534" w:type="dxa"/>
            <w:vMerge w:val="restart"/>
            <w:vAlign w:val="center"/>
          </w:tcPr>
          <w:p w:rsidR="005B3917" w:rsidRPr="005B3917" w:rsidRDefault="005B3917" w:rsidP="005B3917">
            <w:pPr>
              <w:jc w:val="center"/>
              <w:rPr>
                <w:rFonts w:ascii="黑体" w:eastAsia="黑体" w:hAnsi="宋体" w:cs="宋体" w:hint="eastAsia"/>
                <w:color w:val="000000"/>
                <w:kern w:val="0"/>
                <w:sz w:val="22"/>
              </w:rPr>
            </w:pPr>
            <w:r w:rsidRPr="005B3917">
              <w:rPr>
                <w:rFonts w:ascii="黑体" w:eastAsia="黑体" w:hAnsi="宋体" w:cs="宋体" w:hint="eastAsia"/>
                <w:color w:val="000000"/>
                <w:kern w:val="0"/>
                <w:sz w:val="22"/>
              </w:rPr>
              <w:t>序号</w:t>
            </w:r>
          </w:p>
        </w:tc>
        <w:tc>
          <w:tcPr>
            <w:tcW w:w="708" w:type="dxa"/>
            <w:vMerge w:val="restart"/>
            <w:vAlign w:val="center"/>
          </w:tcPr>
          <w:p w:rsidR="005B3917" w:rsidRPr="005B3917" w:rsidRDefault="005B3917" w:rsidP="005B3917">
            <w:pPr>
              <w:rPr>
                <w:rFonts w:ascii="黑体" w:eastAsia="黑体" w:hAnsi="宋体" w:cs="宋体" w:hint="eastAsia"/>
                <w:color w:val="000000"/>
                <w:kern w:val="0"/>
                <w:sz w:val="22"/>
              </w:rPr>
            </w:pPr>
            <w:r>
              <w:rPr>
                <w:rFonts w:ascii="黑体" w:eastAsia="黑体" w:hAnsi="宋体" w:cs="宋体" w:hint="eastAsia"/>
                <w:color w:val="000000"/>
                <w:kern w:val="0"/>
                <w:sz w:val="22"/>
              </w:rPr>
              <w:t>过程</w:t>
            </w:r>
          </w:p>
        </w:tc>
        <w:tc>
          <w:tcPr>
            <w:tcW w:w="2410" w:type="dxa"/>
            <w:gridSpan w:val="2"/>
            <w:vAlign w:val="center"/>
          </w:tcPr>
          <w:p w:rsidR="005B3917" w:rsidRPr="005B3917" w:rsidRDefault="005B3917" w:rsidP="005B3917">
            <w:pPr>
              <w:jc w:val="center"/>
              <w:rPr>
                <w:rFonts w:ascii="黑体" w:eastAsia="黑体" w:hAnsi="宋体" w:cs="宋体" w:hint="eastAsia"/>
                <w:color w:val="000000"/>
                <w:kern w:val="0"/>
                <w:sz w:val="22"/>
              </w:rPr>
            </w:pPr>
            <w:r>
              <w:rPr>
                <w:rFonts w:ascii="黑体" w:eastAsia="黑体" w:hAnsi="宋体" w:cs="宋体" w:hint="eastAsia"/>
                <w:color w:val="000000"/>
                <w:kern w:val="0"/>
                <w:sz w:val="22"/>
              </w:rPr>
              <w:t>公开事项</w:t>
            </w:r>
          </w:p>
        </w:tc>
        <w:tc>
          <w:tcPr>
            <w:tcW w:w="2126" w:type="dxa"/>
            <w:vMerge w:val="restart"/>
            <w:vAlign w:val="center"/>
          </w:tcPr>
          <w:p w:rsidR="005B3917" w:rsidRDefault="005B3917" w:rsidP="005B391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3119" w:type="dxa"/>
            <w:vMerge w:val="restart"/>
            <w:vAlign w:val="center"/>
          </w:tcPr>
          <w:p w:rsidR="005B3917" w:rsidRDefault="005B3917" w:rsidP="005B391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276" w:type="dxa"/>
            <w:vMerge w:val="restart"/>
            <w:vAlign w:val="center"/>
          </w:tcPr>
          <w:p w:rsidR="005B3917" w:rsidRDefault="005B3917" w:rsidP="005B391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992" w:type="dxa"/>
            <w:vMerge w:val="restart"/>
            <w:vAlign w:val="center"/>
          </w:tcPr>
          <w:p w:rsidR="005B3917" w:rsidRDefault="005B3917" w:rsidP="005B3917">
            <w:pPr>
              <w:widowControl/>
              <w:jc w:val="center"/>
              <w:rPr>
                <w:rFonts w:ascii="黑体" w:eastAsia="黑体" w:hAnsi="宋体" w:cs="宋体"/>
                <w:color w:val="000000"/>
                <w:kern w:val="0"/>
                <w:sz w:val="22"/>
              </w:rPr>
            </w:pPr>
            <w:r w:rsidRPr="002A1AC3">
              <w:rPr>
                <w:rFonts w:ascii="黑体" w:eastAsia="黑体" w:hAnsi="宋体" w:cs="宋体" w:hint="eastAsia"/>
                <w:color w:val="000000"/>
                <w:kern w:val="0"/>
                <w:sz w:val="22"/>
              </w:rPr>
              <w:t>公开主体</w:t>
            </w:r>
          </w:p>
        </w:tc>
        <w:tc>
          <w:tcPr>
            <w:tcW w:w="2410" w:type="dxa"/>
            <w:vMerge w:val="restart"/>
            <w:vAlign w:val="center"/>
          </w:tcPr>
          <w:p w:rsidR="005B3917" w:rsidRPr="002A1AC3" w:rsidRDefault="005B3917" w:rsidP="005B3917">
            <w:pPr>
              <w:widowControl/>
              <w:jc w:val="center"/>
              <w:rPr>
                <w:rFonts w:ascii="黑体" w:eastAsia="黑体" w:hAnsi="宋体" w:cs="宋体"/>
                <w:color w:val="000000"/>
                <w:kern w:val="0"/>
                <w:sz w:val="22"/>
              </w:rPr>
            </w:pPr>
            <w:r w:rsidRPr="002A1AC3">
              <w:rPr>
                <w:rFonts w:ascii="黑体" w:eastAsia="黑体" w:hAnsi="宋体" w:cs="宋体" w:hint="eastAsia"/>
                <w:color w:val="000000"/>
                <w:kern w:val="0"/>
                <w:sz w:val="22"/>
              </w:rPr>
              <w:t>公开渠道和载体</w:t>
            </w:r>
          </w:p>
        </w:tc>
        <w:tc>
          <w:tcPr>
            <w:tcW w:w="1275" w:type="dxa"/>
            <w:gridSpan w:val="2"/>
            <w:vAlign w:val="center"/>
          </w:tcPr>
          <w:p w:rsidR="005B3917" w:rsidRDefault="005B3917" w:rsidP="005B391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76" w:type="dxa"/>
            <w:gridSpan w:val="2"/>
            <w:vAlign w:val="center"/>
          </w:tcPr>
          <w:p w:rsidR="005B3917" w:rsidRPr="005B3917" w:rsidRDefault="005B3917" w:rsidP="005B3917">
            <w:pPr>
              <w:jc w:val="center"/>
              <w:rPr>
                <w:rFonts w:ascii="黑体" w:eastAsia="黑体" w:hAnsi="宋体" w:cs="宋体" w:hint="eastAsia"/>
                <w:color w:val="000000"/>
                <w:kern w:val="0"/>
                <w:sz w:val="22"/>
              </w:rPr>
            </w:pPr>
            <w:r>
              <w:rPr>
                <w:rFonts w:ascii="黑体" w:eastAsia="黑体" w:hAnsi="宋体" w:cs="宋体" w:hint="eastAsia"/>
                <w:color w:val="000000"/>
                <w:kern w:val="0"/>
                <w:sz w:val="22"/>
              </w:rPr>
              <w:t>公开方式</w:t>
            </w:r>
          </w:p>
        </w:tc>
      </w:tr>
      <w:tr w:rsidR="005B3917" w:rsidTr="005B3917">
        <w:trPr>
          <w:cantSplit/>
        </w:trPr>
        <w:tc>
          <w:tcPr>
            <w:tcW w:w="534" w:type="dxa"/>
            <w:vMerge/>
            <w:vAlign w:val="center"/>
          </w:tcPr>
          <w:p w:rsidR="005B3917" w:rsidRPr="005B3917" w:rsidRDefault="005B3917" w:rsidP="005B3917">
            <w:pPr>
              <w:jc w:val="center"/>
              <w:rPr>
                <w:rFonts w:ascii="黑体" w:eastAsia="黑体" w:hAnsi="宋体" w:cs="宋体" w:hint="eastAsia"/>
                <w:color w:val="000000"/>
                <w:kern w:val="0"/>
                <w:sz w:val="22"/>
              </w:rPr>
            </w:pPr>
          </w:p>
        </w:tc>
        <w:tc>
          <w:tcPr>
            <w:tcW w:w="708" w:type="dxa"/>
            <w:vMerge/>
            <w:vAlign w:val="center"/>
          </w:tcPr>
          <w:p w:rsidR="005B3917" w:rsidRPr="005B3917" w:rsidRDefault="005B3917" w:rsidP="005B3917">
            <w:pPr>
              <w:jc w:val="center"/>
              <w:rPr>
                <w:rFonts w:ascii="黑体" w:eastAsia="黑体" w:hAnsi="宋体" w:cs="宋体" w:hint="eastAsia"/>
                <w:color w:val="000000"/>
                <w:kern w:val="0"/>
                <w:sz w:val="22"/>
              </w:rPr>
            </w:pPr>
          </w:p>
        </w:tc>
        <w:tc>
          <w:tcPr>
            <w:tcW w:w="1134" w:type="dxa"/>
            <w:vAlign w:val="center"/>
          </w:tcPr>
          <w:p w:rsidR="005B3917" w:rsidRDefault="005B3917" w:rsidP="005B3917">
            <w:pPr>
              <w:widowControl/>
              <w:jc w:val="center"/>
              <w:rPr>
                <w:rFonts w:ascii="黑体" w:eastAsia="黑体" w:hAnsi="宋体" w:cs="宋体" w:hint="eastAsia"/>
                <w:color w:val="000000"/>
                <w:kern w:val="0"/>
                <w:sz w:val="22"/>
              </w:rPr>
            </w:pPr>
            <w:r>
              <w:rPr>
                <w:rFonts w:ascii="黑体" w:eastAsia="黑体" w:hAnsi="宋体" w:cs="宋体" w:hint="eastAsia"/>
                <w:color w:val="000000"/>
                <w:kern w:val="0"/>
                <w:sz w:val="22"/>
              </w:rPr>
              <w:t>一级</w:t>
            </w:r>
          </w:p>
          <w:p w:rsidR="005B3917" w:rsidRDefault="005B3917" w:rsidP="005B391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事项</w:t>
            </w:r>
          </w:p>
        </w:tc>
        <w:tc>
          <w:tcPr>
            <w:tcW w:w="1276" w:type="dxa"/>
            <w:vAlign w:val="center"/>
          </w:tcPr>
          <w:p w:rsidR="005B3917" w:rsidRDefault="005B3917" w:rsidP="005B391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2126" w:type="dxa"/>
            <w:vMerge/>
            <w:vAlign w:val="center"/>
          </w:tcPr>
          <w:p w:rsidR="005B3917" w:rsidRDefault="005B3917" w:rsidP="005B3917">
            <w:pPr>
              <w:widowControl/>
              <w:jc w:val="center"/>
              <w:rPr>
                <w:rFonts w:ascii="黑体" w:eastAsia="黑体" w:hAnsi="宋体" w:cs="宋体"/>
                <w:color w:val="000000"/>
                <w:kern w:val="0"/>
                <w:sz w:val="22"/>
              </w:rPr>
            </w:pPr>
          </w:p>
        </w:tc>
        <w:tc>
          <w:tcPr>
            <w:tcW w:w="3119" w:type="dxa"/>
            <w:vMerge/>
            <w:vAlign w:val="center"/>
          </w:tcPr>
          <w:p w:rsidR="005B3917" w:rsidRDefault="005B3917" w:rsidP="005B3917">
            <w:pPr>
              <w:widowControl/>
              <w:jc w:val="center"/>
              <w:rPr>
                <w:rFonts w:ascii="黑体" w:eastAsia="黑体" w:hAnsi="宋体" w:cs="宋体"/>
                <w:color w:val="000000"/>
                <w:kern w:val="0"/>
                <w:sz w:val="22"/>
              </w:rPr>
            </w:pPr>
          </w:p>
        </w:tc>
        <w:tc>
          <w:tcPr>
            <w:tcW w:w="1276" w:type="dxa"/>
            <w:vMerge/>
            <w:vAlign w:val="center"/>
          </w:tcPr>
          <w:p w:rsidR="005B3917" w:rsidRDefault="005B3917" w:rsidP="005B3917">
            <w:pPr>
              <w:widowControl/>
              <w:jc w:val="center"/>
              <w:rPr>
                <w:rFonts w:ascii="黑体" w:eastAsia="黑体" w:hAnsi="宋体" w:cs="宋体"/>
                <w:color w:val="000000"/>
                <w:kern w:val="0"/>
                <w:sz w:val="22"/>
              </w:rPr>
            </w:pPr>
          </w:p>
        </w:tc>
        <w:tc>
          <w:tcPr>
            <w:tcW w:w="992" w:type="dxa"/>
            <w:vMerge/>
            <w:vAlign w:val="center"/>
          </w:tcPr>
          <w:p w:rsidR="005B3917" w:rsidRDefault="005B3917" w:rsidP="005B3917">
            <w:pPr>
              <w:widowControl/>
              <w:jc w:val="center"/>
              <w:rPr>
                <w:rFonts w:ascii="黑体" w:eastAsia="黑体" w:hAnsi="宋体" w:cs="宋体"/>
                <w:color w:val="000000"/>
                <w:kern w:val="0"/>
                <w:sz w:val="22"/>
              </w:rPr>
            </w:pPr>
          </w:p>
        </w:tc>
        <w:tc>
          <w:tcPr>
            <w:tcW w:w="2410" w:type="dxa"/>
            <w:vMerge/>
            <w:vAlign w:val="center"/>
          </w:tcPr>
          <w:p w:rsidR="005B3917" w:rsidRPr="002A1AC3" w:rsidRDefault="005B3917" w:rsidP="005B3917">
            <w:pPr>
              <w:widowControl/>
              <w:jc w:val="center"/>
              <w:rPr>
                <w:rFonts w:ascii="黑体" w:eastAsia="黑体" w:hAnsi="宋体" w:cs="宋体"/>
                <w:color w:val="000000"/>
                <w:kern w:val="0"/>
                <w:sz w:val="22"/>
              </w:rPr>
            </w:pPr>
          </w:p>
        </w:tc>
        <w:tc>
          <w:tcPr>
            <w:tcW w:w="567" w:type="dxa"/>
            <w:vAlign w:val="center"/>
          </w:tcPr>
          <w:p w:rsidR="005B3917" w:rsidRPr="005D1EA5" w:rsidRDefault="005B3917" w:rsidP="005B3917">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08" w:type="dxa"/>
            <w:vAlign w:val="center"/>
          </w:tcPr>
          <w:p w:rsidR="005B3917" w:rsidRPr="005D1EA5" w:rsidRDefault="005B3917" w:rsidP="005B3917">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67" w:type="dxa"/>
            <w:vAlign w:val="center"/>
          </w:tcPr>
          <w:p w:rsidR="005B3917" w:rsidRPr="005D1EA5" w:rsidRDefault="005B3917" w:rsidP="005B3917">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09" w:type="dxa"/>
            <w:vAlign w:val="center"/>
          </w:tcPr>
          <w:p w:rsidR="005B3917" w:rsidRPr="005D1EA5" w:rsidRDefault="005B3917" w:rsidP="005B3917">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708" w:type="dxa"/>
            <w:vMerge w:val="restart"/>
            <w:textDirection w:val="tbRlV"/>
            <w:vAlign w:val="center"/>
          </w:tcPr>
          <w:p w:rsidR="005B3917" w:rsidRDefault="005B3917" w:rsidP="005B3917">
            <w:pPr>
              <w:ind w:left="113" w:right="113"/>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高青县国有土地房屋征收法律依据</w:t>
            </w:r>
          </w:p>
        </w:tc>
        <w:tc>
          <w:tcPr>
            <w:tcW w:w="1134" w:type="dxa"/>
            <w:vMerge w:val="restart"/>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高青县国有土地房屋征收相关法规政策</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国家层面土地征收法规政策</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本单位开展房屋征收相关工作时所依据的国家颁布实施的相关法律法规政策正文、名称、时间等。</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国有土地上房屋征收与补偿条例》；《国有土地上房屋征收评估办法》；《关于推进国有土地上房屋征收与补偿信息公开工作的实施意见》；《关于进一步加强国有土地上房屋征收与补偿信息公开工作的通知》；《淄博市国有土地上房屋征收补偿实施办法》。</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8" w:type="dxa"/>
            <w:vAlign w:val="center"/>
          </w:tcPr>
          <w:p w:rsidR="005B3917" w:rsidRDefault="005B3917" w:rsidP="005B3917">
            <w:pPr>
              <w:jc w:val="center"/>
              <w:rPr>
                <w:rFonts w:ascii="仿宋_GB2312" w:eastAsia="仿宋_GB2312" w:hAnsi="宋体"/>
                <w:color w:val="000000"/>
                <w:sz w:val="18"/>
                <w:szCs w:val="18"/>
              </w:rPr>
            </w:pPr>
            <w:bookmarkStart w:id="0" w:name="_GoBack"/>
            <w:bookmarkEnd w:id="0"/>
            <w:r>
              <w:rPr>
                <w:rFonts w:ascii="仿宋_GB2312" w:eastAsia="仿宋_GB2312" w:hAnsi="宋体" w:hint="eastAsia"/>
                <w:color w:val="000000"/>
                <w:sz w:val="18"/>
                <w:szCs w:val="18"/>
              </w:rPr>
              <w:t xml:space="preserve">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ign w:val="center"/>
          </w:tcPr>
          <w:p w:rsidR="005B3917" w:rsidRDefault="005B3917" w:rsidP="005B3917">
            <w:pPr>
              <w:jc w:val="center"/>
              <w:rPr>
                <w:rFonts w:ascii="仿宋_GB2312" w:eastAsia="仿宋_GB2312" w:hAnsi="宋体"/>
                <w:color w:val="000000"/>
                <w:sz w:val="18"/>
                <w:szCs w:val="18"/>
              </w:rPr>
            </w:pP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高青县地方层面土地征收法规政策</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由地方颁布实施的国有土地房屋征收相关法规；地方政府规章；规范性文件，正文、名称、时间等。</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国有土地上房屋征收与补偿条例》；《国有土地上房屋征收评估办法》；《关于推进国有土地上房屋征收与补偿信息公开工作的实施意见》；《关于进一步加强国有土地上房屋征收与补偿信息公开工作的通知》；《淄博市国有土地上房屋征收补偿实施办法》。</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3</w:t>
            </w:r>
          </w:p>
        </w:tc>
        <w:tc>
          <w:tcPr>
            <w:tcW w:w="708" w:type="dxa"/>
            <w:vMerge w:val="restart"/>
            <w:vAlign w:val="center"/>
          </w:tcPr>
          <w:p w:rsidR="005B3917" w:rsidRDefault="005B3917" w:rsidP="005B3917">
            <w:pPr>
              <w:jc w:val="center"/>
              <w:rPr>
                <w:rFonts w:ascii="仿宋_GB2312" w:eastAsia="仿宋_GB2312" w:hAnsi="宋体"/>
                <w:color w:val="000000"/>
                <w:sz w:val="18"/>
                <w:szCs w:val="18"/>
              </w:rPr>
            </w:pPr>
          </w:p>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高青县国有土地房屋征收准备</w:t>
            </w:r>
          </w:p>
        </w:tc>
        <w:tc>
          <w:tcPr>
            <w:tcW w:w="1134" w:type="dxa"/>
            <w:vMerge w:val="restart"/>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高青县国有土地房屋征收申请工作</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高青县房屋征收启动要件</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征收项目符合公共利益的相关材料，做出征收决定的必要因素的证明文件。</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国有土地上房屋征收与补偿条例》；《国有土地上房屋征收评估办法》；《关于推进国有土地上房屋征收与补偿信息公开工作的实施意见》；《关于进一步加强国有土地上房屋征收与补偿信息公开工作的通知》；《淄博市国有土地上房屋征收补偿实施办法》。</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自收到申请之日起20个工作日内公开</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申请人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ign w:val="center"/>
          </w:tcPr>
          <w:p w:rsidR="005B3917" w:rsidRDefault="005B3917" w:rsidP="005B3917">
            <w:pPr>
              <w:jc w:val="center"/>
              <w:rPr>
                <w:rFonts w:ascii="仿宋_GB2312" w:eastAsia="仿宋_GB2312" w:hAnsi="宋体"/>
                <w:color w:val="000000"/>
                <w:sz w:val="18"/>
                <w:szCs w:val="18"/>
              </w:rPr>
            </w:pP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社会稳定风险评估工作开展情况</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社会稳定风险评估结果、建设项目房屋征收社会稳定风险评估报告</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《国有土地上房屋征收与补偿条例》；《山东省国有土地上房屋征收与补偿条例》，《淄博市委办公厅市政府宫廷关于建立社会稳定风险评估机制的实施意见》</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自收到申请之日起20个工作日内</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申请人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5</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ign w:val="center"/>
          </w:tcPr>
          <w:p w:rsidR="005B3917" w:rsidRDefault="005B3917" w:rsidP="005B3917">
            <w:pPr>
              <w:jc w:val="center"/>
              <w:rPr>
                <w:rFonts w:ascii="仿宋_GB2312" w:eastAsia="仿宋_GB2312" w:hAnsi="宋体"/>
                <w:color w:val="000000"/>
                <w:sz w:val="18"/>
                <w:szCs w:val="18"/>
              </w:rPr>
            </w:pP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拟征收房屋调查登记情况</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入户调查通知；调查结果；认定结果。征收范围内房屋的权属、区位、用途、建筑面积、租赁等情况，房屋的权属登记资料。</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在征收范围内向被征收人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6</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ign w:val="center"/>
          </w:tcPr>
          <w:p w:rsidR="005B3917" w:rsidRDefault="005B3917" w:rsidP="005B3917">
            <w:pPr>
              <w:jc w:val="center"/>
              <w:rPr>
                <w:rFonts w:ascii="仿宋_GB2312" w:eastAsia="仿宋_GB2312" w:hAnsi="宋体"/>
                <w:color w:val="000000"/>
                <w:sz w:val="18"/>
                <w:szCs w:val="18"/>
              </w:rPr>
            </w:pP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高青县房屋征收补偿方案拟订工作开展情况</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房屋征收补偿资金预决算相关文件;房屋征收补偿方案（讨论稿），《房屋征收补偿方案征求意见表》，根据公众意见修改情况；征收补偿方案听证会时间、材料、笔录结果；征求意见和补偿方案修改情况通告。</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信息形成或者变更之日起20个工作日内予以公开；征求意见期限不得少于30日</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申请人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7</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ign w:val="center"/>
          </w:tcPr>
          <w:p w:rsidR="005B3917" w:rsidRDefault="005B3917" w:rsidP="005B3917">
            <w:pPr>
              <w:jc w:val="center"/>
              <w:rPr>
                <w:rFonts w:ascii="仿宋_GB2312" w:eastAsia="仿宋_GB2312" w:hAnsi="宋体"/>
                <w:color w:val="000000"/>
                <w:sz w:val="18"/>
                <w:szCs w:val="18"/>
              </w:rPr>
            </w:pP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高青县房屋征收决定</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高青县人民政府房屋征收决定公告（包括补偿方案和行政复议、行政诉讼权利说明等事项）。</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在征收范围内向被征收人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8</w:t>
            </w:r>
          </w:p>
        </w:tc>
        <w:tc>
          <w:tcPr>
            <w:tcW w:w="708" w:type="dxa"/>
            <w:vMerge w:val="restart"/>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高青县国有土地上房屋征收评估</w:t>
            </w:r>
          </w:p>
        </w:tc>
        <w:tc>
          <w:tcPr>
            <w:tcW w:w="1134" w:type="dxa"/>
            <w:vMerge w:val="restart"/>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高青县国有土地征收房屋评估工作</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房地产估价机构确定</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房地产评估机构选定方案或确定通知；房屋征收候选评估机构名单。</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在征收范围内向被征收人</w:t>
            </w:r>
          </w:p>
          <w:p w:rsidR="005B3917" w:rsidRDefault="005B3917" w:rsidP="005B3917">
            <w:pPr>
              <w:jc w:val="center"/>
              <w:rPr>
                <w:rFonts w:ascii="仿宋_GB2312" w:eastAsia="仿宋_GB2312" w:hAnsi="宋体"/>
                <w:color w:val="000000"/>
                <w:sz w:val="18"/>
                <w:szCs w:val="18"/>
              </w:rPr>
            </w:pP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9</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ign w:val="center"/>
          </w:tcPr>
          <w:p w:rsidR="005B3917" w:rsidRDefault="005B3917" w:rsidP="005B3917">
            <w:pPr>
              <w:jc w:val="center"/>
              <w:rPr>
                <w:rFonts w:ascii="仿宋_GB2312" w:eastAsia="仿宋_GB2312" w:hAnsi="宋体"/>
                <w:color w:val="000000"/>
                <w:sz w:val="18"/>
                <w:szCs w:val="18"/>
              </w:rPr>
            </w:pP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高青县被征收房屋评估</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被征收房屋分户初步评估结果公示表；被征收房屋分户初步评估结果的通知；分户评估报告。</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信息形成或者变更之日起20个工作日内予以公开</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10</w:t>
            </w:r>
          </w:p>
        </w:tc>
        <w:tc>
          <w:tcPr>
            <w:tcW w:w="708" w:type="dxa"/>
            <w:vMerge w:val="restart"/>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高青县国有土地上房屋征收补偿及征收后续</w:t>
            </w:r>
          </w:p>
        </w:tc>
        <w:tc>
          <w:tcPr>
            <w:tcW w:w="11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高青县国有土地征收房屋补偿工作</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分户补偿情况</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建设项目被证书房屋分户补偿情况的通知；建设项目被征收房屋活不补偿分户数据明细表。</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信息形成或者变更之日起20个工作日内予以公开</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在征收范围内向被征收人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11</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restart"/>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高青县国有土地征收房屋补偿工作</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产权调换房屋</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房源信息；选房办法；选房结果；产权调换房屋的初步评估结果与分户初步评估结果；建设项目被征收房屋产权调换补偿分户数据明细表。</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信息形成或者变更之日起20个工作日内予以公开，公示7个工作日</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在征收范围内向被征收人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B3917" w:rsidTr="005B3917">
        <w:trPr>
          <w:cantSplit/>
        </w:trPr>
        <w:tc>
          <w:tcPr>
            <w:tcW w:w="534"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12</w:t>
            </w:r>
          </w:p>
        </w:tc>
        <w:tc>
          <w:tcPr>
            <w:tcW w:w="708" w:type="dxa"/>
            <w:vMerge/>
            <w:vAlign w:val="center"/>
          </w:tcPr>
          <w:p w:rsidR="005B3917" w:rsidRDefault="005B3917" w:rsidP="005B3917">
            <w:pPr>
              <w:jc w:val="center"/>
              <w:rPr>
                <w:rFonts w:ascii="仿宋_GB2312" w:eastAsia="仿宋_GB2312" w:hAnsi="宋体"/>
                <w:color w:val="000000"/>
                <w:sz w:val="18"/>
                <w:szCs w:val="18"/>
              </w:rPr>
            </w:pPr>
          </w:p>
        </w:tc>
        <w:tc>
          <w:tcPr>
            <w:tcW w:w="1134" w:type="dxa"/>
            <w:vMerge/>
            <w:vAlign w:val="center"/>
          </w:tcPr>
          <w:p w:rsidR="005B3917" w:rsidRDefault="005B3917" w:rsidP="005B3917">
            <w:pPr>
              <w:jc w:val="center"/>
              <w:rPr>
                <w:rFonts w:ascii="仿宋_GB2312" w:eastAsia="仿宋_GB2312" w:hAnsi="宋体"/>
                <w:color w:val="000000"/>
                <w:sz w:val="18"/>
                <w:szCs w:val="18"/>
              </w:rPr>
            </w:pP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房屋征收补偿决定</w:t>
            </w:r>
          </w:p>
        </w:tc>
        <w:tc>
          <w:tcPr>
            <w:tcW w:w="212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高青县人民政府房屋征收补偿决定公告。</w:t>
            </w:r>
          </w:p>
        </w:tc>
        <w:tc>
          <w:tcPr>
            <w:tcW w:w="3119"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76"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信息形成或者变更之日起20个工作日内予以公开</w:t>
            </w:r>
          </w:p>
        </w:tc>
        <w:tc>
          <w:tcPr>
            <w:tcW w:w="992"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高青县房地产服务中心征收服务办公室</w:t>
            </w:r>
          </w:p>
        </w:tc>
        <w:tc>
          <w:tcPr>
            <w:tcW w:w="2410" w:type="dxa"/>
            <w:vAlign w:val="center"/>
          </w:tcPr>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□政府网站   □政府公报</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□两微一端   □发布会</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□广播电视   □纸质媒体</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□公开查阅点 □政务服务中心             </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□便民服务站 ■入户/现场</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□社区/企事业单位/村公示栏（电子屏）</w:t>
            </w:r>
          </w:p>
          <w:p w:rsidR="005B3917" w:rsidRDefault="005B3917" w:rsidP="005B3917">
            <w:pPr>
              <w:rPr>
                <w:rFonts w:ascii="仿宋_GB2312" w:eastAsia="仿宋_GB2312" w:hAnsi="宋体"/>
                <w:color w:val="000000"/>
                <w:sz w:val="18"/>
                <w:szCs w:val="18"/>
              </w:rPr>
            </w:pPr>
            <w:r>
              <w:rPr>
                <w:rFonts w:ascii="仿宋_GB2312" w:eastAsia="仿宋_GB2312" w:hAnsi="宋体" w:hint="eastAsia"/>
                <w:color w:val="000000"/>
                <w:sz w:val="18"/>
                <w:szCs w:val="18"/>
              </w:rPr>
              <w:t xml:space="preserve">□精准推送   □其他  </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08"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在征收范围内向被征收人</w:t>
            </w:r>
          </w:p>
        </w:tc>
        <w:tc>
          <w:tcPr>
            <w:tcW w:w="567"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5B3917" w:rsidRDefault="005B3917" w:rsidP="005B3917">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bl>
    <w:p w:rsidR="00CF68BD" w:rsidRDefault="00CF68BD" w:rsidP="005B3917"/>
    <w:sectPr w:rsidR="00CF68BD" w:rsidSect="005B3917">
      <w:pgSz w:w="16840" w:h="11907" w:orient="landscape" w:code="9"/>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38" w:rsidRDefault="00240F38" w:rsidP="004012FD">
      <w:r>
        <w:separator/>
      </w:r>
    </w:p>
  </w:endnote>
  <w:endnote w:type="continuationSeparator" w:id="0">
    <w:p w:rsidR="00240F38" w:rsidRDefault="00240F38" w:rsidP="0040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38" w:rsidRDefault="00240F38" w:rsidP="004012FD">
      <w:r>
        <w:separator/>
      </w:r>
    </w:p>
  </w:footnote>
  <w:footnote w:type="continuationSeparator" w:id="0">
    <w:p w:rsidR="00240F38" w:rsidRDefault="00240F38" w:rsidP="00401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7261A"/>
    <w:rsid w:val="00240F38"/>
    <w:rsid w:val="004012FD"/>
    <w:rsid w:val="005B3917"/>
    <w:rsid w:val="00CF68BD"/>
    <w:rsid w:val="149025D4"/>
    <w:rsid w:val="2EA12639"/>
    <w:rsid w:val="5837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1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12FD"/>
    <w:rPr>
      <w:kern w:val="2"/>
      <w:sz w:val="18"/>
      <w:szCs w:val="18"/>
    </w:rPr>
  </w:style>
  <w:style w:type="paragraph" w:styleId="a4">
    <w:name w:val="footer"/>
    <w:basedOn w:val="a"/>
    <w:link w:val="Char0"/>
    <w:rsid w:val="004012FD"/>
    <w:pPr>
      <w:tabs>
        <w:tab w:val="center" w:pos="4153"/>
        <w:tab w:val="right" w:pos="8306"/>
      </w:tabs>
      <w:snapToGrid w:val="0"/>
      <w:jc w:val="left"/>
    </w:pPr>
    <w:rPr>
      <w:sz w:val="18"/>
      <w:szCs w:val="18"/>
    </w:rPr>
  </w:style>
  <w:style w:type="character" w:customStyle="1" w:styleId="Char0">
    <w:name w:val="页脚 Char"/>
    <w:basedOn w:val="a0"/>
    <w:link w:val="a4"/>
    <w:rsid w:val="004012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1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12FD"/>
    <w:rPr>
      <w:kern w:val="2"/>
      <w:sz w:val="18"/>
      <w:szCs w:val="18"/>
    </w:rPr>
  </w:style>
  <w:style w:type="paragraph" w:styleId="a4">
    <w:name w:val="footer"/>
    <w:basedOn w:val="a"/>
    <w:link w:val="Char0"/>
    <w:rsid w:val="004012FD"/>
    <w:pPr>
      <w:tabs>
        <w:tab w:val="center" w:pos="4153"/>
        <w:tab w:val="right" w:pos="8306"/>
      </w:tabs>
      <w:snapToGrid w:val="0"/>
      <w:jc w:val="left"/>
    </w:pPr>
    <w:rPr>
      <w:sz w:val="18"/>
      <w:szCs w:val="18"/>
    </w:rPr>
  </w:style>
  <w:style w:type="character" w:customStyle="1" w:styleId="Char0">
    <w:name w:val="页脚 Char"/>
    <w:basedOn w:val="a0"/>
    <w:link w:val="a4"/>
    <w:rsid w:val="004012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622</Words>
  <Characters>3551</Characters>
  <Application>Microsoft Office Word</Application>
  <DocSecurity>0</DocSecurity>
  <Lines>29</Lines>
  <Paragraphs>8</Paragraphs>
  <ScaleCrop>false</ScaleCrop>
  <Company>gq</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2</cp:revision>
  <dcterms:created xsi:type="dcterms:W3CDTF">2020-09-24T09:05:00Z</dcterms:created>
  <dcterms:modified xsi:type="dcterms:W3CDTF">2020-10-16T09:08:00Z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