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建设计划完成情况</w:t>
      </w:r>
    </w:p>
    <w:p>
      <w:pPr>
        <w:numPr>
          <w:numId w:val="0"/>
        </w:num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建设计划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发放住房租赁补贴80户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建设人才公寓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80套，其中产权型48套，租赁型32套。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建设计划完成情况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截至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4月底我县住房租赁补贴在保户数为121户。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2、人才公共公寓80套已开工建设，其中雍顺园二期建设产权型48套，黄三角药谷人次公寓建设租赁型32套。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C216C"/>
    <w:multiLevelType w:val="singleLevel"/>
    <w:tmpl w:val="E09C21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94C470"/>
    <w:multiLevelType w:val="singleLevel"/>
    <w:tmpl w:val="2094C4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3BF0"/>
    <w:rsid w:val="25E1261A"/>
    <w:rsid w:val="5BBF48C2"/>
    <w:rsid w:val="6E6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2020-04-29T00:43:34Z</dcterms:created>
  <dc:creator>Administrator</dc:creator>
  <cp:lastModifiedBy>45°看天空</cp:lastModifiedBy>
  <dcterms:modified xsi:type="dcterms:W3CDTF">2020-04-29T00:56:36Z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