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487" w:rsidRPr="00FE71AF" w:rsidRDefault="00B80AFB" w:rsidP="00D355E2">
      <w:pPr>
        <w:spacing w:line="500" w:lineRule="exact"/>
        <w:jc w:val="center"/>
        <w:rPr>
          <w:rFonts w:ascii="方正小标宋_GBK" w:eastAsia="方正小标宋_GBK" w:hAnsi="宋体" w:cs="宋体"/>
          <w:bCs/>
          <w:kern w:val="0"/>
          <w:sz w:val="44"/>
          <w:szCs w:val="44"/>
        </w:rPr>
      </w:pPr>
      <w:r w:rsidRPr="00FE71AF">
        <w:rPr>
          <w:rFonts w:ascii="方正小标宋_GBK" w:eastAsia="方正小标宋_GBK" w:hAnsi="宋体" w:cs="宋体" w:hint="eastAsia"/>
          <w:bCs/>
          <w:kern w:val="0"/>
          <w:sz w:val="44"/>
          <w:szCs w:val="44"/>
        </w:rPr>
        <w:t>山东省国有土地上房屋征收与补偿条例</w:t>
      </w:r>
    </w:p>
    <w:p w:rsidR="00AC0487" w:rsidRDefault="00AC0487" w:rsidP="00D355E2">
      <w:pPr>
        <w:spacing w:line="500" w:lineRule="exact"/>
        <w:rPr>
          <w:rFonts w:ascii="宋体" w:hAnsi="宋体" w:cs="宋体"/>
          <w:bCs/>
          <w:kern w:val="0"/>
          <w:sz w:val="32"/>
          <w:szCs w:val="32"/>
        </w:rPr>
      </w:pPr>
    </w:p>
    <w:p w:rsidR="00AC0487" w:rsidRDefault="00B80AFB" w:rsidP="00D355E2">
      <w:pPr>
        <w:spacing w:line="500" w:lineRule="exact"/>
        <w:ind w:leftChars="305" w:left="640" w:right="640" w:firstLineChars="200" w:firstLine="640"/>
        <w:rPr>
          <w:rFonts w:ascii="楷体_GB2312" w:eastAsia="楷体_GB2312" w:hAnsi="楷体_GB2312" w:cs="楷体_GB2312"/>
          <w:bCs/>
          <w:kern w:val="0"/>
          <w:sz w:val="32"/>
          <w:szCs w:val="32"/>
        </w:rPr>
      </w:pPr>
      <w:r>
        <w:rPr>
          <w:rFonts w:ascii="楷体_GB2312" w:eastAsia="楷体_GB2312" w:hAnsi="楷体_GB2312" w:cs="楷体_GB2312" w:hint="eastAsia"/>
          <w:bCs/>
          <w:kern w:val="0"/>
          <w:sz w:val="32"/>
          <w:szCs w:val="32"/>
        </w:rPr>
        <w:t>2014年11月27日山东省第十二届人民代表大会常务委员会第十一次会议通过</w:t>
      </w:r>
      <w:r w:rsidR="00C6648C">
        <w:rPr>
          <w:rFonts w:ascii="楷体_GB2312" w:eastAsia="楷体_GB2312" w:hAnsi="楷体_GB2312" w:cs="楷体_GB2312" w:hint="eastAsia"/>
          <w:bCs/>
          <w:kern w:val="0"/>
          <w:sz w:val="32"/>
          <w:szCs w:val="32"/>
        </w:rPr>
        <w:t xml:space="preserve">  </w:t>
      </w:r>
      <w:r w:rsidR="00C6648C" w:rsidRPr="00C6648C">
        <w:rPr>
          <w:rFonts w:ascii="楷体_GB2312" w:eastAsia="楷体_GB2312" w:hAnsi="楷体_GB2312" w:cs="楷体_GB2312" w:hint="eastAsia"/>
          <w:bCs/>
          <w:kern w:val="0"/>
          <w:sz w:val="32"/>
          <w:szCs w:val="32"/>
        </w:rPr>
        <w:t>根据2020年7月24日山东省第十三届人民代表大会常务委员会第二十二次会议《关于修改&lt;山东省农民专业合作社条例&gt;等十二件地方性法规的决定》修正</w:t>
      </w:r>
      <w:r>
        <w:rPr>
          <w:rFonts w:ascii="楷体_GB2312" w:eastAsia="楷体_GB2312" w:hAnsi="楷体_GB2312" w:cs="楷体_GB2312" w:hint="eastAsia"/>
          <w:bCs/>
          <w:kern w:val="0"/>
          <w:sz w:val="32"/>
          <w:szCs w:val="32"/>
        </w:rPr>
        <w:t xml:space="preserve">  </w:t>
      </w:r>
    </w:p>
    <w:p w:rsidR="00AC0487" w:rsidRDefault="00AC0487" w:rsidP="00D355E2">
      <w:pPr>
        <w:spacing w:line="500" w:lineRule="exact"/>
        <w:jc w:val="left"/>
        <w:rPr>
          <w:rFonts w:ascii="楷体_GB2312" w:eastAsia="楷体_GB2312" w:hAnsi="楷体_GB2312" w:cs="楷体_GB2312"/>
          <w:bCs/>
          <w:kern w:val="0"/>
          <w:sz w:val="32"/>
          <w:szCs w:val="32"/>
        </w:rPr>
      </w:pPr>
    </w:p>
    <w:p w:rsidR="00AC0487" w:rsidRDefault="00B80AFB" w:rsidP="00D355E2">
      <w:pPr>
        <w:spacing w:line="500" w:lineRule="exact"/>
        <w:jc w:val="center"/>
        <w:rPr>
          <w:rFonts w:ascii="楷体_GB2312" w:eastAsia="楷体_GB2312" w:hAnsi="楷体_GB2312" w:cs="楷体_GB2312"/>
          <w:bCs/>
          <w:kern w:val="0"/>
          <w:sz w:val="32"/>
          <w:szCs w:val="32"/>
        </w:rPr>
      </w:pPr>
      <w:r>
        <w:rPr>
          <w:rFonts w:ascii="楷体_GB2312" w:eastAsia="楷体_GB2312" w:hAnsi="楷体_GB2312" w:cs="楷体_GB2312" w:hint="eastAsia"/>
          <w:bCs/>
          <w:kern w:val="0"/>
          <w:sz w:val="32"/>
          <w:szCs w:val="32"/>
        </w:rPr>
        <w:t>目  录</w:t>
      </w:r>
    </w:p>
    <w:p w:rsidR="00AC0487" w:rsidRDefault="00B80AFB" w:rsidP="00D355E2">
      <w:pPr>
        <w:spacing w:line="500" w:lineRule="exact"/>
        <w:rPr>
          <w:rFonts w:ascii="楷体_GB2312" w:eastAsia="楷体_GB2312" w:hAnsi="楷体_GB2312" w:cs="楷体_GB2312"/>
          <w:sz w:val="32"/>
          <w:szCs w:val="32"/>
          <w:shd w:val="clear" w:color="auto" w:fill="FFFFFF"/>
        </w:rPr>
      </w:pPr>
      <w:r>
        <w:rPr>
          <w:rFonts w:ascii="楷体_GB2312" w:eastAsia="楷体_GB2312" w:hAnsi="楷体_GB2312" w:cs="楷体_GB2312" w:hint="eastAsia"/>
          <w:bCs/>
          <w:kern w:val="0"/>
          <w:sz w:val="32"/>
          <w:szCs w:val="32"/>
        </w:rPr>
        <w:t xml:space="preserve">    第一章  </w:t>
      </w:r>
      <w:r>
        <w:rPr>
          <w:rFonts w:ascii="楷体_GB2312" w:eastAsia="楷体_GB2312" w:hAnsi="楷体_GB2312" w:cs="楷体_GB2312" w:hint="eastAsia"/>
          <w:sz w:val="32"/>
          <w:szCs w:val="32"/>
          <w:shd w:val="clear" w:color="auto" w:fill="FFFFFF"/>
        </w:rPr>
        <w:t>总</w:t>
      </w:r>
      <w:r w:rsidR="00F07B49">
        <w:rPr>
          <w:rFonts w:ascii="楷体_GB2312" w:eastAsia="楷体_GB2312" w:hAnsi="楷体_GB2312" w:cs="楷体_GB2312" w:hint="eastAsia"/>
          <w:sz w:val="32"/>
          <w:szCs w:val="32"/>
          <w:shd w:val="clear" w:color="auto" w:fill="FFFFFF"/>
        </w:rPr>
        <w:t xml:space="preserve">  </w:t>
      </w:r>
      <w:r>
        <w:rPr>
          <w:rFonts w:ascii="楷体_GB2312" w:eastAsia="楷体_GB2312" w:hAnsi="楷体_GB2312" w:cs="楷体_GB2312" w:hint="eastAsia"/>
          <w:sz w:val="32"/>
          <w:szCs w:val="32"/>
          <w:shd w:val="clear" w:color="auto" w:fill="FFFFFF"/>
        </w:rPr>
        <w:t>则</w:t>
      </w:r>
    </w:p>
    <w:p w:rsidR="00AC0487" w:rsidRDefault="00B80AFB" w:rsidP="00D355E2">
      <w:pPr>
        <w:spacing w:line="500" w:lineRule="exact"/>
        <w:ind w:firstLine="640"/>
        <w:rPr>
          <w:rFonts w:ascii="楷体_GB2312" w:eastAsia="楷体_GB2312" w:hAnsi="楷体_GB2312" w:cs="楷体_GB2312"/>
          <w:sz w:val="32"/>
          <w:szCs w:val="32"/>
          <w:shd w:val="clear" w:color="auto" w:fill="FFFFFF"/>
        </w:rPr>
      </w:pPr>
      <w:r>
        <w:rPr>
          <w:rFonts w:ascii="楷体_GB2312" w:eastAsia="楷体_GB2312" w:hAnsi="楷体_GB2312" w:cs="楷体_GB2312" w:hint="eastAsia"/>
          <w:sz w:val="32"/>
          <w:szCs w:val="32"/>
          <w:shd w:val="clear" w:color="auto" w:fill="FFFFFF"/>
        </w:rPr>
        <w:t>第二章  征收决定</w:t>
      </w:r>
    </w:p>
    <w:p w:rsidR="00AC0487" w:rsidRDefault="00B80AFB" w:rsidP="00D355E2">
      <w:pPr>
        <w:spacing w:line="500" w:lineRule="exact"/>
        <w:ind w:firstLine="640"/>
        <w:rPr>
          <w:rFonts w:ascii="楷体_GB2312" w:eastAsia="楷体_GB2312" w:hAnsi="楷体_GB2312" w:cs="楷体_GB2312"/>
          <w:bCs/>
          <w:kern w:val="0"/>
          <w:sz w:val="32"/>
          <w:szCs w:val="32"/>
        </w:rPr>
      </w:pPr>
      <w:r>
        <w:rPr>
          <w:rFonts w:ascii="楷体_GB2312" w:eastAsia="楷体_GB2312" w:hAnsi="楷体_GB2312" w:cs="楷体_GB2312" w:hint="eastAsia"/>
          <w:sz w:val="32"/>
          <w:szCs w:val="32"/>
          <w:shd w:val="clear" w:color="auto" w:fill="FFFFFF"/>
        </w:rPr>
        <w:t>第三章  补</w:t>
      </w:r>
      <w:r w:rsidR="00F07B49">
        <w:rPr>
          <w:rFonts w:ascii="楷体_GB2312" w:eastAsia="楷体_GB2312" w:hAnsi="楷体_GB2312" w:cs="楷体_GB2312" w:hint="eastAsia"/>
          <w:sz w:val="32"/>
          <w:szCs w:val="32"/>
          <w:shd w:val="clear" w:color="auto" w:fill="FFFFFF"/>
        </w:rPr>
        <w:t xml:space="preserve">  </w:t>
      </w:r>
      <w:r>
        <w:rPr>
          <w:rFonts w:ascii="楷体_GB2312" w:eastAsia="楷体_GB2312" w:hAnsi="楷体_GB2312" w:cs="楷体_GB2312" w:hint="eastAsia"/>
          <w:sz w:val="32"/>
          <w:szCs w:val="32"/>
          <w:shd w:val="clear" w:color="auto" w:fill="FFFFFF"/>
        </w:rPr>
        <w:t>偿</w:t>
      </w:r>
    </w:p>
    <w:p w:rsidR="00AC0487" w:rsidRDefault="00B80AFB" w:rsidP="00D355E2">
      <w:pPr>
        <w:spacing w:line="500" w:lineRule="exact"/>
        <w:rPr>
          <w:rFonts w:ascii="楷体_GB2312" w:eastAsia="楷体_GB2312" w:hAnsi="楷体_GB2312" w:cs="楷体_GB2312"/>
          <w:bCs/>
          <w:kern w:val="0"/>
          <w:sz w:val="32"/>
          <w:szCs w:val="32"/>
        </w:rPr>
      </w:pPr>
      <w:r>
        <w:rPr>
          <w:rFonts w:ascii="楷体_GB2312" w:eastAsia="楷体_GB2312" w:hAnsi="楷体_GB2312" w:cs="楷体_GB2312" w:hint="eastAsia"/>
          <w:sz w:val="32"/>
          <w:szCs w:val="32"/>
          <w:shd w:val="clear" w:color="auto" w:fill="FFFFFF"/>
        </w:rPr>
        <w:t xml:space="preserve">    第四章  征收评估</w:t>
      </w:r>
    </w:p>
    <w:p w:rsidR="00AC0487" w:rsidRDefault="00B80AFB" w:rsidP="00D355E2">
      <w:pPr>
        <w:spacing w:line="500" w:lineRule="exact"/>
        <w:rPr>
          <w:rFonts w:ascii="楷体_GB2312" w:eastAsia="楷体_GB2312" w:hAnsi="楷体_GB2312" w:cs="楷体_GB2312"/>
          <w:bCs/>
          <w:kern w:val="0"/>
          <w:sz w:val="32"/>
          <w:szCs w:val="32"/>
        </w:rPr>
      </w:pPr>
      <w:r>
        <w:rPr>
          <w:rFonts w:ascii="楷体_GB2312" w:eastAsia="楷体_GB2312" w:hAnsi="楷体_GB2312" w:cs="楷体_GB2312" w:hint="eastAsia"/>
          <w:sz w:val="32"/>
          <w:szCs w:val="32"/>
          <w:shd w:val="clear" w:color="auto" w:fill="FFFFFF"/>
        </w:rPr>
        <w:t xml:space="preserve">    第五章  法律责任</w:t>
      </w:r>
    </w:p>
    <w:p w:rsidR="00AC0487" w:rsidRDefault="00B80AFB" w:rsidP="00D355E2">
      <w:pPr>
        <w:spacing w:line="500" w:lineRule="exact"/>
        <w:rPr>
          <w:rFonts w:ascii="楷体_GB2312" w:eastAsia="楷体_GB2312" w:hAnsi="楷体_GB2312" w:cs="楷体_GB2312"/>
          <w:bCs/>
          <w:kern w:val="0"/>
          <w:sz w:val="32"/>
          <w:szCs w:val="32"/>
        </w:rPr>
      </w:pPr>
      <w:r>
        <w:rPr>
          <w:rFonts w:ascii="楷体_GB2312" w:eastAsia="楷体_GB2312" w:hAnsi="楷体_GB2312" w:cs="楷体_GB2312" w:hint="eastAsia"/>
          <w:sz w:val="32"/>
          <w:szCs w:val="32"/>
          <w:shd w:val="clear" w:color="auto" w:fill="FFFFFF"/>
        </w:rPr>
        <w:t xml:space="preserve">    第六章  附</w:t>
      </w:r>
      <w:r w:rsidR="00F07B49">
        <w:rPr>
          <w:rFonts w:ascii="楷体_GB2312" w:eastAsia="楷体_GB2312" w:hAnsi="楷体_GB2312" w:cs="楷体_GB2312" w:hint="eastAsia"/>
          <w:sz w:val="32"/>
          <w:szCs w:val="32"/>
          <w:shd w:val="clear" w:color="auto" w:fill="FFFFFF"/>
        </w:rPr>
        <w:t xml:space="preserve">  </w:t>
      </w:r>
      <w:r>
        <w:rPr>
          <w:rFonts w:ascii="楷体_GB2312" w:eastAsia="楷体_GB2312" w:hAnsi="楷体_GB2312" w:cs="楷体_GB2312" w:hint="eastAsia"/>
          <w:sz w:val="32"/>
          <w:szCs w:val="32"/>
          <w:shd w:val="clear" w:color="auto" w:fill="FFFFFF"/>
        </w:rPr>
        <w:t>则</w:t>
      </w:r>
    </w:p>
    <w:p w:rsidR="00AC0487" w:rsidRDefault="00AC0487" w:rsidP="00D355E2">
      <w:pPr>
        <w:spacing w:line="500" w:lineRule="exact"/>
        <w:jc w:val="center"/>
        <w:rPr>
          <w:rFonts w:ascii="仿宋_GB2312" w:eastAsia="仿宋_GB2312" w:hAnsi="仿宋_GB2312" w:cs="仿宋_GB2312"/>
          <w:bCs/>
          <w:kern w:val="0"/>
          <w:sz w:val="32"/>
          <w:szCs w:val="32"/>
        </w:rPr>
      </w:pPr>
    </w:p>
    <w:p w:rsidR="00AC0487" w:rsidRDefault="00B80AFB" w:rsidP="00D355E2">
      <w:pPr>
        <w:spacing w:line="500" w:lineRule="exact"/>
        <w:jc w:val="center"/>
        <w:rPr>
          <w:rFonts w:ascii="黑体" w:eastAsia="黑体" w:hAnsi="黑体" w:cs="黑体"/>
          <w:kern w:val="0"/>
          <w:sz w:val="32"/>
          <w:szCs w:val="32"/>
        </w:rPr>
      </w:pPr>
      <w:r>
        <w:rPr>
          <w:rFonts w:ascii="黑体" w:eastAsia="黑体" w:hAnsi="黑体" w:cs="黑体" w:hint="eastAsia"/>
          <w:kern w:val="0"/>
          <w:sz w:val="32"/>
          <w:szCs w:val="32"/>
        </w:rPr>
        <w:t>第一章  总</w:t>
      </w:r>
      <w:r w:rsidR="00F07B49">
        <w:rPr>
          <w:rFonts w:ascii="黑体" w:eastAsia="黑体" w:hAnsi="黑体" w:cs="黑体" w:hint="eastAsia"/>
          <w:kern w:val="0"/>
          <w:sz w:val="32"/>
          <w:szCs w:val="32"/>
        </w:rPr>
        <w:t xml:space="preserve">  </w:t>
      </w:r>
      <w:r>
        <w:rPr>
          <w:rFonts w:ascii="黑体" w:eastAsia="黑体" w:hAnsi="黑体" w:cs="黑体" w:hint="eastAsia"/>
          <w:kern w:val="0"/>
          <w:sz w:val="32"/>
          <w:szCs w:val="32"/>
        </w:rPr>
        <w:t>则</w:t>
      </w:r>
    </w:p>
    <w:p w:rsidR="00AC0487" w:rsidRDefault="00AC0487" w:rsidP="00D355E2">
      <w:pPr>
        <w:spacing w:line="500" w:lineRule="exact"/>
        <w:rPr>
          <w:rFonts w:ascii="黑体" w:eastAsia="黑体" w:hAnsi="黑体" w:cs="黑体"/>
          <w:kern w:val="0"/>
          <w:sz w:val="32"/>
          <w:szCs w:val="32"/>
        </w:rPr>
      </w:pP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为了规范国有土地上房屋征收与补偿活动，维护公共利益，保障被征收房屋所有权人的合法权益，根据《国有土地上房屋征收与补偿条例》等法律、行政法规，结合本省实际，制定本条例。</w:t>
      </w:r>
    </w:p>
    <w:p w:rsidR="00AC0487" w:rsidRDefault="00B80AFB" w:rsidP="00D355E2">
      <w:pPr>
        <w:pStyle w:val="p0"/>
        <w:widowControl w:val="0"/>
        <w:spacing w:line="500" w:lineRule="exact"/>
        <w:ind w:firstLineChars="200" w:firstLine="640"/>
        <w:rPr>
          <w:rFonts w:ascii="仿宋_GB2312" w:eastAsia="仿宋_GB2312" w:hAnsi="仿宋_GB2312" w:cs="仿宋_GB2312"/>
          <w:bCs/>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在本省行政区域内，为了公共利益的需要，征收国有土地上单位、个人的房屋，对被征收房屋所有权人（以下简称</w:t>
      </w:r>
      <w:r>
        <w:rPr>
          <w:rFonts w:ascii="仿宋_GB2312" w:eastAsia="仿宋_GB2312" w:hAnsi="仿宋_GB2312" w:cs="仿宋_GB2312" w:hint="eastAsia"/>
          <w:sz w:val="32"/>
          <w:szCs w:val="32"/>
        </w:rPr>
        <w:lastRenderedPageBreak/>
        <w:t>被征收人）进行补偿，适用本条例。</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房屋征收与补偿应当遵循决策民主、程序正当、补偿公平、结果公开的原则。</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征收个人住宅的，应当保障被征收人的居住条件。</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市、县级人民政府负责本行政区域内国有土地上房屋征收与补偿工作。</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市、县级人民政府住房城乡建设、房地产主管部门或者市、县级人民政府确定的其他房屋征收部门（以下统称房屋征收部门）负责组织实施本行政区域内的房屋征收与补偿工作。</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发展改革、财政、公安、教育、民政、</w:t>
      </w:r>
      <w:r w:rsidR="005F180A" w:rsidRPr="000B2A7A">
        <w:rPr>
          <w:rFonts w:ascii="仿宋_GB2312" w:eastAsia="仿宋_GB2312" w:hAnsi="仿宋_GB2312" w:cs="仿宋_GB2312" w:hint="eastAsia"/>
          <w:sz w:val="32"/>
          <w:szCs w:val="32"/>
        </w:rPr>
        <w:t>自然</w:t>
      </w:r>
      <w:r w:rsidRPr="005F180A">
        <w:rPr>
          <w:rFonts w:ascii="仿宋_GB2312" w:eastAsia="仿宋_GB2312" w:hAnsi="仿宋_GB2312" w:cs="仿宋_GB2312" w:hint="eastAsia"/>
          <w:sz w:val="32"/>
          <w:szCs w:val="32"/>
        </w:rPr>
        <w:t>资源</w:t>
      </w:r>
      <w:r w:rsidRPr="008D7436">
        <w:rPr>
          <w:rFonts w:ascii="仿宋_GB2312" w:eastAsia="仿宋_GB2312" w:hAnsi="仿宋_GB2312" w:cs="仿宋_GB2312" w:hint="eastAsia"/>
          <w:sz w:val="32"/>
          <w:szCs w:val="32"/>
        </w:rPr>
        <w:t>、</w:t>
      </w:r>
      <w:r w:rsidR="008D7436" w:rsidRPr="000B2A7A">
        <w:rPr>
          <w:rFonts w:ascii="仿宋_GB2312" w:eastAsia="仿宋_GB2312" w:hAnsi="仿宋_GB2312" w:cs="仿宋_GB2312" w:hint="eastAsia"/>
          <w:sz w:val="32"/>
          <w:szCs w:val="32"/>
        </w:rPr>
        <w:t>市场</w:t>
      </w:r>
      <w:r w:rsidR="00E379A8" w:rsidRPr="000B2A7A">
        <w:rPr>
          <w:rFonts w:ascii="仿宋_GB2312" w:eastAsia="仿宋_GB2312" w:hAnsi="仿宋_GB2312" w:cs="仿宋_GB2312" w:hint="eastAsia"/>
          <w:sz w:val="32"/>
          <w:szCs w:val="32"/>
        </w:rPr>
        <w:t>监督管理</w:t>
      </w:r>
      <w:r>
        <w:rPr>
          <w:rFonts w:ascii="仿宋_GB2312" w:eastAsia="仿宋_GB2312" w:hAnsi="仿宋_GB2312" w:cs="仿宋_GB2312" w:hint="eastAsia"/>
          <w:sz w:val="32"/>
          <w:szCs w:val="32"/>
        </w:rPr>
        <w:t>等部门按照职责分工，做好房屋征收与补偿的相关工作。</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第五条  </w:t>
      </w:r>
      <w:r>
        <w:rPr>
          <w:rFonts w:ascii="仿宋_GB2312" w:eastAsia="仿宋_GB2312" w:hAnsi="仿宋_GB2312" w:cs="仿宋_GB2312" w:hint="eastAsia"/>
          <w:sz w:val="32"/>
          <w:szCs w:val="32"/>
        </w:rPr>
        <w:t>房屋征收部门可以委托房屋征收实施单位承担房屋征收与补偿的具体工作。房屋征收实施单位不得以营利为目的。</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房屋征收部门对房屋征收实施单位在委托范围内实施的房屋征收与补偿行为负责监督，并对其行为后果承担法律责任。</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市、县级人民政府应当将房屋征收与补偿工作经费纳入本级财政预算。</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省住房城乡建设主管部门应当会同发展改革、财政、</w:t>
      </w:r>
      <w:r w:rsidR="004C69B1" w:rsidRPr="000B2A7A">
        <w:rPr>
          <w:rFonts w:ascii="仿宋_GB2312" w:eastAsia="仿宋_GB2312" w:hAnsi="仿宋_GB2312" w:cs="仿宋_GB2312" w:hint="eastAsia"/>
          <w:sz w:val="32"/>
          <w:szCs w:val="32"/>
        </w:rPr>
        <w:t>自然</w:t>
      </w:r>
      <w:r>
        <w:rPr>
          <w:rFonts w:ascii="仿宋_GB2312" w:eastAsia="仿宋_GB2312" w:hAnsi="仿宋_GB2312" w:cs="仿宋_GB2312" w:hint="eastAsia"/>
          <w:sz w:val="32"/>
          <w:szCs w:val="32"/>
        </w:rPr>
        <w:t>资源等有关部门，加强对本省房屋征收与补偿工作的指导。</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乡镇人民政府、街道办事处和居民委员会应当配合房屋征收部门做好房屋征收与补偿工作。</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第七条 </w:t>
      </w:r>
      <w:r>
        <w:rPr>
          <w:rFonts w:ascii="仿宋_GB2312" w:eastAsia="仿宋_GB2312" w:hAnsi="仿宋_GB2312" w:cs="仿宋_GB2312" w:hint="eastAsia"/>
          <w:sz w:val="32"/>
          <w:szCs w:val="32"/>
        </w:rPr>
        <w:t xml:space="preserve"> 从事房屋征收与补偿工作的人员应当具备相关法律知识和业务知识，依法实施房屋征收与补偿行为。</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房屋征收部门或者房屋征收实施单位可以委托具备相应资</w:t>
      </w:r>
      <w:r>
        <w:rPr>
          <w:rFonts w:ascii="仿宋_GB2312" w:eastAsia="仿宋_GB2312" w:hAnsi="仿宋_GB2312" w:cs="仿宋_GB2312" w:hint="eastAsia"/>
          <w:sz w:val="32"/>
          <w:szCs w:val="32"/>
        </w:rPr>
        <w:lastRenderedPageBreak/>
        <w:t>质</w:t>
      </w:r>
      <w:r w:rsidR="00295600">
        <w:rPr>
          <w:rFonts w:ascii="仿宋_GB2312" w:eastAsia="仿宋_GB2312" w:hAnsi="仿宋_GB2312" w:cs="仿宋_GB2312" w:hint="eastAsia"/>
          <w:sz w:val="32"/>
          <w:szCs w:val="32"/>
        </w:rPr>
        <w:t>或者能力</w:t>
      </w:r>
      <w:r>
        <w:rPr>
          <w:rFonts w:ascii="仿宋_GB2312" w:eastAsia="仿宋_GB2312" w:hAnsi="仿宋_GB2312" w:cs="仿宋_GB2312" w:hint="eastAsia"/>
          <w:sz w:val="32"/>
          <w:szCs w:val="32"/>
        </w:rPr>
        <w:t>的单位承担测绘、预评估、房屋拆除、法律服务等专业性工作。</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任何组织和个人对违反本条例规定的行为，都有权向有关人民政府、房屋征收部门和其他有关部门投诉、举报。接到投诉、举报的人民政府和部门应当及时核实、处理。</w:t>
      </w:r>
    </w:p>
    <w:p w:rsidR="00AC0487" w:rsidRDefault="00AC0487" w:rsidP="00D355E2">
      <w:pPr>
        <w:pStyle w:val="p0"/>
        <w:widowControl w:val="0"/>
        <w:spacing w:line="500" w:lineRule="exact"/>
        <w:jc w:val="center"/>
        <w:rPr>
          <w:rFonts w:ascii="仿宋_GB2312" w:eastAsia="仿宋_GB2312" w:hAnsi="仿宋_GB2312" w:cs="仿宋_GB2312"/>
          <w:sz w:val="32"/>
          <w:szCs w:val="32"/>
        </w:rPr>
      </w:pPr>
    </w:p>
    <w:p w:rsidR="00AC0487" w:rsidRDefault="00B80AFB" w:rsidP="00D355E2">
      <w:pPr>
        <w:pStyle w:val="p0"/>
        <w:widowControl w:val="0"/>
        <w:spacing w:line="500" w:lineRule="exact"/>
        <w:jc w:val="center"/>
        <w:rPr>
          <w:rFonts w:ascii="黑体" w:eastAsia="黑体" w:hAnsi="黑体" w:cs="黑体"/>
          <w:sz w:val="32"/>
          <w:szCs w:val="32"/>
        </w:rPr>
      </w:pPr>
      <w:r>
        <w:rPr>
          <w:rFonts w:ascii="黑体" w:eastAsia="黑体" w:hAnsi="黑体" w:cs="黑体" w:hint="eastAsia"/>
          <w:sz w:val="32"/>
          <w:szCs w:val="32"/>
        </w:rPr>
        <w:t>第二章  征收决定</w:t>
      </w:r>
    </w:p>
    <w:p w:rsidR="00AC0487" w:rsidRDefault="00AC0487" w:rsidP="00D355E2">
      <w:pPr>
        <w:pStyle w:val="p0"/>
        <w:widowControl w:val="0"/>
        <w:spacing w:line="500" w:lineRule="exact"/>
        <w:rPr>
          <w:rFonts w:ascii="黑体" w:eastAsia="黑体" w:hAnsi="黑体" w:cs="黑体"/>
          <w:sz w:val="32"/>
          <w:szCs w:val="32"/>
        </w:rPr>
      </w:pP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为了保障国家安全、促进国民经济和社会发展等公共利益的需要，有下列情形之一确需征收房屋的，由市、县级人民政府对国有土地上房屋依法进行征收：</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（一）国防和外交的需要；</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（二）由政府组织实施的能源、交通、水利等基础设施建设的需要；</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（三）由政府组织实施的科技、教育、文化、卫生、体育、环境和资源保护、防灾减灾、文物保护、社会福利、市政公用等公共事业的需要；</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（四）由政府组织实施的保障性安居工程建设的需要；</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（五）由政府依照城乡规划法有关规定组织实施的对危房集中、基础设施落后等地段进行旧城区改建的需要；</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（六）法律、行政法规规定的其他公共利益的需要。</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非因前款所列情形，不得对国有土地上房屋进行征收。</w:t>
      </w:r>
    </w:p>
    <w:p w:rsidR="00AC0487" w:rsidRDefault="00B80AFB" w:rsidP="00D355E2">
      <w:pPr>
        <w:spacing w:line="500" w:lineRule="exact"/>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第十条</w:t>
      </w:r>
      <w:r>
        <w:rPr>
          <w:rFonts w:ascii="仿宋_GB2312" w:eastAsia="仿宋_GB2312" w:hAnsi="仿宋_GB2312" w:cs="仿宋_GB2312" w:hint="eastAsia"/>
          <w:kern w:val="0"/>
          <w:sz w:val="32"/>
          <w:szCs w:val="32"/>
        </w:rPr>
        <w:t xml:space="preserve">  依照本条例第九条规定征收房屋的，由政府确定的建设项目组织实施单位向房屋征收部门提出启动房屋征收程序，</w:t>
      </w:r>
      <w:r>
        <w:rPr>
          <w:rFonts w:ascii="仿宋_GB2312" w:eastAsia="仿宋_GB2312" w:hAnsi="仿宋_GB2312" w:cs="仿宋_GB2312" w:hint="eastAsia"/>
          <w:kern w:val="0"/>
          <w:sz w:val="32"/>
          <w:szCs w:val="32"/>
        </w:rPr>
        <w:lastRenderedPageBreak/>
        <w:t>说明房屋征收范围和符合公共利益的具体情形，并提交发展改革、</w:t>
      </w:r>
      <w:r w:rsidR="001301AA" w:rsidRPr="000B2A7A">
        <w:rPr>
          <w:rFonts w:ascii="仿宋_GB2312" w:eastAsia="仿宋_GB2312" w:hAnsi="仿宋_GB2312" w:cs="仿宋_GB2312" w:hint="eastAsia"/>
          <w:kern w:val="0"/>
          <w:sz w:val="32"/>
          <w:szCs w:val="32"/>
        </w:rPr>
        <w:t>自然资源</w:t>
      </w:r>
      <w:r>
        <w:rPr>
          <w:rFonts w:ascii="仿宋_GB2312" w:eastAsia="仿宋_GB2312" w:hAnsi="仿宋_GB2312" w:cs="仿宋_GB2312" w:hint="eastAsia"/>
          <w:kern w:val="0"/>
          <w:sz w:val="32"/>
          <w:szCs w:val="32"/>
        </w:rPr>
        <w:t>等部门出具的建设项目符合国民经济和社会发展规划、土地利用总体规划、城乡规划和专项规划的证明文件。</w:t>
      </w:r>
    </w:p>
    <w:p w:rsidR="00AC0487" w:rsidRDefault="00B80AFB" w:rsidP="00D355E2">
      <w:pPr>
        <w:spacing w:line="5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因保障性安居工程建设、旧城区改建需要征收房屋的，建设项目组织实施单位除提交前款规定的证明文件外，还应当提交发展改革部门出具的建设项目纳入国民经济和社会发展年度计划的证明文件。</w:t>
      </w:r>
    </w:p>
    <w:p w:rsidR="00AC0487" w:rsidRDefault="00B80AFB" w:rsidP="00D355E2">
      <w:pPr>
        <w:spacing w:line="5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房屋征收部门经审查，对房屋征收事项符合法定条件的，应当提出审查意见，报市、县级人民政府。市、县级人民政府决定启动房屋征收程序的，应当合理确定房屋征收范围。</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房屋征收范围确定并公布后，不得在房屋征收范围内实施新建、扩建、改建房屋和改变房屋用途等不当增加补偿费用的行为；违反规定实施的，不予补偿。</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房屋征收部门应当将前款规定限制事项书面通知</w:t>
      </w:r>
      <w:r w:rsidR="00F06059" w:rsidRPr="000B2A7A">
        <w:rPr>
          <w:rFonts w:ascii="仿宋_GB2312" w:eastAsia="仿宋_GB2312" w:hAnsi="仿宋_GB2312" w:cs="仿宋_GB2312" w:hint="eastAsia"/>
          <w:sz w:val="32"/>
          <w:szCs w:val="32"/>
        </w:rPr>
        <w:t>自然</w:t>
      </w:r>
      <w:r>
        <w:rPr>
          <w:rFonts w:ascii="仿宋_GB2312" w:eastAsia="仿宋_GB2312" w:hAnsi="仿宋_GB2312" w:cs="仿宋_GB2312" w:hint="eastAsia"/>
          <w:sz w:val="32"/>
          <w:szCs w:val="32"/>
        </w:rPr>
        <w:t>资源等有关部门暂停办理相关手续。暂停期限最长不得超过一年。</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房屋征收部门应当对房屋征收范围内房屋权属、区位、用途、建筑面积等情况组织调查登记。对未经权属登记的房屋，房屋征收部门应当提请市、县级人民政府组织有关部门依法进行认定和处理。</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房屋征收部门应当将房屋调查登记、认定和处理结果在房屋征收范围内公示。对房屋调查登记、认定和处理结果有异议的，市、县级人民政府应当组织有关部门及时进行复核、处理。</w:t>
      </w:r>
    </w:p>
    <w:p w:rsidR="00AC0487" w:rsidRDefault="00B80AFB" w:rsidP="00D355E2">
      <w:pPr>
        <w:spacing w:line="500" w:lineRule="exact"/>
        <w:ind w:firstLineChars="200" w:firstLine="640"/>
        <w:jc w:val="left"/>
        <w:rPr>
          <w:rFonts w:ascii="仿宋_GB2312" w:eastAsia="仿宋_GB2312" w:hAnsi="仿宋_GB2312" w:cs="仿宋_GB2312"/>
          <w:kern w:val="0"/>
          <w:sz w:val="32"/>
          <w:szCs w:val="32"/>
        </w:rPr>
      </w:pPr>
      <w:r>
        <w:rPr>
          <w:rFonts w:ascii="黑体" w:eastAsia="黑体" w:hAnsi="黑体" w:cs="黑体" w:hint="eastAsia"/>
          <w:kern w:val="0"/>
          <w:sz w:val="32"/>
          <w:szCs w:val="32"/>
        </w:rPr>
        <w:t>第十三条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kern w:val="0"/>
          <w:sz w:val="32"/>
          <w:szCs w:val="32"/>
        </w:rPr>
        <w:t>房屋征收部门应当拟定征收补偿方案，报市、县级人民政府。</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征收补偿方案应当包括下列内容：</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（一）房屋征收部门、房屋征收实施单位；</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（二）房屋征收范围、征收依据、征收目的、签约期限等；</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（三）被征收房屋的基本情况；</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（四）补偿方式、补偿标准和评估办法；</w:t>
      </w:r>
    </w:p>
    <w:p w:rsidR="00AC0487" w:rsidRDefault="00B80AFB" w:rsidP="00D355E2">
      <w:pPr>
        <w:pStyle w:val="p0"/>
        <w:widowControl w:val="0"/>
        <w:kinsoku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（五）用于产权调换房屋的地点、单套建筑面积、套数，产权调换房屋的价值认定；</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（六）过渡方式和搬迁费、临时安置费、停产停业损失补偿费标准；</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（七）补助和奖励等。</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第十四条  </w:t>
      </w:r>
      <w:r>
        <w:rPr>
          <w:rFonts w:ascii="仿宋_GB2312" w:eastAsia="仿宋_GB2312" w:hAnsi="仿宋_GB2312" w:cs="仿宋_GB2312" w:hint="eastAsia"/>
          <w:sz w:val="32"/>
          <w:szCs w:val="32"/>
        </w:rPr>
        <w:t>市、县级人民政府应当组织有关部门对征收补偿方案进行论证，并在房屋征收范围内予以公示。公示期限不得少于三十日。</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因旧城区改建需要征收房屋，超过半数的被征收人认为征收补偿方案不符合本条例规定的，市、县级人民政府应当组织由被征收人代表和公众代表参加的听证会，并根据听证会情况修改方案。听证工作由市、县级人民政府确定的部门或者机构组织实施。</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市、县级人民政府应当将征收补偿方案征求意见情况和根据公众意见修改情况及时公布。</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市、县级人民政府作出房屋征收决定前，应当对房屋征收的合法性、合理性、可行性、可控性以及征收补偿费用保障、风险化解措施、应急处置预案等内容进行评估论证，形成社会稳定风险评估报告。社会稳定风险评估报告应当作为是否作出房屋征收决定的重要依据。</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房屋征收决定涉及被征收人数量较多的，应当经政府常务会议讨论。</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作出房屋征收决定前，征收补偿费用应当足额到位、专户存储、专款专用。</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房屋征收事项符合法定条件的，由市、县级人民政府依法作出房屋征收决定。</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市、县级人民政府应当自作出房屋征收决定之日起三日内在房屋征收范围内发布公告。公告应当载明征收补偿方案和行政复议、行政诉讼权利等事项。</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房屋被依法征收的，国有土地使用权同时收回。</w:t>
      </w:r>
    </w:p>
    <w:p w:rsidR="00AC0487" w:rsidRDefault="00AC0487" w:rsidP="00D355E2">
      <w:pPr>
        <w:pStyle w:val="p0"/>
        <w:widowControl w:val="0"/>
        <w:spacing w:line="500" w:lineRule="exact"/>
        <w:jc w:val="left"/>
        <w:rPr>
          <w:rFonts w:ascii="黑体" w:eastAsia="黑体" w:hAnsi="黑体" w:cs="黑体"/>
          <w:sz w:val="32"/>
          <w:szCs w:val="32"/>
        </w:rPr>
      </w:pPr>
    </w:p>
    <w:p w:rsidR="00AC0487" w:rsidRDefault="00B80AFB" w:rsidP="00D355E2">
      <w:pPr>
        <w:pStyle w:val="p0"/>
        <w:widowControl w:val="0"/>
        <w:spacing w:line="500" w:lineRule="exact"/>
        <w:jc w:val="center"/>
        <w:rPr>
          <w:rFonts w:ascii="黑体" w:eastAsia="黑体" w:hAnsi="黑体" w:cs="黑体"/>
          <w:sz w:val="32"/>
          <w:szCs w:val="32"/>
        </w:rPr>
      </w:pPr>
      <w:r>
        <w:rPr>
          <w:rFonts w:ascii="黑体" w:eastAsia="黑体" w:hAnsi="黑体" w:cs="黑体" w:hint="eastAsia"/>
          <w:sz w:val="32"/>
          <w:szCs w:val="32"/>
        </w:rPr>
        <w:t>第三章  补</w:t>
      </w:r>
      <w:r w:rsidR="00B13508">
        <w:rPr>
          <w:rFonts w:ascii="黑体" w:eastAsia="黑体" w:hAnsi="黑体" w:cs="黑体" w:hint="eastAsia"/>
          <w:sz w:val="32"/>
          <w:szCs w:val="32"/>
        </w:rPr>
        <w:t xml:space="preserve">  </w:t>
      </w:r>
      <w:r>
        <w:rPr>
          <w:rFonts w:ascii="黑体" w:eastAsia="黑体" w:hAnsi="黑体" w:cs="黑体" w:hint="eastAsia"/>
          <w:sz w:val="32"/>
          <w:szCs w:val="32"/>
        </w:rPr>
        <w:t>偿</w:t>
      </w:r>
    </w:p>
    <w:p w:rsidR="00AC0487" w:rsidRDefault="00AC0487" w:rsidP="00D355E2">
      <w:pPr>
        <w:pStyle w:val="p0"/>
        <w:widowControl w:val="0"/>
        <w:spacing w:line="500" w:lineRule="exact"/>
        <w:rPr>
          <w:rFonts w:ascii="黑体" w:eastAsia="黑体" w:hAnsi="黑体" w:cs="黑体"/>
          <w:sz w:val="32"/>
          <w:szCs w:val="32"/>
        </w:rPr>
      </w:pP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作出房屋征收决定的人民政府应当对被征收人给予补偿，补偿内容应当包括：</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（一）被征收房屋价值补偿；</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（二）因征收房屋造成的搬迁补偿；</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（三）因征收房屋造成的临时安置补偿；</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（四）因征收房屋造成的停产停业损失补偿。</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被征收房屋价值中包括房屋装饰装修价值以及附属于该房屋的国有土地使用权的价值。</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市、县级人民政府应当制定补助和奖励办法，对被征收人给予补助和奖励。</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对被征收住宅房屋价值的补偿，按照房屋征收决</w:t>
      </w:r>
      <w:r>
        <w:rPr>
          <w:rFonts w:ascii="仿宋_GB2312" w:eastAsia="仿宋_GB2312" w:hAnsi="仿宋_GB2312" w:cs="仿宋_GB2312" w:hint="eastAsia"/>
          <w:sz w:val="32"/>
          <w:szCs w:val="32"/>
        </w:rPr>
        <w:lastRenderedPageBreak/>
        <w:t>定公告之日被征收房屋所处区位新建普通商品住房市场价格，由房地产价格评估机构评估确定。</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对被征收非住宅房屋价值的补偿，不得低于房屋征收决定公告之日被征收房屋所处区位类似房地产的市场价格，由房地产价格评估机构评估确定。</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被征收住宅房屋的最低补偿标准由设区的市人民政府确定，并向社会公布。</w:t>
      </w:r>
    </w:p>
    <w:p w:rsidR="00AC0487" w:rsidRDefault="00B80AFB" w:rsidP="00D355E2">
      <w:pPr>
        <w:spacing w:line="50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rPr>
        <w:t>第二十条</w:t>
      </w:r>
      <w:r>
        <w:rPr>
          <w:rFonts w:ascii="仿宋_GB2312" w:eastAsia="仿宋_GB2312" w:hAnsi="仿宋_GB2312" w:cs="仿宋_GB2312" w:hint="eastAsia"/>
          <w:kern w:val="0"/>
          <w:sz w:val="32"/>
          <w:szCs w:val="32"/>
        </w:rPr>
        <w:t xml:space="preserve">  被征收人可以选择货币补偿，也可以选择房屋产权调换。本条例第二十四条规定的情形除外。</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被征收人选择房屋产权调换的，作出房屋征收决定的人民政府应当以所提供的产权调换房屋与被征收人的房屋进行产权调换。产权调换房屋和被征收房屋的价值均依照本条例的规定进行评估确定。双方结清差价后，该产权调换房屋的所有权归被征收人所有。</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因旧城区改建征收个人住宅，被征收人选择在改建地段进行房屋产权调换的，作出房屋征收决定的人民政府应当提供改建地段或者就近地段的房屋。</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第二十二条  </w:t>
      </w:r>
      <w:r>
        <w:rPr>
          <w:rFonts w:ascii="仿宋_GB2312" w:eastAsia="仿宋_GB2312" w:hAnsi="仿宋_GB2312" w:cs="仿宋_GB2312" w:hint="eastAsia"/>
          <w:sz w:val="32"/>
          <w:szCs w:val="32"/>
        </w:rPr>
        <w:t>用于产权调换的房屋，应当符合下列规定：</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（一）符合国家和省规定的房屋建筑设计技术规范和标准；</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（二）符合国家和省规定的房屋质量安全标准；</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（三）产权清晰。</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被征收房屋的建筑面积和用途，以房屋权属证书和房屋登记簿的记载为准。房屋权属证书与房屋登记簿记载不一致的，除有证据证明房屋登记簿确有错误外，以房屋登记簿为</w:t>
      </w:r>
      <w:r>
        <w:rPr>
          <w:rFonts w:ascii="仿宋_GB2312" w:eastAsia="仿宋_GB2312" w:hAnsi="仿宋_GB2312" w:cs="仿宋_GB2312" w:hint="eastAsia"/>
          <w:sz w:val="32"/>
          <w:szCs w:val="32"/>
        </w:rPr>
        <w:lastRenderedPageBreak/>
        <w:t>准。</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被征收房屋属于公共租赁住房、公房管理部门直管住宅公房或者单位自管住宅公房的，在租赁关系存续期间，被征收人未与承租人达成解除租赁协议但符合房屋承租规定的，作出房屋征收决定的人民政府应当对被征收人实行房屋产权调换的补偿方式。用于产权调换的房屋由原房屋承租人承租，被征收人与原房屋承租人重新签订房屋租赁合同。</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征收个人住宅，被征收人只有一套住宅房屋，且该房屋建筑面积低于四十五平方米的，房屋征收部门应当对被征收人进行最低面积补偿，最低面积补偿标准不得少于四十五平方米建筑面积，具体标准由设区的市人民政府确定并向社会公布。</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按照最低面积进行补偿所增加的费用，由作出房屋征收决定的人民政府承担。</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房屋征收部门应当将符合本条第一款规定条件的被征收人，在房屋征收范围内进行公示。公示期限不得少于十日。</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被征收人符合住房保障条件的，作出房屋征收决定的市、县级人民政府应当直接配租、配售保障性住房，不再轮候。</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被征收人符合住房保障条件，也符合享受最低面积补偿条件的，房屋征收部门应当征求被征收人意见，由被征收人选择住房保障或者享受最低面积补偿。</w:t>
      </w:r>
    </w:p>
    <w:p w:rsidR="00AC0487" w:rsidRDefault="00B80AFB" w:rsidP="00D355E2">
      <w:pPr>
        <w:pStyle w:val="p0"/>
        <w:widowControl w:val="0"/>
        <w:spacing w:line="500" w:lineRule="exact"/>
        <w:ind w:firstLineChars="200" w:firstLine="640"/>
        <w:rPr>
          <w:rFonts w:ascii="仿宋_GB2312" w:eastAsia="仿宋_GB2312" w:hAnsi="仿宋_GB2312" w:cs="仿宋_GB2312"/>
          <w:bCs/>
          <w:sz w:val="32"/>
          <w:szCs w:val="32"/>
          <w:u w:val="single"/>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因征收房屋造成搬迁的，房屋征收部门应当向被征收人支付搬迁费。</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征收住宅房屋，房屋征收部门应当向被征收人</w:t>
      </w:r>
      <w:r>
        <w:rPr>
          <w:rFonts w:ascii="仿宋_GB2312" w:eastAsia="仿宋_GB2312" w:hAnsi="仿宋_GB2312" w:cs="仿宋_GB2312" w:hint="eastAsia"/>
          <w:sz w:val="32"/>
          <w:szCs w:val="32"/>
        </w:rPr>
        <w:lastRenderedPageBreak/>
        <w:t>支付临时安置费。</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被征收人选择货币补偿的，给予一次性临时安置费。</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被征收人选择房屋产权调换的，按照补偿协议约定的过渡期限支付临时安置费；被征收人选择房屋征收部门提供的周转用房的，不支付临时安置费。</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因房屋征收部门的责任延长过渡期限的，自逾期之日起按照标准双倍支付临时安置费；被征收人选择房屋征收部门提供的周转用房的，自逾期之日起按照标准支付临时安置费。</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因征收非住宅房屋给被征收人造成停产停业损失的，房屋征收部门应当向被征收人支付停产停业损失补偿费。</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被征收人选择货币补偿的，给予一次性停产停业损失补偿费。</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被征收人选择房屋产权调换的，按照补偿协议约定的过渡期限支付停产停业损失补偿费；被征收人选择房屋征收部门提供的周转用房的，不支付停产停业损失补偿费。</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因房屋征收部门的责任延长过渡期限的，自逾期之日起按照标准双倍支付停产停业损失补偿费；被征收人选择房屋征收部门提供的周转用房的，自逾期之日起按照标准支付停产停业损失补偿费。</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房屋征收部门应当与被征收人依法订立补偿协议，就补偿方式、补偿金额和支付期限、用于产权调换房屋的地点和面积、搬迁费、临时安置费、周转用房、停产停业损失补偿费、搬迁期限、过渡方式和过渡期限等事项进行约定。</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房屋征收部门与被征收人在征收补偿方案确定的签约期限内达不成补偿协议，或者被征收房屋所有权人不明</w:t>
      </w:r>
      <w:r>
        <w:rPr>
          <w:rFonts w:ascii="仿宋_GB2312" w:eastAsia="仿宋_GB2312" w:hAnsi="仿宋_GB2312" w:cs="仿宋_GB2312" w:hint="eastAsia"/>
          <w:sz w:val="32"/>
          <w:szCs w:val="32"/>
        </w:rPr>
        <w:lastRenderedPageBreak/>
        <w:t>确的，由房屋征收部门报请作出房屋征收决定的人民政府，按照征收补偿方案依法作出补偿决定，并在房屋征收范围内予以公告。</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被征收人对补偿决定不服的，可以依法申请行政复议，也可以依法提起行政诉讼。</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实施房屋征收应当先补偿、后搬迁。</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作出房屋征收决定的人民政府对被征收人给予补偿后，被征收人应当在补偿协议约定或者补偿决定确定的搬迁期限内完成搬迁。</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任何单位和个人不得采取暴力、威胁或者违反规定中断供水、供热、供气、供电和道路通行等非法方式迫使被征收人搬迁。</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禁止建设单位参与搬迁活动。</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第三十三条  </w:t>
      </w:r>
      <w:r>
        <w:rPr>
          <w:rFonts w:ascii="仿宋_GB2312" w:eastAsia="仿宋_GB2312" w:hAnsi="仿宋_GB2312" w:cs="仿宋_GB2312" w:hint="eastAsia"/>
          <w:sz w:val="32"/>
          <w:szCs w:val="32"/>
        </w:rPr>
        <w:t>被征收人在法定期限内不申请行政复议或者不提起行政诉讼，在补偿决定规定的期限内又不搬迁的，作出房屋征收决定的人民政府应当催告当事人履行搬迁义务，催告书送达十日后当事人仍未履行搬迁义务的，可以自被征收人的法定起诉期限届满之日起三个月内，依法向被征收房屋所在地有管辖权的人民法院申请强制执行。</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人民法院对强制执行的申请进行书面审查，对符合法律规定的，应当自立案之日起三十日内作出执行裁定，并向被执行人发出执行通知书，责令其在指定的期限内履行搬迁义务；对拒不履行搬迁义务的，依法强制执行。</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房屋征收部门应当依法建立房屋征收补偿档案，并将分户补偿情况在房屋征收范围内向被征收人公布。</w:t>
      </w:r>
    </w:p>
    <w:p w:rsidR="00AC0487" w:rsidRDefault="00B80AFB" w:rsidP="00D355E2">
      <w:pPr>
        <w:spacing w:line="500" w:lineRule="exact"/>
        <w:ind w:firstLineChars="200" w:firstLine="640"/>
        <w:jc w:val="left"/>
        <w:rPr>
          <w:rFonts w:ascii="仿宋_GB2312" w:eastAsia="仿宋_GB2312" w:hAnsi="仿宋_GB2312" w:cs="仿宋_GB2312"/>
          <w:kern w:val="0"/>
          <w:sz w:val="32"/>
          <w:szCs w:val="32"/>
        </w:rPr>
      </w:pPr>
      <w:r>
        <w:rPr>
          <w:rFonts w:ascii="黑体" w:eastAsia="黑体" w:hAnsi="黑体" w:cs="黑体" w:hint="eastAsia"/>
          <w:kern w:val="0"/>
          <w:sz w:val="32"/>
          <w:szCs w:val="32"/>
        </w:rPr>
        <w:t>第三十五条</w:t>
      </w:r>
      <w:r>
        <w:rPr>
          <w:rFonts w:ascii="仿宋_GB2312" w:eastAsia="仿宋_GB2312" w:hAnsi="仿宋_GB2312" w:cs="仿宋_GB2312" w:hint="eastAsia"/>
          <w:kern w:val="0"/>
          <w:sz w:val="32"/>
          <w:szCs w:val="32"/>
        </w:rPr>
        <w:t xml:space="preserve">  被征收人搬迁后，房屋征收部门应当将房屋征</w:t>
      </w:r>
      <w:r>
        <w:rPr>
          <w:rFonts w:ascii="仿宋_GB2312" w:eastAsia="仿宋_GB2312" w:hAnsi="仿宋_GB2312" w:cs="仿宋_GB2312" w:hint="eastAsia"/>
          <w:kern w:val="0"/>
          <w:sz w:val="32"/>
          <w:szCs w:val="32"/>
        </w:rPr>
        <w:lastRenderedPageBreak/>
        <w:t>收决定、被征收房屋清单提供给房屋、土地登记机构。</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房屋、土地登记机构应当依法办理房屋所有权、国有土地使用权注销登记。</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第三十六条  </w:t>
      </w:r>
      <w:r>
        <w:rPr>
          <w:rFonts w:ascii="仿宋_GB2312" w:eastAsia="仿宋_GB2312" w:hAnsi="仿宋_GB2312" w:cs="仿宋_GB2312" w:hint="eastAsia"/>
          <w:sz w:val="32"/>
          <w:szCs w:val="32"/>
        </w:rPr>
        <w:t>搬迁费、临时安置费、停产停业损失补偿费的具体标准，由设区的市人民政府制定并向社会公布。</w:t>
      </w:r>
    </w:p>
    <w:p w:rsidR="00AC0487" w:rsidRDefault="00AC0487" w:rsidP="00D355E2">
      <w:pPr>
        <w:pStyle w:val="p0"/>
        <w:widowControl w:val="0"/>
        <w:spacing w:line="500" w:lineRule="exact"/>
        <w:ind w:firstLineChars="200" w:firstLine="640"/>
        <w:rPr>
          <w:rFonts w:ascii="仿宋_GB2312" w:eastAsia="仿宋_GB2312" w:hAnsi="仿宋_GB2312" w:cs="仿宋_GB2312"/>
          <w:sz w:val="32"/>
          <w:szCs w:val="32"/>
        </w:rPr>
      </w:pPr>
    </w:p>
    <w:p w:rsidR="00AC0487" w:rsidRDefault="00B80AFB" w:rsidP="00D355E2">
      <w:pPr>
        <w:pStyle w:val="p0"/>
        <w:widowControl w:val="0"/>
        <w:spacing w:line="500" w:lineRule="exact"/>
        <w:jc w:val="center"/>
        <w:rPr>
          <w:rFonts w:ascii="黑体" w:eastAsia="黑体" w:hAnsi="黑体" w:cs="黑体"/>
          <w:sz w:val="32"/>
          <w:szCs w:val="32"/>
        </w:rPr>
      </w:pPr>
      <w:r>
        <w:rPr>
          <w:rFonts w:ascii="黑体" w:eastAsia="黑体" w:hAnsi="黑体" w:cs="黑体" w:hint="eastAsia"/>
          <w:sz w:val="32"/>
          <w:szCs w:val="32"/>
        </w:rPr>
        <w:t>第四章  征收评估</w:t>
      </w:r>
    </w:p>
    <w:p w:rsidR="00AC0487" w:rsidRDefault="00B80AFB" w:rsidP="00D355E2">
      <w:pPr>
        <w:pStyle w:val="p0"/>
        <w:widowControl w:val="0"/>
        <w:spacing w:line="500" w:lineRule="exact"/>
        <w:rPr>
          <w:rFonts w:ascii="黑体" w:eastAsia="黑体" w:hAnsi="黑体" w:cs="黑体"/>
          <w:sz w:val="32"/>
          <w:szCs w:val="32"/>
        </w:rPr>
      </w:pPr>
      <w:r>
        <w:rPr>
          <w:rFonts w:ascii="黑体" w:eastAsia="黑体" w:hAnsi="黑体" w:cs="黑体" w:hint="eastAsia"/>
          <w:sz w:val="32"/>
          <w:szCs w:val="32"/>
        </w:rPr>
        <w:t xml:space="preserve"> </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第三十七条</w:t>
      </w:r>
      <w:r>
        <w:rPr>
          <w:rFonts w:ascii="仿宋_GB2312" w:eastAsia="仿宋_GB2312" w:hAnsi="仿宋_GB2312" w:cs="仿宋_GB2312" w:hint="eastAsia"/>
          <w:sz w:val="32"/>
          <w:szCs w:val="32"/>
        </w:rPr>
        <w:t xml:space="preserve">  被征收房屋和产权调换房屋的价值，应当由</w:t>
      </w:r>
      <w:r w:rsidR="009E649C" w:rsidRPr="000B2A7A">
        <w:rPr>
          <w:rFonts w:ascii="仿宋_GB2312" w:eastAsia="仿宋_GB2312" w:hAnsi="仿宋_GB2312" w:cs="仿宋_GB2312" w:hint="eastAsia"/>
          <w:sz w:val="32"/>
          <w:szCs w:val="32"/>
        </w:rPr>
        <w:t>经依法备案的房地产价格评估机构</w:t>
      </w:r>
      <w:r>
        <w:rPr>
          <w:rFonts w:ascii="仿宋_GB2312" w:eastAsia="仿宋_GB2312" w:hAnsi="仿宋_GB2312" w:cs="仿宋_GB2312" w:hint="eastAsia"/>
          <w:sz w:val="32"/>
          <w:szCs w:val="32"/>
        </w:rPr>
        <w:t>评估确定。</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同一征收项目的房屋征收评估工作，一般由一个房地产价格评估机构承担。房屋征收范围较大的，可以由两个以上房地产价格评估机构共同承担，评估标准和方法应当统一。 </w:t>
      </w:r>
    </w:p>
    <w:p w:rsidR="00AC0487" w:rsidRDefault="00B05EC9" w:rsidP="00D355E2">
      <w:pPr>
        <w:spacing w:line="500" w:lineRule="exact"/>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第三十八条</w:t>
      </w:r>
      <w:r w:rsidR="00B80AFB">
        <w:rPr>
          <w:rFonts w:ascii="仿宋_GB2312" w:eastAsia="仿宋_GB2312" w:hAnsi="仿宋_GB2312" w:cs="仿宋_GB2312" w:hint="eastAsia"/>
          <w:kern w:val="0"/>
          <w:sz w:val="32"/>
          <w:szCs w:val="32"/>
        </w:rPr>
        <w:t xml:space="preserve">  </w:t>
      </w:r>
      <w:r w:rsidR="00B80AFB">
        <w:rPr>
          <w:rFonts w:ascii="仿宋_GB2312" w:eastAsia="仿宋_GB2312" w:hAnsi="仿宋_GB2312" w:cs="仿宋_GB2312" w:hint="eastAsia"/>
          <w:snapToGrid w:val="0"/>
          <w:kern w:val="0"/>
          <w:sz w:val="32"/>
          <w:szCs w:val="32"/>
        </w:rPr>
        <w:t>房屋征收部门应当在房屋征收决定作出</w:t>
      </w:r>
      <w:r w:rsidR="00B80AFB">
        <w:rPr>
          <w:rFonts w:ascii="仿宋_GB2312" w:eastAsia="仿宋_GB2312" w:hAnsi="仿宋_GB2312" w:cs="仿宋_GB2312" w:hint="eastAsia"/>
          <w:kern w:val="0"/>
          <w:sz w:val="32"/>
          <w:szCs w:val="32"/>
        </w:rPr>
        <w:t>后，将房地产价格评估机构选定方式等相关事项在房屋征收范围内予以公布，并告知被征收人有协商选定房地产价格评估机构的权利。被征收人协商选定房地产价格评估机构的期限为十日。超过半数的被征收人共同签字认可的房地产价格评估机构，视为共同协商选定。</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被征收房屋所在地乡镇人民政府、街道办事处和居民委员会可以组织被征收人协商选择房地产价格评估机构。</w:t>
      </w:r>
    </w:p>
    <w:p w:rsidR="00AC0487" w:rsidRDefault="00B05EC9" w:rsidP="00D355E2">
      <w:pPr>
        <w:spacing w:line="500" w:lineRule="exact"/>
        <w:ind w:firstLineChars="200" w:firstLine="640"/>
        <w:rPr>
          <w:rFonts w:ascii="仿宋_GB2312" w:eastAsia="仿宋_GB2312" w:hAnsi="仿宋_GB2312" w:cs="仿宋_GB2312"/>
          <w:kern w:val="0"/>
          <w:sz w:val="32"/>
          <w:szCs w:val="32"/>
        </w:rPr>
      </w:pPr>
      <w:r w:rsidRPr="00B05EC9">
        <w:rPr>
          <w:rFonts w:ascii="黑体" w:eastAsia="黑体" w:hAnsi="黑体" w:cs="黑体" w:hint="eastAsia"/>
          <w:kern w:val="0"/>
          <w:sz w:val="32"/>
          <w:szCs w:val="32"/>
        </w:rPr>
        <w:t>第三十九条</w:t>
      </w:r>
      <w:r w:rsidR="00B80AFB">
        <w:rPr>
          <w:rFonts w:ascii="仿宋_GB2312" w:eastAsia="仿宋_GB2312" w:hAnsi="仿宋_GB2312" w:cs="仿宋_GB2312" w:hint="eastAsia"/>
          <w:kern w:val="0"/>
          <w:sz w:val="32"/>
          <w:szCs w:val="32"/>
        </w:rPr>
        <w:t xml:space="preserve">  被征收人在公告协商期内协商不成的，房屋征收部门可以组织采取逐户征询、集中投票或者通过抽签、摇号等随机方式选定房地产价格评估机构。</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采取集中投票、抽签或者摇号等方式选定房地产价格评估机构时，房屋征收部门应当邀请被征收人、乡镇人民政府、街道办事处和居民委员会代表等进行现场监督。</w:t>
      </w:r>
    </w:p>
    <w:p w:rsidR="00AC0487" w:rsidRDefault="00B05EC9" w:rsidP="00D355E2">
      <w:pPr>
        <w:spacing w:line="500" w:lineRule="exact"/>
        <w:ind w:firstLineChars="200" w:firstLine="640"/>
        <w:rPr>
          <w:rFonts w:ascii="仿宋_GB2312" w:eastAsia="仿宋_GB2312" w:hAnsi="仿宋_GB2312" w:cs="仿宋_GB2312"/>
          <w:kern w:val="0"/>
          <w:sz w:val="32"/>
          <w:szCs w:val="32"/>
        </w:rPr>
      </w:pPr>
      <w:r w:rsidRPr="00B05EC9">
        <w:rPr>
          <w:rFonts w:ascii="黑体" w:eastAsia="黑体" w:hAnsi="黑体" w:cs="黑体" w:hint="eastAsia"/>
          <w:kern w:val="0"/>
          <w:sz w:val="32"/>
          <w:szCs w:val="32"/>
        </w:rPr>
        <w:t>第四十条</w:t>
      </w:r>
      <w:r w:rsidR="00B80AFB">
        <w:rPr>
          <w:rFonts w:ascii="黑体" w:eastAsia="黑体" w:hAnsi="黑体" w:cs="黑体" w:hint="eastAsia"/>
          <w:kern w:val="0"/>
          <w:sz w:val="32"/>
          <w:szCs w:val="32"/>
        </w:rPr>
        <w:t xml:space="preserve">  </w:t>
      </w:r>
      <w:r w:rsidR="00B80AFB">
        <w:rPr>
          <w:rFonts w:ascii="仿宋_GB2312" w:eastAsia="仿宋_GB2312" w:hAnsi="仿宋_GB2312" w:cs="仿宋_GB2312" w:hint="eastAsia"/>
          <w:kern w:val="0"/>
          <w:sz w:val="32"/>
          <w:szCs w:val="32"/>
        </w:rPr>
        <w:t>房地产价格评估机构确定后，房屋征收部门与其签订房屋征收评估委托合同，并将确定的房地产价格评估机构在房屋征收范围内公布。</w:t>
      </w:r>
    </w:p>
    <w:p w:rsidR="00AC0487" w:rsidRDefault="00B05EC9" w:rsidP="00D355E2">
      <w:pPr>
        <w:spacing w:line="500" w:lineRule="exact"/>
        <w:ind w:firstLineChars="200" w:firstLine="640"/>
        <w:rPr>
          <w:rFonts w:ascii="仿宋_GB2312" w:eastAsia="仿宋_GB2312" w:hAnsi="仿宋_GB2312" w:cs="仿宋_GB2312"/>
          <w:kern w:val="0"/>
          <w:sz w:val="32"/>
          <w:szCs w:val="32"/>
        </w:rPr>
      </w:pPr>
      <w:r w:rsidRPr="00B05EC9">
        <w:rPr>
          <w:rFonts w:ascii="黑体" w:eastAsia="黑体" w:hAnsi="黑体" w:cs="黑体" w:hint="eastAsia"/>
          <w:kern w:val="0"/>
          <w:sz w:val="32"/>
          <w:szCs w:val="32"/>
        </w:rPr>
        <w:t>第四十一条</w:t>
      </w:r>
      <w:r w:rsidR="00B80AFB">
        <w:rPr>
          <w:rFonts w:ascii="仿宋_GB2312" w:eastAsia="仿宋_GB2312" w:hAnsi="仿宋_GB2312" w:cs="仿宋_GB2312" w:hint="eastAsia"/>
          <w:sz w:val="32"/>
          <w:szCs w:val="32"/>
        </w:rPr>
        <w:t xml:space="preserve">  </w:t>
      </w:r>
      <w:r w:rsidR="00B80AFB">
        <w:rPr>
          <w:rFonts w:ascii="仿宋_GB2312" w:eastAsia="仿宋_GB2312" w:hAnsi="仿宋_GB2312" w:cs="仿宋_GB2312" w:hint="eastAsia"/>
          <w:kern w:val="0"/>
          <w:sz w:val="32"/>
          <w:szCs w:val="32"/>
        </w:rPr>
        <w:t>房地产价格评估机构应当按照相关标准规范，如实出具评估报告。</w:t>
      </w:r>
    </w:p>
    <w:p w:rsidR="00AC0487" w:rsidRDefault="00B80AFB" w:rsidP="00D355E2">
      <w:pPr>
        <w:spacing w:line="5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任何单位和个人不得非法干预评估活动和评估结果。</w:t>
      </w:r>
    </w:p>
    <w:p w:rsidR="00AC0487" w:rsidRDefault="003B40F5" w:rsidP="00D355E2">
      <w:pPr>
        <w:spacing w:line="500" w:lineRule="exact"/>
        <w:ind w:firstLineChars="200" w:firstLine="640"/>
        <w:rPr>
          <w:rFonts w:ascii="仿宋_GB2312" w:eastAsia="仿宋_GB2312" w:hAnsi="仿宋_GB2312" w:cs="仿宋_GB2312"/>
          <w:kern w:val="0"/>
          <w:sz w:val="32"/>
          <w:szCs w:val="32"/>
        </w:rPr>
      </w:pPr>
      <w:r w:rsidRPr="003B40F5">
        <w:rPr>
          <w:rFonts w:ascii="黑体" w:eastAsia="黑体" w:hAnsi="黑体" w:cs="黑体" w:hint="eastAsia"/>
          <w:kern w:val="0"/>
          <w:sz w:val="32"/>
          <w:szCs w:val="32"/>
        </w:rPr>
        <w:t>第四十二条</w:t>
      </w:r>
      <w:r w:rsidR="00B80AFB">
        <w:rPr>
          <w:rFonts w:ascii="仿宋_GB2312" w:eastAsia="仿宋_GB2312" w:hAnsi="仿宋_GB2312" w:cs="仿宋_GB2312" w:hint="eastAsia"/>
          <w:kern w:val="0"/>
          <w:sz w:val="32"/>
          <w:szCs w:val="32"/>
        </w:rPr>
        <w:t xml:space="preserve">  房地产价格评估机构应当按照委托合同的约定向房屋征收部门提供分户初步评估结果。</w:t>
      </w:r>
    </w:p>
    <w:p w:rsidR="00AC0487" w:rsidRDefault="00B80AFB" w:rsidP="00D355E2">
      <w:pPr>
        <w:spacing w:line="5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房屋征收部门应当将分户初步评估结果在房屋征收范围内向被征收人公示。公示期限不得少于五日。</w:t>
      </w:r>
    </w:p>
    <w:p w:rsidR="00AC0487" w:rsidRDefault="00B80AFB" w:rsidP="00D355E2">
      <w:pPr>
        <w:spacing w:line="5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公示期间，房地产价格评估机构应当进行现场说明，听取意见；分户初步评估结果存在错误的，应当予以修正。</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公示期满后，房地产价格评估机构应当向房屋征收部门提供整体评估报告和分户评估报告。房屋征收部门应当向被征收人转交分户评估报告。</w:t>
      </w:r>
    </w:p>
    <w:p w:rsidR="00AC0487" w:rsidRDefault="003B40F5" w:rsidP="00D355E2">
      <w:pPr>
        <w:spacing w:line="500" w:lineRule="exact"/>
        <w:ind w:firstLineChars="200" w:firstLine="640"/>
        <w:rPr>
          <w:rFonts w:ascii="仿宋_GB2312" w:eastAsia="仿宋_GB2312" w:hAnsi="仿宋_GB2312" w:cs="仿宋_GB2312"/>
          <w:kern w:val="0"/>
          <w:sz w:val="32"/>
          <w:szCs w:val="32"/>
        </w:rPr>
      </w:pPr>
      <w:r w:rsidRPr="003B40F5">
        <w:rPr>
          <w:rFonts w:ascii="黑体" w:eastAsia="黑体" w:hAnsi="黑体" w:cs="黑体" w:hint="eastAsia"/>
          <w:kern w:val="0"/>
          <w:sz w:val="32"/>
          <w:szCs w:val="32"/>
        </w:rPr>
        <w:t>第四十三条</w:t>
      </w:r>
      <w:r w:rsidR="00B80AFB">
        <w:rPr>
          <w:rFonts w:ascii="仿宋_GB2312" w:eastAsia="仿宋_GB2312" w:hAnsi="仿宋_GB2312" w:cs="仿宋_GB2312" w:hint="eastAsia"/>
          <w:kern w:val="0"/>
          <w:sz w:val="32"/>
          <w:szCs w:val="32"/>
        </w:rPr>
        <w:t xml:space="preserve">  被征收人或者房屋征收部门对评估报告有异议的，应当自收到评估报告之日起十日内，向房地产价格评估机构书面申请复核。房地产价格评估机构应当自收到复核申请之日起十日内进行复核，出具复核结果。</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对复核结果有异议的，应当自收到复核结果之日起十日内向设区的市房地产价格评估专家委员会申请鉴定。房地产价格评估</w:t>
      </w:r>
      <w:r>
        <w:rPr>
          <w:rFonts w:ascii="仿宋_GB2312" w:eastAsia="仿宋_GB2312" w:hAnsi="仿宋_GB2312" w:cs="仿宋_GB2312" w:hint="eastAsia"/>
          <w:sz w:val="32"/>
          <w:szCs w:val="32"/>
        </w:rPr>
        <w:lastRenderedPageBreak/>
        <w:t>专家委员会应当自收到鉴定申请之日起十日内对评估报告进行审核，出具鉴定结论。</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鉴定结论认为评估报告存在错误的，房地产价格评估机构应当改正错误，重新出具评估报告。</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房地产价格评估专家委员会成员由设区的市房屋征收部门从注册房地产估价师以及价格、房地产、土地、城乡规划、法律等方面的专家中选定组成，并予以公示。</w:t>
      </w:r>
    </w:p>
    <w:p w:rsidR="00AC0487" w:rsidRDefault="00AC0487" w:rsidP="00D355E2">
      <w:pPr>
        <w:pStyle w:val="p0"/>
        <w:widowControl w:val="0"/>
        <w:spacing w:line="500" w:lineRule="exact"/>
        <w:rPr>
          <w:rFonts w:ascii="黑体" w:eastAsia="黑体" w:hAnsi="黑体" w:cs="黑体"/>
          <w:sz w:val="32"/>
          <w:szCs w:val="32"/>
        </w:rPr>
      </w:pPr>
    </w:p>
    <w:p w:rsidR="00AC0487" w:rsidRDefault="00B80AFB" w:rsidP="00D355E2">
      <w:pPr>
        <w:pStyle w:val="p0"/>
        <w:widowControl w:val="0"/>
        <w:spacing w:line="500" w:lineRule="exact"/>
        <w:jc w:val="center"/>
        <w:rPr>
          <w:rFonts w:ascii="黑体" w:eastAsia="黑体" w:hAnsi="黑体" w:cs="黑体"/>
          <w:sz w:val="32"/>
          <w:szCs w:val="32"/>
        </w:rPr>
      </w:pPr>
      <w:r>
        <w:rPr>
          <w:rFonts w:ascii="黑体" w:eastAsia="黑体" w:hAnsi="黑体" w:cs="黑体" w:hint="eastAsia"/>
          <w:sz w:val="32"/>
          <w:szCs w:val="32"/>
        </w:rPr>
        <w:t>第五章  法律责任</w:t>
      </w:r>
    </w:p>
    <w:p w:rsidR="00AC0487" w:rsidRDefault="00AC0487" w:rsidP="00D355E2">
      <w:pPr>
        <w:pStyle w:val="p0"/>
        <w:widowControl w:val="0"/>
        <w:spacing w:line="500" w:lineRule="exact"/>
        <w:rPr>
          <w:rFonts w:ascii="黑体" w:eastAsia="黑体" w:hAnsi="黑体" w:cs="黑体"/>
          <w:sz w:val="32"/>
          <w:szCs w:val="32"/>
        </w:rPr>
      </w:pPr>
    </w:p>
    <w:p w:rsidR="00AC0487" w:rsidRDefault="003B40F5" w:rsidP="00D355E2">
      <w:pPr>
        <w:spacing w:line="500" w:lineRule="exact"/>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第四十四条</w:t>
      </w:r>
      <w:r w:rsidR="00B80AFB">
        <w:rPr>
          <w:rFonts w:ascii="仿宋_GB2312" w:eastAsia="仿宋_GB2312" w:hAnsi="仿宋_GB2312" w:cs="仿宋_GB2312" w:hint="eastAsia"/>
          <w:kern w:val="0"/>
          <w:sz w:val="32"/>
          <w:szCs w:val="32"/>
        </w:rPr>
        <w:t xml:space="preserve">  违反本条例规定的行为，法律、行政法规已规定法律责任的，依照其规定执行；法律、行政法规未规定法律责任的，依照本条例规定执行。</w:t>
      </w:r>
    </w:p>
    <w:p w:rsidR="00AC0487" w:rsidRDefault="003B40F5" w:rsidP="00D355E2">
      <w:pPr>
        <w:pStyle w:val="p0"/>
        <w:widowControl w:val="0"/>
        <w:spacing w:line="5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第四十五条</w:t>
      </w:r>
      <w:r w:rsidR="00B80AFB">
        <w:rPr>
          <w:rFonts w:ascii="黑体" w:eastAsia="黑体" w:hAnsi="黑体" w:cs="黑体" w:hint="eastAsia"/>
          <w:sz w:val="32"/>
          <w:szCs w:val="32"/>
        </w:rPr>
        <w:t xml:space="preserve">  </w:t>
      </w:r>
      <w:r w:rsidR="00B80AFB">
        <w:rPr>
          <w:rFonts w:ascii="仿宋_GB2312" w:eastAsia="仿宋_GB2312" w:hAnsi="仿宋_GB2312" w:cs="仿宋_GB2312" w:hint="eastAsia"/>
          <w:sz w:val="32"/>
          <w:szCs w:val="32"/>
        </w:rPr>
        <w:t>违反本条例规定，市、县级人民政府及其有关部门有下列行为之一的，由上级人民政府或者本级人民政府责令改正，通报批评；造成损失的，依法承担赔偿责任；对直接负责的主管人员和其他直接责任人员，依法给予处分；构成犯罪的，依法追究刑事责任：</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（一）对不符合法定条件的房屋征收事项作出房屋征收决定的； </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（二）违反公示、公布、公告、征求意见、听证、评估等房屋征收法定程序实施房屋征收与补偿的； </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（三）违反房屋征收法定补偿内容、标准实施房屋征收与补偿的；</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（四）违反规定办理应当暂停办理的限制事项手续的；</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（五）非法干预评估活动和评估结果的；</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（六）违法组织实施强制搬迁的；</w:t>
      </w:r>
    </w:p>
    <w:p w:rsidR="00AC0487" w:rsidRDefault="00B80AFB" w:rsidP="00D355E2">
      <w:pPr>
        <w:pStyle w:val="p0"/>
        <w:widowControl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（七）未及时核实、处理投诉、举报的；</w:t>
      </w:r>
    </w:p>
    <w:p w:rsidR="00AC0487" w:rsidRDefault="00B80AFB" w:rsidP="00D355E2">
      <w:pPr>
        <w:pStyle w:val="p0"/>
        <w:widowControl w:val="0"/>
        <w:kinsoku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（八）其他不履行法定职责，或者滥用职权、玩忽职守、徇私舞弊的行为。</w:t>
      </w:r>
    </w:p>
    <w:p w:rsidR="00AC0487" w:rsidRDefault="00AC0487" w:rsidP="00D355E2">
      <w:pPr>
        <w:spacing w:line="500" w:lineRule="exact"/>
        <w:ind w:firstLineChars="200" w:firstLine="640"/>
        <w:rPr>
          <w:rFonts w:ascii="仿宋_GB2312" w:eastAsia="仿宋_GB2312" w:hAnsi="仿宋_GB2312" w:cs="仿宋_GB2312"/>
          <w:kern w:val="0"/>
          <w:sz w:val="32"/>
          <w:szCs w:val="32"/>
        </w:rPr>
      </w:pPr>
    </w:p>
    <w:p w:rsidR="00AC0487" w:rsidRDefault="00B80AFB" w:rsidP="00D355E2">
      <w:pPr>
        <w:pStyle w:val="p0"/>
        <w:widowControl w:val="0"/>
        <w:spacing w:line="500" w:lineRule="exact"/>
        <w:jc w:val="center"/>
        <w:rPr>
          <w:rFonts w:ascii="黑体" w:eastAsia="黑体" w:hAnsi="黑体" w:cs="黑体"/>
          <w:sz w:val="32"/>
          <w:szCs w:val="32"/>
        </w:rPr>
      </w:pPr>
      <w:r>
        <w:rPr>
          <w:rFonts w:ascii="黑体" w:eastAsia="黑体" w:hAnsi="黑体" w:cs="黑体" w:hint="eastAsia"/>
          <w:sz w:val="32"/>
          <w:szCs w:val="32"/>
        </w:rPr>
        <w:t>第六章  附</w:t>
      </w:r>
      <w:r w:rsidR="00AC71EF">
        <w:rPr>
          <w:rFonts w:ascii="黑体" w:eastAsia="黑体" w:hAnsi="黑体" w:cs="黑体" w:hint="eastAsia"/>
          <w:sz w:val="32"/>
          <w:szCs w:val="32"/>
        </w:rPr>
        <w:t xml:space="preserve">  </w:t>
      </w:r>
      <w:r>
        <w:rPr>
          <w:rFonts w:ascii="黑体" w:eastAsia="黑体" w:hAnsi="黑体" w:cs="黑体" w:hint="eastAsia"/>
          <w:sz w:val="32"/>
          <w:szCs w:val="32"/>
        </w:rPr>
        <w:t>则</w:t>
      </w:r>
    </w:p>
    <w:p w:rsidR="00AC0487" w:rsidRDefault="00AC0487" w:rsidP="00D355E2">
      <w:pPr>
        <w:pStyle w:val="p0"/>
        <w:widowControl w:val="0"/>
        <w:spacing w:line="500" w:lineRule="exact"/>
        <w:rPr>
          <w:rFonts w:ascii="黑体" w:eastAsia="黑体" w:hAnsi="黑体" w:cs="黑体"/>
          <w:sz w:val="32"/>
          <w:szCs w:val="32"/>
        </w:rPr>
      </w:pPr>
    </w:p>
    <w:p w:rsidR="00AC0487" w:rsidRDefault="00E20B86" w:rsidP="00D355E2">
      <w:pPr>
        <w:pStyle w:val="p0"/>
        <w:widowControl w:val="0"/>
        <w:spacing w:line="5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第四十六条</w:t>
      </w:r>
      <w:r w:rsidR="00B80AFB">
        <w:rPr>
          <w:rFonts w:ascii="仿宋_GB2312" w:eastAsia="仿宋_GB2312" w:hAnsi="仿宋_GB2312" w:cs="仿宋_GB2312" w:hint="eastAsia"/>
          <w:sz w:val="32"/>
          <w:szCs w:val="32"/>
        </w:rPr>
        <w:t xml:space="preserve">  本条例自2015年3月1日起施行。2000年4月14日山东省第九届人民代表大会常务委员会第十四次会议通过，2006年9月29日山东省第十届人民代表大会常务委员会第二十三次会议修订的《山东省城市房屋拆迁管理条例》同时废止。</w:t>
      </w:r>
      <w:bookmarkStart w:id="0" w:name="_GoBack"/>
      <w:bookmarkEnd w:id="0"/>
    </w:p>
    <w:sectPr w:rsidR="00AC0487" w:rsidSect="00C6648C">
      <w:footerReference w:type="even" r:id="rId7"/>
      <w:footerReference w:type="default" r:id="rId8"/>
      <w:pgSz w:w="11906" w:h="16838" w:code="9"/>
      <w:pgMar w:top="2041" w:right="1531" w:bottom="1758" w:left="1531" w:header="794" w:footer="1531" w:gutter="567"/>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61FF" w:rsidRDefault="003661FF" w:rsidP="00AC0487">
      <w:r>
        <w:separator/>
      </w:r>
    </w:p>
  </w:endnote>
  <w:endnote w:type="continuationSeparator" w:id="1">
    <w:p w:rsidR="003661FF" w:rsidRDefault="003661FF" w:rsidP="00AC04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_GBK">
    <w:altName w:val="Arial Unicode MS"/>
    <w:charset w:val="86"/>
    <w:family w:val="script"/>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487" w:rsidRDefault="00776E16">
    <w:pPr>
      <w:pStyle w:val="a4"/>
      <w:ind w:right="360" w:firstLine="360"/>
    </w:pPr>
    <w:r>
      <w:pict>
        <v:shapetype id="_x0000_t202" coordsize="21600,21600" o:spt="202" path="m,l,21600r21600,l21600,xe">
          <v:stroke joinstyle="miter"/>
          <v:path gradientshapeok="t" o:connecttype="rect"/>
        </v:shapetype>
        <v:shape id="文本框 4" o:spid="_x0000_s2049" type="#_x0000_t202" style="position:absolute;left:0;text-align:left;margin-left:1248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GV8HOjFAQAAawMAAA4AAAAAAAAAAQAgAAAAHgEAAGRycy9lMm9Eb2MueG1s&#10;UEsFBgAAAAAGAAYAWQEAAFUFAAAAAA==&#10;" filled="f" stroked="f">
          <v:textbox style="mso-fit-shape-to-text:t" inset="0,0,0,0">
            <w:txbxContent>
              <w:p w:rsidR="00AC0487" w:rsidRDefault="00776E16">
                <w:pPr>
                  <w:snapToGrid w:val="0"/>
                  <w:ind w:left="280"/>
                  <w:rPr>
                    <w:sz w:val="18"/>
                  </w:rPr>
                </w:pPr>
                <w:r>
                  <w:rPr>
                    <w:rFonts w:ascii="宋体" w:hAnsi="宋体" w:cs="宋体" w:hint="eastAsia"/>
                    <w:sz w:val="28"/>
                    <w:szCs w:val="28"/>
                  </w:rPr>
                  <w:fldChar w:fldCharType="begin"/>
                </w:r>
                <w:r w:rsidR="00B80AFB">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355E2">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487" w:rsidRDefault="00776E16">
    <w:pPr>
      <w:pStyle w:val="a4"/>
      <w:rPr>
        <w:rStyle w:val="a8"/>
      </w:rPr>
    </w:pPr>
    <w:r>
      <w:pict>
        <v:shapetype id="_x0000_t202" coordsize="21600,21600" o:spt="202" path="m,l,21600r21600,l21600,xe">
          <v:stroke joinstyle="miter"/>
          <v:path gradientshapeok="t" o:connecttype="rect"/>
        </v:shapetype>
        <v:shape id="文本框 3" o:spid="_x0000_s1026" type="#_x0000_t202" style="position:absolute;margin-left:1248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nQij4xgEAAGsDAAAOAAAAAAAAAAEAIAAAAB4BAABkcnMvZTJvRG9jLnht&#10;bFBLBQYAAAAABgAGAFkBAABWBQAAAAA=&#10;" filled="f" stroked="f">
          <v:textbox style="mso-fit-shape-to-text:t" inset="0,0,0,0">
            <w:txbxContent>
              <w:p w:rsidR="00AC0487" w:rsidRDefault="00776E16">
                <w:pPr>
                  <w:ind w:right="280"/>
                  <w:rPr>
                    <w:sz w:val="18"/>
                  </w:rPr>
                </w:pPr>
                <w:r>
                  <w:rPr>
                    <w:rFonts w:ascii="宋体" w:hAnsi="宋体" w:cs="宋体" w:hint="eastAsia"/>
                    <w:sz w:val="28"/>
                    <w:szCs w:val="28"/>
                  </w:rPr>
                  <w:fldChar w:fldCharType="begin"/>
                </w:r>
                <w:r w:rsidR="00B80AFB">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355E2">
                  <w:rPr>
                    <w:rFonts w:ascii="宋体" w:hAnsi="宋体" w:cs="宋体"/>
                    <w:noProof/>
                    <w:sz w:val="28"/>
                    <w:szCs w:val="28"/>
                  </w:rPr>
                  <w:t>- 3 -</w:t>
                </w:r>
                <w:r>
                  <w:rPr>
                    <w:rFonts w:ascii="宋体" w:hAnsi="宋体" w:cs="宋体" w:hint="eastAsia"/>
                    <w:sz w:val="28"/>
                    <w:szCs w:val="28"/>
                  </w:rPr>
                  <w:fldChar w:fldCharType="end"/>
                </w:r>
              </w:p>
            </w:txbxContent>
          </v:textbox>
          <w10:wrap anchorx="margin"/>
        </v:shape>
      </w:pict>
    </w:r>
    <w:r w:rsidR="00B80AFB">
      <w:rPr>
        <w:rStyle w:val="a8"/>
        <w:rFonts w:hint="eastAsia"/>
      </w:rPr>
      <w:t xml:space="preserve"> </w:t>
    </w:r>
  </w:p>
  <w:p w:rsidR="00AC0487" w:rsidRDefault="00AC0487">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61FF" w:rsidRDefault="003661FF" w:rsidP="00AC0487">
      <w:r>
        <w:separator/>
      </w:r>
    </w:p>
  </w:footnote>
  <w:footnote w:type="continuationSeparator" w:id="1">
    <w:p w:rsidR="003661FF" w:rsidRDefault="003661FF" w:rsidP="00AC04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gutterAtTop/>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2662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233D2"/>
    <w:rsid w:val="00001573"/>
    <w:rsid w:val="0000210E"/>
    <w:rsid w:val="000048A4"/>
    <w:rsid w:val="00006EB6"/>
    <w:rsid w:val="0001190F"/>
    <w:rsid w:val="00012726"/>
    <w:rsid w:val="00013718"/>
    <w:rsid w:val="0001412D"/>
    <w:rsid w:val="000144A4"/>
    <w:rsid w:val="000144BC"/>
    <w:rsid w:val="0001488F"/>
    <w:rsid w:val="000152BD"/>
    <w:rsid w:val="00015CD7"/>
    <w:rsid w:val="00017F6E"/>
    <w:rsid w:val="00021CDB"/>
    <w:rsid w:val="00024000"/>
    <w:rsid w:val="000261EE"/>
    <w:rsid w:val="00026631"/>
    <w:rsid w:val="00027433"/>
    <w:rsid w:val="00027E95"/>
    <w:rsid w:val="0003256C"/>
    <w:rsid w:val="000350B6"/>
    <w:rsid w:val="00037802"/>
    <w:rsid w:val="00037FC2"/>
    <w:rsid w:val="000413F2"/>
    <w:rsid w:val="00042505"/>
    <w:rsid w:val="00042A6E"/>
    <w:rsid w:val="00045B6B"/>
    <w:rsid w:val="000462DA"/>
    <w:rsid w:val="00046D4C"/>
    <w:rsid w:val="0004707E"/>
    <w:rsid w:val="00053355"/>
    <w:rsid w:val="0005374A"/>
    <w:rsid w:val="00054A74"/>
    <w:rsid w:val="0005500A"/>
    <w:rsid w:val="00061313"/>
    <w:rsid w:val="00064CF4"/>
    <w:rsid w:val="00067F9D"/>
    <w:rsid w:val="00070283"/>
    <w:rsid w:val="000705A6"/>
    <w:rsid w:val="000713F7"/>
    <w:rsid w:val="00075E05"/>
    <w:rsid w:val="00077AF7"/>
    <w:rsid w:val="00077E9D"/>
    <w:rsid w:val="000803CA"/>
    <w:rsid w:val="00080615"/>
    <w:rsid w:val="00083418"/>
    <w:rsid w:val="00083EA9"/>
    <w:rsid w:val="00085827"/>
    <w:rsid w:val="00085D54"/>
    <w:rsid w:val="0008715A"/>
    <w:rsid w:val="00087559"/>
    <w:rsid w:val="00087EAF"/>
    <w:rsid w:val="00087F07"/>
    <w:rsid w:val="00090CA1"/>
    <w:rsid w:val="00091456"/>
    <w:rsid w:val="000921B2"/>
    <w:rsid w:val="000930C9"/>
    <w:rsid w:val="0009334D"/>
    <w:rsid w:val="00095514"/>
    <w:rsid w:val="000963A0"/>
    <w:rsid w:val="00097B06"/>
    <w:rsid w:val="00097D8B"/>
    <w:rsid w:val="000A043F"/>
    <w:rsid w:val="000A1BE8"/>
    <w:rsid w:val="000A2763"/>
    <w:rsid w:val="000A2F9E"/>
    <w:rsid w:val="000A3633"/>
    <w:rsid w:val="000A36A4"/>
    <w:rsid w:val="000A582C"/>
    <w:rsid w:val="000A6085"/>
    <w:rsid w:val="000B014C"/>
    <w:rsid w:val="000B2A7A"/>
    <w:rsid w:val="000B4AEE"/>
    <w:rsid w:val="000B4B9A"/>
    <w:rsid w:val="000B4E72"/>
    <w:rsid w:val="000B5195"/>
    <w:rsid w:val="000B55E6"/>
    <w:rsid w:val="000B58EE"/>
    <w:rsid w:val="000B5E4C"/>
    <w:rsid w:val="000C00DE"/>
    <w:rsid w:val="000C7504"/>
    <w:rsid w:val="000C79C1"/>
    <w:rsid w:val="000D030F"/>
    <w:rsid w:val="000D1325"/>
    <w:rsid w:val="000D2FCD"/>
    <w:rsid w:val="000D301D"/>
    <w:rsid w:val="000D37AE"/>
    <w:rsid w:val="000D4443"/>
    <w:rsid w:val="000D4D3D"/>
    <w:rsid w:val="000D5425"/>
    <w:rsid w:val="000D56BE"/>
    <w:rsid w:val="000D64DE"/>
    <w:rsid w:val="000D73A5"/>
    <w:rsid w:val="000E0772"/>
    <w:rsid w:val="000E1617"/>
    <w:rsid w:val="000E2547"/>
    <w:rsid w:val="000E338C"/>
    <w:rsid w:val="000E46B5"/>
    <w:rsid w:val="000E518D"/>
    <w:rsid w:val="000E6C23"/>
    <w:rsid w:val="000F0660"/>
    <w:rsid w:val="000F0D0D"/>
    <w:rsid w:val="000F10BE"/>
    <w:rsid w:val="000F2B5D"/>
    <w:rsid w:val="000F3E6A"/>
    <w:rsid w:val="000F5014"/>
    <w:rsid w:val="001002B9"/>
    <w:rsid w:val="001003A0"/>
    <w:rsid w:val="0010399F"/>
    <w:rsid w:val="0010593E"/>
    <w:rsid w:val="001059A5"/>
    <w:rsid w:val="00110741"/>
    <w:rsid w:val="00110B7A"/>
    <w:rsid w:val="00111497"/>
    <w:rsid w:val="00111642"/>
    <w:rsid w:val="001117EF"/>
    <w:rsid w:val="00111C2A"/>
    <w:rsid w:val="00112327"/>
    <w:rsid w:val="00113204"/>
    <w:rsid w:val="0011351E"/>
    <w:rsid w:val="00120DF7"/>
    <w:rsid w:val="0012292B"/>
    <w:rsid w:val="00124422"/>
    <w:rsid w:val="001259ED"/>
    <w:rsid w:val="001262DB"/>
    <w:rsid w:val="001301AA"/>
    <w:rsid w:val="00130885"/>
    <w:rsid w:val="00131D7D"/>
    <w:rsid w:val="00134615"/>
    <w:rsid w:val="001352E3"/>
    <w:rsid w:val="0014105B"/>
    <w:rsid w:val="001428FA"/>
    <w:rsid w:val="00143EC1"/>
    <w:rsid w:val="00145890"/>
    <w:rsid w:val="00145F35"/>
    <w:rsid w:val="001506D4"/>
    <w:rsid w:val="0015137B"/>
    <w:rsid w:val="0015189C"/>
    <w:rsid w:val="00152AFF"/>
    <w:rsid w:val="00155F14"/>
    <w:rsid w:val="00160656"/>
    <w:rsid w:val="00160F47"/>
    <w:rsid w:val="00164735"/>
    <w:rsid w:val="00165E85"/>
    <w:rsid w:val="00166727"/>
    <w:rsid w:val="001679B7"/>
    <w:rsid w:val="001706AF"/>
    <w:rsid w:val="001728A2"/>
    <w:rsid w:val="001810C2"/>
    <w:rsid w:val="00182A9C"/>
    <w:rsid w:val="00185599"/>
    <w:rsid w:val="00185E5F"/>
    <w:rsid w:val="00186BC5"/>
    <w:rsid w:val="00187057"/>
    <w:rsid w:val="001873C9"/>
    <w:rsid w:val="00194608"/>
    <w:rsid w:val="00194D29"/>
    <w:rsid w:val="0019655A"/>
    <w:rsid w:val="00197D2B"/>
    <w:rsid w:val="001A02E1"/>
    <w:rsid w:val="001A1BA8"/>
    <w:rsid w:val="001A1E7C"/>
    <w:rsid w:val="001A2126"/>
    <w:rsid w:val="001A2D49"/>
    <w:rsid w:val="001A4325"/>
    <w:rsid w:val="001A4B4F"/>
    <w:rsid w:val="001A67E4"/>
    <w:rsid w:val="001A7244"/>
    <w:rsid w:val="001B1BDA"/>
    <w:rsid w:val="001B1C7D"/>
    <w:rsid w:val="001B1EB3"/>
    <w:rsid w:val="001B2EEB"/>
    <w:rsid w:val="001B4A85"/>
    <w:rsid w:val="001B7292"/>
    <w:rsid w:val="001C0B73"/>
    <w:rsid w:val="001C15C4"/>
    <w:rsid w:val="001C36DE"/>
    <w:rsid w:val="001D029F"/>
    <w:rsid w:val="001D0748"/>
    <w:rsid w:val="001D1756"/>
    <w:rsid w:val="001D18DF"/>
    <w:rsid w:val="001D3F40"/>
    <w:rsid w:val="001D5BBF"/>
    <w:rsid w:val="001D790D"/>
    <w:rsid w:val="001D7D8B"/>
    <w:rsid w:val="001E107C"/>
    <w:rsid w:val="001E3054"/>
    <w:rsid w:val="001E69F5"/>
    <w:rsid w:val="001F1824"/>
    <w:rsid w:val="001F18EC"/>
    <w:rsid w:val="001F1F32"/>
    <w:rsid w:val="001F2179"/>
    <w:rsid w:val="001F29B6"/>
    <w:rsid w:val="001F624F"/>
    <w:rsid w:val="001F7BA1"/>
    <w:rsid w:val="002024ED"/>
    <w:rsid w:val="00204976"/>
    <w:rsid w:val="002065A6"/>
    <w:rsid w:val="0020793F"/>
    <w:rsid w:val="0021038F"/>
    <w:rsid w:val="00210DFA"/>
    <w:rsid w:val="002111B1"/>
    <w:rsid w:val="00212A33"/>
    <w:rsid w:val="00213E34"/>
    <w:rsid w:val="0021514D"/>
    <w:rsid w:val="00215221"/>
    <w:rsid w:val="0021632F"/>
    <w:rsid w:val="002176A2"/>
    <w:rsid w:val="00222D13"/>
    <w:rsid w:val="00223B74"/>
    <w:rsid w:val="002247AF"/>
    <w:rsid w:val="00227E7F"/>
    <w:rsid w:val="00230079"/>
    <w:rsid w:val="00232B3B"/>
    <w:rsid w:val="00232D64"/>
    <w:rsid w:val="002336B4"/>
    <w:rsid w:val="002358AC"/>
    <w:rsid w:val="00236682"/>
    <w:rsid w:val="0024228C"/>
    <w:rsid w:val="00242806"/>
    <w:rsid w:val="00242F68"/>
    <w:rsid w:val="00243E04"/>
    <w:rsid w:val="00245A0E"/>
    <w:rsid w:val="002469C1"/>
    <w:rsid w:val="00252C81"/>
    <w:rsid w:val="0025568C"/>
    <w:rsid w:val="00266426"/>
    <w:rsid w:val="00267B45"/>
    <w:rsid w:val="0027028E"/>
    <w:rsid w:val="002702D5"/>
    <w:rsid w:val="00270D35"/>
    <w:rsid w:val="00270D86"/>
    <w:rsid w:val="0027174F"/>
    <w:rsid w:val="00271A27"/>
    <w:rsid w:val="00272081"/>
    <w:rsid w:val="0027371E"/>
    <w:rsid w:val="002746FF"/>
    <w:rsid w:val="00274DC2"/>
    <w:rsid w:val="00276E2C"/>
    <w:rsid w:val="002777AE"/>
    <w:rsid w:val="0028291F"/>
    <w:rsid w:val="00282B5E"/>
    <w:rsid w:val="00282E9F"/>
    <w:rsid w:val="002834BC"/>
    <w:rsid w:val="0028596D"/>
    <w:rsid w:val="00286DF7"/>
    <w:rsid w:val="0028766E"/>
    <w:rsid w:val="002908BE"/>
    <w:rsid w:val="0029162E"/>
    <w:rsid w:val="002916E6"/>
    <w:rsid w:val="00294997"/>
    <w:rsid w:val="00295600"/>
    <w:rsid w:val="00296056"/>
    <w:rsid w:val="002961FF"/>
    <w:rsid w:val="00297133"/>
    <w:rsid w:val="002A00D6"/>
    <w:rsid w:val="002A0886"/>
    <w:rsid w:val="002A1446"/>
    <w:rsid w:val="002A1482"/>
    <w:rsid w:val="002A38DA"/>
    <w:rsid w:val="002A5CE1"/>
    <w:rsid w:val="002A6042"/>
    <w:rsid w:val="002A6337"/>
    <w:rsid w:val="002B008F"/>
    <w:rsid w:val="002B05B6"/>
    <w:rsid w:val="002B0EF3"/>
    <w:rsid w:val="002B1BB0"/>
    <w:rsid w:val="002B2D1E"/>
    <w:rsid w:val="002B2E40"/>
    <w:rsid w:val="002B3154"/>
    <w:rsid w:val="002B332C"/>
    <w:rsid w:val="002B3CF3"/>
    <w:rsid w:val="002B487D"/>
    <w:rsid w:val="002B5C25"/>
    <w:rsid w:val="002B62F3"/>
    <w:rsid w:val="002B6CCB"/>
    <w:rsid w:val="002C02D6"/>
    <w:rsid w:val="002C2538"/>
    <w:rsid w:val="002C2805"/>
    <w:rsid w:val="002C30B0"/>
    <w:rsid w:val="002C3BC1"/>
    <w:rsid w:val="002C48F6"/>
    <w:rsid w:val="002C4F93"/>
    <w:rsid w:val="002C6389"/>
    <w:rsid w:val="002C742A"/>
    <w:rsid w:val="002D07E8"/>
    <w:rsid w:val="002D2587"/>
    <w:rsid w:val="002D4FA8"/>
    <w:rsid w:val="002D52E9"/>
    <w:rsid w:val="002D5469"/>
    <w:rsid w:val="002D5573"/>
    <w:rsid w:val="002D61D1"/>
    <w:rsid w:val="002D7FE1"/>
    <w:rsid w:val="002E05B3"/>
    <w:rsid w:val="002E0668"/>
    <w:rsid w:val="002E198F"/>
    <w:rsid w:val="002E3D13"/>
    <w:rsid w:val="002E4C80"/>
    <w:rsid w:val="002E5F56"/>
    <w:rsid w:val="002E6C54"/>
    <w:rsid w:val="002E6D9B"/>
    <w:rsid w:val="002F10B2"/>
    <w:rsid w:val="002F1B12"/>
    <w:rsid w:val="002F5BD9"/>
    <w:rsid w:val="002F7C0A"/>
    <w:rsid w:val="00301FF3"/>
    <w:rsid w:val="00302192"/>
    <w:rsid w:val="00302C8A"/>
    <w:rsid w:val="00303717"/>
    <w:rsid w:val="003051D5"/>
    <w:rsid w:val="00306004"/>
    <w:rsid w:val="00306DCD"/>
    <w:rsid w:val="00310C9F"/>
    <w:rsid w:val="00310D1D"/>
    <w:rsid w:val="00314A27"/>
    <w:rsid w:val="0031535C"/>
    <w:rsid w:val="0031545D"/>
    <w:rsid w:val="0032123E"/>
    <w:rsid w:val="0032349B"/>
    <w:rsid w:val="00325177"/>
    <w:rsid w:val="003259E2"/>
    <w:rsid w:val="0032701F"/>
    <w:rsid w:val="0032743C"/>
    <w:rsid w:val="00327566"/>
    <w:rsid w:val="00330A87"/>
    <w:rsid w:val="00333C62"/>
    <w:rsid w:val="003360DC"/>
    <w:rsid w:val="00337EF9"/>
    <w:rsid w:val="0034264F"/>
    <w:rsid w:val="0034303A"/>
    <w:rsid w:val="003448A8"/>
    <w:rsid w:val="00346D66"/>
    <w:rsid w:val="00347099"/>
    <w:rsid w:val="0035019E"/>
    <w:rsid w:val="00351AE8"/>
    <w:rsid w:val="00351BCA"/>
    <w:rsid w:val="00352273"/>
    <w:rsid w:val="003536BD"/>
    <w:rsid w:val="003537D0"/>
    <w:rsid w:val="00353D99"/>
    <w:rsid w:val="00354069"/>
    <w:rsid w:val="003555D2"/>
    <w:rsid w:val="00355A20"/>
    <w:rsid w:val="00355D99"/>
    <w:rsid w:val="00362109"/>
    <w:rsid w:val="00362DB5"/>
    <w:rsid w:val="0036371B"/>
    <w:rsid w:val="00364752"/>
    <w:rsid w:val="00365486"/>
    <w:rsid w:val="003661FF"/>
    <w:rsid w:val="0037054A"/>
    <w:rsid w:val="00370D0D"/>
    <w:rsid w:val="003739BA"/>
    <w:rsid w:val="003750C2"/>
    <w:rsid w:val="003763F8"/>
    <w:rsid w:val="00380269"/>
    <w:rsid w:val="00380B99"/>
    <w:rsid w:val="00382BC9"/>
    <w:rsid w:val="003834C8"/>
    <w:rsid w:val="00384824"/>
    <w:rsid w:val="003855D7"/>
    <w:rsid w:val="0038562B"/>
    <w:rsid w:val="003905F1"/>
    <w:rsid w:val="00391817"/>
    <w:rsid w:val="00392814"/>
    <w:rsid w:val="003957EA"/>
    <w:rsid w:val="00397D1C"/>
    <w:rsid w:val="003A0E9F"/>
    <w:rsid w:val="003A105B"/>
    <w:rsid w:val="003A110D"/>
    <w:rsid w:val="003A1F09"/>
    <w:rsid w:val="003A2679"/>
    <w:rsid w:val="003A429F"/>
    <w:rsid w:val="003A4C8C"/>
    <w:rsid w:val="003A6070"/>
    <w:rsid w:val="003B0678"/>
    <w:rsid w:val="003B1ECA"/>
    <w:rsid w:val="003B2F99"/>
    <w:rsid w:val="003B32B8"/>
    <w:rsid w:val="003B40F5"/>
    <w:rsid w:val="003B4C59"/>
    <w:rsid w:val="003B5358"/>
    <w:rsid w:val="003B7717"/>
    <w:rsid w:val="003C2815"/>
    <w:rsid w:val="003C40DC"/>
    <w:rsid w:val="003C4A00"/>
    <w:rsid w:val="003C6474"/>
    <w:rsid w:val="003C78EC"/>
    <w:rsid w:val="003C7B00"/>
    <w:rsid w:val="003C7B6A"/>
    <w:rsid w:val="003D09C4"/>
    <w:rsid w:val="003D4942"/>
    <w:rsid w:val="003D5929"/>
    <w:rsid w:val="003D76C1"/>
    <w:rsid w:val="003D7F87"/>
    <w:rsid w:val="003E11EB"/>
    <w:rsid w:val="003E2C87"/>
    <w:rsid w:val="003E3DC1"/>
    <w:rsid w:val="003E5EDC"/>
    <w:rsid w:val="003E6284"/>
    <w:rsid w:val="003E68AA"/>
    <w:rsid w:val="003F086E"/>
    <w:rsid w:val="003F206A"/>
    <w:rsid w:val="003F5BA0"/>
    <w:rsid w:val="003F64C9"/>
    <w:rsid w:val="003F72F6"/>
    <w:rsid w:val="00400CE9"/>
    <w:rsid w:val="00400D84"/>
    <w:rsid w:val="00400F2B"/>
    <w:rsid w:val="00401059"/>
    <w:rsid w:val="00401398"/>
    <w:rsid w:val="004022AC"/>
    <w:rsid w:val="00402D7F"/>
    <w:rsid w:val="0040332A"/>
    <w:rsid w:val="00406837"/>
    <w:rsid w:val="004074EA"/>
    <w:rsid w:val="0040789E"/>
    <w:rsid w:val="00407F70"/>
    <w:rsid w:val="00410959"/>
    <w:rsid w:val="00411498"/>
    <w:rsid w:val="00414A20"/>
    <w:rsid w:val="0041518D"/>
    <w:rsid w:val="00416B5E"/>
    <w:rsid w:val="00417F48"/>
    <w:rsid w:val="00420D2D"/>
    <w:rsid w:val="00422FEE"/>
    <w:rsid w:val="00423D7A"/>
    <w:rsid w:val="00425E27"/>
    <w:rsid w:val="00427894"/>
    <w:rsid w:val="00427C7B"/>
    <w:rsid w:val="0043120B"/>
    <w:rsid w:val="0043165C"/>
    <w:rsid w:val="00433CC4"/>
    <w:rsid w:val="004343C4"/>
    <w:rsid w:val="00435F9E"/>
    <w:rsid w:val="0044286C"/>
    <w:rsid w:val="00442D79"/>
    <w:rsid w:val="00443010"/>
    <w:rsid w:val="00443867"/>
    <w:rsid w:val="00452201"/>
    <w:rsid w:val="004528CA"/>
    <w:rsid w:val="00452B64"/>
    <w:rsid w:val="00453DDA"/>
    <w:rsid w:val="00456DC9"/>
    <w:rsid w:val="004604B4"/>
    <w:rsid w:val="00461BFB"/>
    <w:rsid w:val="00462489"/>
    <w:rsid w:val="0046369A"/>
    <w:rsid w:val="00463DFF"/>
    <w:rsid w:val="004641C8"/>
    <w:rsid w:val="004665D1"/>
    <w:rsid w:val="004700EF"/>
    <w:rsid w:val="00470EAC"/>
    <w:rsid w:val="00471E46"/>
    <w:rsid w:val="004754C4"/>
    <w:rsid w:val="00477D8B"/>
    <w:rsid w:val="00477F57"/>
    <w:rsid w:val="0048350C"/>
    <w:rsid w:val="004869DD"/>
    <w:rsid w:val="00486C15"/>
    <w:rsid w:val="004878BA"/>
    <w:rsid w:val="0049005F"/>
    <w:rsid w:val="00491B76"/>
    <w:rsid w:val="00492D20"/>
    <w:rsid w:val="00493C81"/>
    <w:rsid w:val="00493FEA"/>
    <w:rsid w:val="00494921"/>
    <w:rsid w:val="004974DC"/>
    <w:rsid w:val="004976EC"/>
    <w:rsid w:val="004A1642"/>
    <w:rsid w:val="004A256C"/>
    <w:rsid w:val="004A2F6C"/>
    <w:rsid w:val="004A2F78"/>
    <w:rsid w:val="004A3532"/>
    <w:rsid w:val="004A46D8"/>
    <w:rsid w:val="004A509E"/>
    <w:rsid w:val="004B03D5"/>
    <w:rsid w:val="004B04FC"/>
    <w:rsid w:val="004B20E3"/>
    <w:rsid w:val="004B21BE"/>
    <w:rsid w:val="004B37B7"/>
    <w:rsid w:val="004B469A"/>
    <w:rsid w:val="004B4A87"/>
    <w:rsid w:val="004B63EB"/>
    <w:rsid w:val="004B7359"/>
    <w:rsid w:val="004C262B"/>
    <w:rsid w:val="004C2ADA"/>
    <w:rsid w:val="004C4FED"/>
    <w:rsid w:val="004C69B1"/>
    <w:rsid w:val="004C6B6A"/>
    <w:rsid w:val="004C7488"/>
    <w:rsid w:val="004C7BC7"/>
    <w:rsid w:val="004D0D06"/>
    <w:rsid w:val="004D12F7"/>
    <w:rsid w:val="004D23BC"/>
    <w:rsid w:val="004D2BCF"/>
    <w:rsid w:val="004D3457"/>
    <w:rsid w:val="004D35CF"/>
    <w:rsid w:val="004D71B7"/>
    <w:rsid w:val="004E04D6"/>
    <w:rsid w:val="004E0CE9"/>
    <w:rsid w:val="004E259D"/>
    <w:rsid w:val="004E3113"/>
    <w:rsid w:val="004E46A3"/>
    <w:rsid w:val="004E50AC"/>
    <w:rsid w:val="004E6321"/>
    <w:rsid w:val="004E6A59"/>
    <w:rsid w:val="004E6C3C"/>
    <w:rsid w:val="004E7F42"/>
    <w:rsid w:val="004F054B"/>
    <w:rsid w:val="004F12B4"/>
    <w:rsid w:val="004F2FA2"/>
    <w:rsid w:val="004F5572"/>
    <w:rsid w:val="00503CF2"/>
    <w:rsid w:val="0050464E"/>
    <w:rsid w:val="00507341"/>
    <w:rsid w:val="0050736E"/>
    <w:rsid w:val="00507567"/>
    <w:rsid w:val="00507763"/>
    <w:rsid w:val="00507F15"/>
    <w:rsid w:val="005111C0"/>
    <w:rsid w:val="005120A1"/>
    <w:rsid w:val="005139E6"/>
    <w:rsid w:val="00513DC5"/>
    <w:rsid w:val="00513F1C"/>
    <w:rsid w:val="00513F59"/>
    <w:rsid w:val="00514BFC"/>
    <w:rsid w:val="0051655B"/>
    <w:rsid w:val="00521035"/>
    <w:rsid w:val="00523DBD"/>
    <w:rsid w:val="00524CED"/>
    <w:rsid w:val="005302A2"/>
    <w:rsid w:val="00530F6E"/>
    <w:rsid w:val="00535149"/>
    <w:rsid w:val="00537189"/>
    <w:rsid w:val="005419F0"/>
    <w:rsid w:val="005420F9"/>
    <w:rsid w:val="00543203"/>
    <w:rsid w:val="00543DE0"/>
    <w:rsid w:val="005443A7"/>
    <w:rsid w:val="00544C25"/>
    <w:rsid w:val="00544F7D"/>
    <w:rsid w:val="00547317"/>
    <w:rsid w:val="00547F13"/>
    <w:rsid w:val="005526A3"/>
    <w:rsid w:val="00553F77"/>
    <w:rsid w:val="0055448F"/>
    <w:rsid w:val="005547E3"/>
    <w:rsid w:val="00557ADF"/>
    <w:rsid w:val="00560CD3"/>
    <w:rsid w:val="005626C2"/>
    <w:rsid w:val="00564A75"/>
    <w:rsid w:val="005657A8"/>
    <w:rsid w:val="00570F8D"/>
    <w:rsid w:val="0057123E"/>
    <w:rsid w:val="0057562D"/>
    <w:rsid w:val="00575E84"/>
    <w:rsid w:val="005764DA"/>
    <w:rsid w:val="005770C5"/>
    <w:rsid w:val="00580ECE"/>
    <w:rsid w:val="005817E2"/>
    <w:rsid w:val="005833F5"/>
    <w:rsid w:val="00583567"/>
    <w:rsid w:val="0058461A"/>
    <w:rsid w:val="00584706"/>
    <w:rsid w:val="0058477A"/>
    <w:rsid w:val="00584E40"/>
    <w:rsid w:val="00586207"/>
    <w:rsid w:val="005863EE"/>
    <w:rsid w:val="00587244"/>
    <w:rsid w:val="00591057"/>
    <w:rsid w:val="00591EF4"/>
    <w:rsid w:val="00592CDA"/>
    <w:rsid w:val="0059699D"/>
    <w:rsid w:val="005A0B7E"/>
    <w:rsid w:val="005A14D7"/>
    <w:rsid w:val="005A1879"/>
    <w:rsid w:val="005A1CB3"/>
    <w:rsid w:val="005A27B5"/>
    <w:rsid w:val="005A2C04"/>
    <w:rsid w:val="005A3C1B"/>
    <w:rsid w:val="005A5340"/>
    <w:rsid w:val="005A60A2"/>
    <w:rsid w:val="005A65E2"/>
    <w:rsid w:val="005A7C80"/>
    <w:rsid w:val="005A7E34"/>
    <w:rsid w:val="005B2551"/>
    <w:rsid w:val="005B2F0F"/>
    <w:rsid w:val="005B3924"/>
    <w:rsid w:val="005B42E2"/>
    <w:rsid w:val="005B42FE"/>
    <w:rsid w:val="005B6D2F"/>
    <w:rsid w:val="005C0FD0"/>
    <w:rsid w:val="005C2100"/>
    <w:rsid w:val="005C295A"/>
    <w:rsid w:val="005C4382"/>
    <w:rsid w:val="005C5A4B"/>
    <w:rsid w:val="005C6589"/>
    <w:rsid w:val="005C6DDE"/>
    <w:rsid w:val="005C78E3"/>
    <w:rsid w:val="005D01FA"/>
    <w:rsid w:val="005D13E8"/>
    <w:rsid w:val="005D1BC0"/>
    <w:rsid w:val="005D1E24"/>
    <w:rsid w:val="005D226A"/>
    <w:rsid w:val="005D2CA0"/>
    <w:rsid w:val="005D4715"/>
    <w:rsid w:val="005D58A2"/>
    <w:rsid w:val="005D6410"/>
    <w:rsid w:val="005D68F2"/>
    <w:rsid w:val="005E14B0"/>
    <w:rsid w:val="005E1792"/>
    <w:rsid w:val="005E1ADA"/>
    <w:rsid w:val="005E2331"/>
    <w:rsid w:val="005E4A74"/>
    <w:rsid w:val="005E5527"/>
    <w:rsid w:val="005E5C58"/>
    <w:rsid w:val="005F0D03"/>
    <w:rsid w:val="005F0F34"/>
    <w:rsid w:val="005F180A"/>
    <w:rsid w:val="005F2771"/>
    <w:rsid w:val="005F3D54"/>
    <w:rsid w:val="005F6326"/>
    <w:rsid w:val="005F689B"/>
    <w:rsid w:val="005F780C"/>
    <w:rsid w:val="00604374"/>
    <w:rsid w:val="0060473A"/>
    <w:rsid w:val="0060489A"/>
    <w:rsid w:val="006066C5"/>
    <w:rsid w:val="00610090"/>
    <w:rsid w:val="00610E26"/>
    <w:rsid w:val="00611386"/>
    <w:rsid w:val="00612649"/>
    <w:rsid w:val="00612D67"/>
    <w:rsid w:val="00612E3E"/>
    <w:rsid w:val="00613B19"/>
    <w:rsid w:val="006151AA"/>
    <w:rsid w:val="00615ADD"/>
    <w:rsid w:val="00617409"/>
    <w:rsid w:val="0062152A"/>
    <w:rsid w:val="006216D1"/>
    <w:rsid w:val="00622C3E"/>
    <w:rsid w:val="0062415A"/>
    <w:rsid w:val="00625889"/>
    <w:rsid w:val="00625B2E"/>
    <w:rsid w:val="00627398"/>
    <w:rsid w:val="006273C7"/>
    <w:rsid w:val="00633455"/>
    <w:rsid w:val="006375A5"/>
    <w:rsid w:val="00640BB2"/>
    <w:rsid w:val="0064291A"/>
    <w:rsid w:val="006439DF"/>
    <w:rsid w:val="006439F6"/>
    <w:rsid w:val="00643D0D"/>
    <w:rsid w:val="0064481F"/>
    <w:rsid w:val="006452D3"/>
    <w:rsid w:val="00646CEE"/>
    <w:rsid w:val="00646DD1"/>
    <w:rsid w:val="00646E8A"/>
    <w:rsid w:val="00647B5A"/>
    <w:rsid w:val="00650903"/>
    <w:rsid w:val="006511AC"/>
    <w:rsid w:val="0065180A"/>
    <w:rsid w:val="00651C6D"/>
    <w:rsid w:val="00653DE0"/>
    <w:rsid w:val="0065498B"/>
    <w:rsid w:val="00654DFF"/>
    <w:rsid w:val="00656554"/>
    <w:rsid w:val="006578C7"/>
    <w:rsid w:val="00657A44"/>
    <w:rsid w:val="006617BA"/>
    <w:rsid w:val="00661B2E"/>
    <w:rsid w:val="00661C27"/>
    <w:rsid w:val="00664844"/>
    <w:rsid w:val="00666A6B"/>
    <w:rsid w:val="00666ED5"/>
    <w:rsid w:val="00667566"/>
    <w:rsid w:val="006677F3"/>
    <w:rsid w:val="00671DD4"/>
    <w:rsid w:val="0067216E"/>
    <w:rsid w:val="00673098"/>
    <w:rsid w:val="006740BF"/>
    <w:rsid w:val="006765B8"/>
    <w:rsid w:val="00676B08"/>
    <w:rsid w:val="006773D9"/>
    <w:rsid w:val="006774BD"/>
    <w:rsid w:val="00677A4F"/>
    <w:rsid w:val="00677FA2"/>
    <w:rsid w:val="0068126A"/>
    <w:rsid w:val="006813B6"/>
    <w:rsid w:val="00681FDB"/>
    <w:rsid w:val="00682357"/>
    <w:rsid w:val="00682BBE"/>
    <w:rsid w:val="006833FA"/>
    <w:rsid w:val="00683DFB"/>
    <w:rsid w:val="00684F7C"/>
    <w:rsid w:val="00687AFB"/>
    <w:rsid w:val="00687C44"/>
    <w:rsid w:val="00690157"/>
    <w:rsid w:val="0069353B"/>
    <w:rsid w:val="00696C78"/>
    <w:rsid w:val="006975BE"/>
    <w:rsid w:val="006977A9"/>
    <w:rsid w:val="006A0262"/>
    <w:rsid w:val="006A0745"/>
    <w:rsid w:val="006A2415"/>
    <w:rsid w:val="006A2717"/>
    <w:rsid w:val="006A2779"/>
    <w:rsid w:val="006A31F4"/>
    <w:rsid w:val="006A3888"/>
    <w:rsid w:val="006A3A46"/>
    <w:rsid w:val="006A4F28"/>
    <w:rsid w:val="006A51F2"/>
    <w:rsid w:val="006A76F3"/>
    <w:rsid w:val="006B0AAE"/>
    <w:rsid w:val="006B1063"/>
    <w:rsid w:val="006B1C20"/>
    <w:rsid w:val="006B2846"/>
    <w:rsid w:val="006B4588"/>
    <w:rsid w:val="006B5A64"/>
    <w:rsid w:val="006B65D9"/>
    <w:rsid w:val="006B6BCD"/>
    <w:rsid w:val="006B6F06"/>
    <w:rsid w:val="006C2683"/>
    <w:rsid w:val="006C2BA2"/>
    <w:rsid w:val="006C38AA"/>
    <w:rsid w:val="006C39BF"/>
    <w:rsid w:val="006C4532"/>
    <w:rsid w:val="006C6AD2"/>
    <w:rsid w:val="006C6E85"/>
    <w:rsid w:val="006D1194"/>
    <w:rsid w:val="006D12C2"/>
    <w:rsid w:val="006D16B7"/>
    <w:rsid w:val="006D2D86"/>
    <w:rsid w:val="006E104E"/>
    <w:rsid w:val="006E261D"/>
    <w:rsid w:val="006E26A8"/>
    <w:rsid w:val="006E5305"/>
    <w:rsid w:val="006E5812"/>
    <w:rsid w:val="006E7556"/>
    <w:rsid w:val="006F17FC"/>
    <w:rsid w:val="006F4355"/>
    <w:rsid w:val="006F5C72"/>
    <w:rsid w:val="006F7D60"/>
    <w:rsid w:val="0070055B"/>
    <w:rsid w:val="00700F38"/>
    <w:rsid w:val="00701F32"/>
    <w:rsid w:val="007021BB"/>
    <w:rsid w:val="007022C4"/>
    <w:rsid w:val="00705063"/>
    <w:rsid w:val="00706AE9"/>
    <w:rsid w:val="007072E4"/>
    <w:rsid w:val="00710690"/>
    <w:rsid w:val="00710E83"/>
    <w:rsid w:val="0071190C"/>
    <w:rsid w:val="007119B3"/>
    <w:rsid w:val="00711A3A"/>
    <w:rsid w:val="00711A3B"/>
    <w:rsid w:val="00711A8C"/>
    <w:rsid w:val="00712290"/>
    <w:rsid w:val="0071259A"/>
    <w:rsid w:val="00712823"/>
    <w:rsid w:val="00713EDE"/>
    <w:rsid w:val="007147CD"/>
    <w:rsid w:val="007148F1"/>
    <w:rsid w:val="00715698"/>
    <w:rsid w:val="00715B79"/>
    <w:rsid w:val="00715FF6"/>
    <w:rsid w:val="00716BDA"/>
    <w:rsid w:val="00717125"/>
    <w:rsid w:val="007175EF"/>
    <w:rsid w:val="0072124C"/>
    <w:rsid w:val="007215E7"/>
    <w:rsid w:val="00721B96"/>
    <w:rsid w:val="0072215D"/>
    <w:rsid w:val="007222E0"/>
    <w:rsid w:val="0072413F"/>
    <w:rsid w:val="007242A1"/>
    <w:rsid w:val="00725D5B"/>
    <w:rsid w:val="00726AD6"/>
    <w:rsid w:val="007273B9"/>
    <w:rsid w:val="0072759A"/>
    <w:rsid w:val="00727959"/>
    <w:rsid w:val="00734E85"/>
    <w:rsid w:val="00737BDA"/>
    <w:rsid w:val="007422A5"/>
    <w:rsid w:val="00742841"/>
    <w:rsid w:val="0074386C"/>
    <w:rsid w:val="00743989"/>
    <w:rsid w:val="00744625"/>
    <w:rsid w:val="00750A50"/>
    <w:rsid w:val="00750F87"/>
    <w:rsid w:val="00752E5E"/>
    <w:rsid w:val="007531E2"/>
    <w:rsid w:val="00753C2A"/>
    <w:rsid w:val="00753C42"/>
    <w:rsid w:val="007547EE"/>
    <w:rsid w:val="007548E8"/>
    <w:rsid w:val="00754942"/>
    <w:rsid w:val="00754F30"/>
    <w:rsid w:val="007550E4"/>
    <w:rsid w:val="00757590"/>
    <w:rsid w:val="00757EF1"/>
    <w:rsid w:val="00760248"/>
    <w:rsid w:val="007627D9"/>
    <w:rsid w:val="007635E1"/>
    <w:rsid w:val="00773079"/>
    <w:rsid w:val="0077395D"/>
    <w:rsid w:val="00774984"/>
    <w:rsid w:val="007759F2"/>
    <w:rsid w:val="007767D5"/>
    <w:rsid w:val="00776A70"/>
    <w:rsid w:val="00776CCE"/>
    <w:rsid w:val="00776D5A"/>
    <w:rsid w:val="00776E16"/>
    <w:rsid w:val="0078001B"/>
    <w:rsid w:val="0078139F"/>
    <w:rsid w:val="0078196C"/>
    <w:rsid w:val="00781AD3"/>
    <w:rsid w:val="00781D2B"/>
    <w:rsid w:val="00790951"/>
    <w:rsid w:val="00792E66"/>
    <w:rsid w:val="007950F4"/>
    <w:rsid w:val="007970DD"/>
    <w:rsid w:val="007A0E8B"/>
    <w:rsid w:val="007A304A"/>
    <w:rsid w:val="007A7DBD"/>
    <w:rsid w:val="007B0090"/>
    <w:rsid w:val="007B0A33"/>
    <w:rsid w:val="007B455E"/>
    <w:rsid w:val="007B6196"/>
    <w:rsid w:val="007B7822"/>
    <w:rsid w:val="007C2062"/>
    <w:rsid w:val="007C36AC"/>
    <w:rsid w:val="007C48E0"/>
    <w:rsid w:val="007C4F1A"/>
    <w:rsid w:val="007C55BE"/>
    <w:rsid w:val="007C6603"/>
    <w:rsid w:val="007C6A7D"/>
    <w:rsid w:val="007C6AF2"/>
    <w:rsid w:val="007C6B4A"/>
    <w:rsid w:val="007C701C"/>
    <w:rsid w:val="007C759A"/>
    <w:rsid w:val="007D0EEC"/>
    <w:rsid w:val="007D223B"/>
    <w:rsid w:val="007D3FAB"/>
    <w:rsid w:val="007D488F"/>
    <w:rsid w:val="007D5157"/>
    <w:rsid w:val="007D5B9A"/>
    <w:rsid w:val="007D7857"/>
    <w:rsid w:val="007E6FEE"/>
    <w:rsid w:val="007F0EC1"/>
    <w:rsid w:val="007F19A7"/>
    <w:rsid w:val="007F4FFD"/>
    <w:rsid w:val="007F774B"/>
    <w:rsid w:val="00802423"/>
    <w:rsid w:val="0080272D"/>
    <w:rsid w:val="008073F2"/>
    <w:rsid w:val="00810E1C"/>
    <w:rsid w:val="008131C5"/>
    <w:rsid w:val="008141B3"/>
    <w:rsid w:val="008151E8"/>
    <w:rsid w:val="00815465"/>
    <w:rsid w:val="00815910"/>
    <w:rsid w:val="00816BD1"/>
    <w:rsid w:val="00817BDC"/>
    <w:rsid w:val="00817D9F"/>
    <w:rsid w:val="00820794"/>
    <w:rsid w:val="00820D9D"/>
    <w:rsid w:val="00820EB9"/>
    <w:rsid w:val="00821D35"/>
    <w:rsid w:val="00821E1D"/>
    <w:rsid w:val="008233B3"/>
    <w:rsid w:val="00831DE4"/>
    <w:rsid w:val="0083365E"/>
    <w:rsid w:val="008342F7"/>
    <w:rsid w:val="00836596"/>
    <w:rsid w:val="00841742"/>
    <w:rsid w:val="00841ECE"/>
    <w:rsid w:val="00843A8D"/>
    <w:rsid w:val="00845E3F"/>
    <w:rsid w:val="0084667A"/>
    <w:rsid w:val="00846B70"/>
    <w:rsid w:val="00847CD0"/>
    <w:rsid w:val="008525A9"/>
    <w:rsid w:val="00852DE1"/>
    <w:rsid w:val="00854BB8"/>
    <w:rsid w:val="00854EFC"/>
    <w:rsid w:val="00855A21"/>
    <w:rsid w:val="00856A2A"/>
    <w:rsid w:val="0086068A"/>
    <w:rsid w:val="00863FFE"/>
    <w:rsid w:val="0086498D"/>
    <w:rsid w:val="00864CA2"/>
    <w:rsid w:val="00866411"/>
    <w:rsid w:val="008729BF"/>
    <w:rsid w:val="00876C33"/>
    <w:rsid w:val="00880283"/>
    <w:rsid w:val="008830FC"/>
    <w:rsid w:val="00883857"/>
    <w:rsid w:val="00883BCA"/>
    <w:rsid w:val="00885446"/>
    <w:rsid w:val="00887716"/>
    <w:rsid w:val="008878FB"/>
    <w:rsid w:val="008900A1"/>
    <w:rsid w:val="00890DB6"/>
    <w:rsid w:val="00894AB7"/>
    <w:rsid w:val="00895384"/>
    <w:rsid w:val="00895D42"/>
    <w:rsid w:val="00896894"/>
    <w:rsid w:val="00897270"/>
    <w:rsid w:val="00897A91"/>
    <w:rsid w:val="008A249F"/>
    <w:rsid w:val="008A2571"/>
    <w:rsid w:val="008A6465"/>
    <w:rsid w:val="008A706A"/>
    <w:rsid w:val="008B052E"/>
    <w:rsid w:val="008B2A15"/>
    <w:rsid w:val="008B3429"/>
    <w:rsid w:val="008B7E76"/>
    <w:rsid w:val="008C2F4A"/>
    <w:rsid w:val="008C6088"/>
    <w:rsid w:val="008C734B"/>
    <w:rsid w:val="008C7663"/>
    <w:rsid w:val="008D0A60"/>
    <w:rsid w:val="008D3153"/>
    <w:rsid w:val="008D3CA7"/>
    <w:rsid w:val="008D5F3C"/>
    <w:rsid w:val="008D7436"/>
    <w:rsid w:val="008D7EE1"/>
    <w:rsid w:val="008E2110"/>
    <w:rsid w:val="008E398A"/>
    <w:rsid w:val="008E71DE"/>
    <w:rsid w:val="008F2515"/>
    <w:rsid w:val="008F429F"/>
    <w:rsid w:val="008F5D3E"/>
    <w:rsid w:val="008F6358"/>
    <w:rsid w:val="009019DA"/>
    <w:rsid w:val="009033D7"/>
    <w:rsid w:val="0091106D"/>
    <w:rsid w:val="00913439"/>
    <w:rsid w:val="00915CC6"/>
    <w:rsid w:val="0091610A"/>
    <w:rsid w:val="00921603"/>
    <w:rsid w:val="009221C4"/>
    <w:rsid w:val="0092229E"/>
    <w:rsid w:val="0092345C"/>
    <w:rsid w:val="00925275"/>
    <w:rsid w:val="00926189"/>
    <w:rsid w:val="009263A8"/>
    <w:rsid w:val="009266BA"/>
    <w:rsid w:val="009270A6"/>
    <w:rsid w:val="009271BA"/>
    <w:rsid w:val="00927264"/>
    <w:rsid w:val="009315E2"/>
    <w:rsid w:val="00931B3B"/>
    <w:rsid w:val="00932488"/>
    <w:rsid w:val="0093305A"/>
    <w:rsid w:val="00933FE5"/>
    <w:rsid w:val="009354A4"/>
    <w:rsid w:val="00935C4F"/>
    <w:rsid w:val="00936E4A"/>
    <w:rsid w:val="009376E8"/>
    <w:rsid w:val="00942E9C"/>
    <w:rsid w:val="00943CD5"/>
    <w:rsid w:val="00944AC0"/>
    <w:rsid w:val="00944C80"/>
    <w:rsid w:val="00947781"/>
    <w:rsid w:val="0095359E"/>
    <w:rsid w:val="00953B6E"/>
    <w:rsid w:val="00953CB2"/>
    <w:rsid w:val="00960902"/>
    <w:rsid w:val="00960D7A"/>
    <w:rsid w:val="009615F4"/>
    <w:rsid w:val="0096200F"/>
    <w:rsid w:val="00962421"/>
    <w:rsid w:val="00962AAF"/>
    <w:rsid w:val="00962E60"/>
    <w:rsid w:val="00965DFF"/>
    <w:rsid w:val="00966F5A"/>
    <w:rsid w:val="009715A3"/>
    <w:rsid w:val="00971E09"/>
    <w:rsid w:val="009725F3"/>
    <w:rsid w:val="00972E25"/>
    <w:rsid w:val="0097334A"/>
    <w:rsid w:val="0097476D"/>
    <w:rsid w:val="0097646B"/>
    <w:rsid w:val="00976F06"/>
    <w:rsid w:val="009776F1"/>
    <w:rsid w:val="00980544"/>
    <w:rsid w:val="00982078"/>
    <w:rsid w:val="009864A7"/>
    <w:rsid w:val="0098663E"/>
    <w:rsid w:val="009871AD"/>
    <w:rsid w:val="0098767C"/>
    <w:rsid w:val="00990A5A"/>
    <w:rsid w:val="00990C94"/>
    <w:rsid w:val="00990DA6"/>
    <w:rsid w:val="00994CE1"/>
    <w:rsid w:val="00997892"/>
    <w:rsid w:val="009A2B78"/>
    <w:rsid w:val="009A2DAD"/>
    <w:rsid w:val="009A2E78"/>
    <w:rsid w:val="009A2F6A"/>
    <w:rsid w:val="009A33B1"/>
    <w:rsid w:val="009A43C3"/>
    <w:rsid w:val="009A5B91"/>
    <w:rsid w:val="009A60AA"/>
    <w:rsid w:val="009A60BA"/>
    <w:rsid w:val="009A6478"/>
    <w:rsid w:val="009A6AC6"/>
    <w:rsid w:val="009A7D10"/>
    <w:rsid w:val="009A7E2F"/>
    <w:rsid w:val="009B1F79"/>
    <w:rsid w:val="009B2F3D"/>
    <w:rsid w:val="009B376B"/>
    <w:rsid w:val="009B4D27"/>
    <w:rsid w:val="009B6888"/>
    <w:rsid w:val="009B7A21"/>
    <w:rsid w:val="009B7D6D"/>
    <w:rsid w:val="009C1AFD"/>
    <w:rsid w:val="009C1D3C"/>
    <w:rsid w:val="009C47B7"/>
    <w:rsid w:val="009C63D7"/>
    <w:rsid w:val="009C6859"/>
    <w:rsid w:val="009C7E2C"/>
    <w:rsid w:val="009D0DE1"/>
    <w:rsid w:val="009D2A73"/>
    <w:rsid w:val="009D3B8C"/>
    <w:rsid w:val="009D4A6E"/>
    <w:rsid w:val="009D6B4D"/>
    <w:rsid w:val="009E237E"/>
    <w:rsid w:val="009E3EBB"/>
    <w:rsid w:val="009E5364"/>
    <w:rsid w:val="009E5900"/>
    <w:rsid w:val="009E649C"/>
    <w:rsid w:val="009E6C77"/>
    <w:rsid w:val="009E6EA0"/>
    <w:rsid w:val="009E74BC"/>
    <w:rsid w:val="009F287C"/>
    <w:rsid w:val="009F3771"/>
    <w:rsid w:val="009F50C2"/>
    <w:rsid w:val="009F6096"/>
    <w:rsid w:val="009F7A9B"/>
    <w:rsid w:val="00A0028C"/>
    <w:rsid w:val="00A01836"/>
    <w:rsid w:val="00A0235D"/>
    <w:rsid w:val="00A024C9"/>
    <w:rsid w:val="00A02D67"/>
    <w:rsid w:val="00A02D79"/>
    <w:rsid w:val="00A03C37"/>
    <w:rsid w:val="00A04432"/>
    <w:rsid w:val="00A118CF"/>
    <w:rsid w:val="00A124F1"/>
    <w:rsid w:val="00A125E1"/>
    <w:rsid w:val="00A12AEF"/>
    <w:rsid w:val="00A1643C"/>
    <w:rsid w:val="00A169E8"/>
    <w:rsid w:val="00A16C3F"/>
    <w:rsid w:val="00A2036B"/>
    <w:rsid w:val="00A213BF"/>
    <w:rsid w:val="00A21AE5"/>
    <w:rsid w:val="00A21D2E"/>
    <w:rsid w:val="00A22712"/>
    <w:rsid w:val="00A2280D"/>
    <w:rsid w:val="00A23611"/>
    <w:rsid w:val="00A23AB9"/>
    <w:rsid w:val="00A25E14"/>
    <w:rsid w:val="00A267E3"/>
    <w:rsid w:val="00A30DFA"/>
    <w:rsid w:val="00A34774"/>
    <w:rsid w:val="00A35386"/>
    <w:rsid w:val="00A44527"/>
    <w:rsid w:val="00A446FD"/>
    <w:rsid w:val="00A46860"/>
    <w:rsid w:val="00A503A0"/>
    <w:rsid w:val="00A511AE"/>
    <w:rsid w:val="00A51F68"/>
    <w:rsid w:val="00A524F0"/>
    <w:rsid w:val="00A52A67"/>
    <w:rsid w:val="00A531D6"/>
    <w:rsid w:val="00A53911"/>
    <w:rsid w:val="00A547C0"/>
    <w:rsid w:val="00A554B4"/>
    <w:rsid w:val="00A55E05"/>
    <w:rsid w:val="00A578CB"/>
    <w:rsid w:val="00A57BFE"/>
    <w:rsid w:val="00A57DEF"/>
    <w:rsid w:val="00A606A2"/>
    <w:rsid w:val="00A61340"/>
    <w:rsid w:val="00A6159C"/>
    <w:rsid w:val="00A64BA4"/>
    <w:rsid w:val="00A64D52"/>
    <w:rsid w:val="00A65B50"/>
    <w:rsid w:val="00A673B5"/>
    <w:rsid w:val="00A71A8A"/>
    <w:rsid w:val="00A72584"/>
    <w:rsid w:val="00A725FA"/>
    <w:rsid w:val="00A73153"/>
    <w:rsid w:val="00A7468D"/>
    <w:rsid w:val="00A746A0"/>
    <w:rsid w:val="00A750E9"/>
    <w:rsid w:val="00A778DA"/>
    <w:rsid w:val="00A80F8A"/>
    <w:rsid w:val="00A811C6"/>
    <w:rsid w:val="00A82B0B"/>
    <w:rsid w:val="00A84B43"/>
    <w:rsid w:val="00A87309"/>
    <w:rsid w:val="00A901D9"/>
    <w:rsid w:val="00A91E95"/>
    <w:rsid w:val="00A9404D"/>
    <w:rsid w:val="00A94997"/>
    <w:rsid w:val="00A962BF"/>
    <w:rsid w:val="00A96933"/>
    <w:rsid w:val="00A96D7B"/>
    <w:rsid w:val="00AA04F3"/>
    <w:rsid w:val="00AA05FB"/>
    <w:rsid w:val="00AA18CF"/>
    <w:rsid w:val="00AA1F1F"/>
    <w:rsid w:val="00AA20A8"/>
    <w:rsid w:val="00AA55BD"/>
    <w:rsid w:val="00AA594D"/>
    <w:rsid w:val="00AA59B5"/>
    <w:rsid w:val="00AA6443"/>
    <w:rsid w:val="00AA66ED"/>
    <w:rsid w:val="00AB3C5D"/>
    <w:rsid w:val="00AB66B0"/>
    <w:rsid w:val="00AB7101"/>
    <w:rsid w:val="00AC0487"/>
    <w:rsid w:val="00AC0A88"/>
    <w:rsid w:val="00AC167F"/>
    <w:rsid w:val="00AC280E"/>
    <w:rsid w:val="00AC3C39"/>
    <w:rsid w:val="00AC5245"/>
    <w:rsid w:val="00AC61D4"/>
    <w:rsid w:val="00AC6F7C"/>
    <w:rsid w:val="00AC71EF"/>
    <w:rsid w:val="00AD1C5E"/>
    <w:rsid w:val="00AD20B9"/>
    <w:rsid w:val="00AD2EC5"/>
    <w:rsid w:val="00AD3933"/>
    <w:rsid w:val="00AD62EE"/>
    <w:rsid w:val="00AD6586"/>
    <w:rsid w:val="00AD676F"/>
    <w:rsid w:val="00AD6C1C"/>
    <w:rsid w:val="00AE07B6"/>
    <w:rsid w:val="00AE25AB"/>
    <w:rsid w:val="00AE60CC"/>
    <w:rsid w:val="00AE6CCC"/>
    <w:rsid w:val="00AF0364"/>
    <w:rsid w:val="00AF0863"/>
    <w:rsid w:val="00AF0EFF"/>
    <w:rsid w:val="00AF0F5D"/>
    <w:rsid w:val="00AF113F"/>
    <w:rsid w:val="00AF5993"/>
    <w:rsid w:val="00B01449"/>
    <w:rsid w:val="00B03C11"/>
    <w:rsid w:val="00B04C7B"/>
    <w:rsid w:val="00B05EC9"/>
    <w:rsid w:val="00B06799"/>
    <w:rsid w:val="00B109F2"/>
    <w:rsid w:val="00B11B1D"/>
    <w:rsid w:val="00B11F72"/>
    <w:rsid w:val="00B12612"/>
    <w:rsid w:val="00B12732"/>
    <w:rsid w:val="00B13508"/>
    <w:rsid w:val="00B1408C"/>
    <w:rsid w:val="00B15127"/>
    <w:rsid w:val="00B165BB"/>
    <w:rsid w:val="00B17E5F"/>
    <w:rsid w:val="00B20EB8"/>
    <w:rsid w:val="00B224F7"/>
    <w:rsid w:val="00B229DA"/>
    <w:rsid w:val="00B23B94"/>
    <w:rsid w:val="00B23BCD"/>
    <w:rsid w:val="00B24CEA"/>
    <w:rsid w:val="00B24E6F"/>
    <w:rsid w:val="00B2664F"/>
    <w:rsid w:val="00B30458"/>
    <w:rsid w:val="00B30C5E"/>
    <w:rsid w:val="00B31A6A"/>
    <w:rsid w:val="00B33673"/>
    <w:rsid w:val="00B34849"/>
    <w:rsid w:val="00B4478C"/>
    <w:rsid w:val="00B4567D"/>
    <w:rsid w:val="00B53892"/>
    <w:rsid w:val="00B53C24"/>
    <w:rsid w:val="00B5479D"/>
    <w:rsid w:val="00B5503E"/>
    <w:rsid w:val="00B56089"/>
    <w:rsid w:val="00B56EFB"/>
    <w:rsid w:val="00B61E0F"/>
    <w:rsid w:val="00B62C3E"/>
    <w:rsid w:val="00B63EB4"/>
    <w:rsid w:val="00B651AF"/>
    <w:rsid w:val="00B66134"/>
    <w:rsid w:val="00B6757B"/>
    <w:rsid w:val="00B7397B"/>
    <w:rsid w:val="00B74189"/>
    <w:rsid w:val="00B748E3"/>
    <w:rsid w:val="00B7520F"/>
    <w:rsid w:val="00B75419"/>
    <w:rsid w:val="00B766C7"/>
    <w:rsid w:val="00B80AFB"/>
    <w:rsid w:val="00B80F2C"/>
    <w:rsid w:val="00B86357"/>
    <w:rsid w:val="00B87093"/>
    <w:rsid w:val="00B87801"/>
    <w:rsid w:val="00B91646"/>
    <w:rsid w:val="00B92E00"/>
    <w:rsid w:val="00B9313D"/>
    <w:rsid w:val="00BA0C09"/>
    <w:rsid w:val="00BA49B1"/>
    <w:rsid w:val="00BA6623"/>
    <w:rsid w:val="00BB06F6"/>
    <w:rsid w:val="00BB1684"/>
    <w:rsid w:val="00BB2B20"/>
    <w:rsid w:val="00BB3A5B"/>
    <w:rsid w:val="00BB3AF6"/>
    <w:rsid w:val="00BB492D"/>
    <w:rsid w:val="00BB4C43"/>
    <w:rsid w:val="00BB5DBB"/>
    <w:rsid w:val="00BC06DF"/>
    <w:rsid w:val="00BC0B5C"/>
    <w:rsid w:val="00BC29B9"/>
    <w:rsid w:val="00BC3FFB"/>
    <w:rsid w:val="00BC6CBD"/>
    <w:rsid w:val="00BC7416"/>
    <w:rsid w:val="00BD010B"/>
    <w:rsid w:val="00BD0F41"/>
    <w:rsid w:val="00BD1481"/>
    <w:rsid w:val="00BD1ECC"/>
    <w:rsid w:val="00BD451D"/>
    <w:rsid w:val="00BD5959"/>
    <w:rsid w:val="00BD7752"/>
    <w:rsid w:val="00BE3E26"/>
    <w:rsid w:val="00BE5178"/>
    <w:rsid w:val="00BE631E"/>
    <w:rsid w:val="00BF039E"/>
    <w:rsid w:val="00BF1B3E"/>
    <w:rsid w:val="00BF1BFE"/>
    <w:rsid w:val="00BF2255"/>
    <w:rsid w:val="00BF369E"/>
    <w:rsid w:val="00BF44E6"/>
    <w:rsid w:val="00BF50D1"/>
    <w:rsid w:val="00BF5600"/>
    <w:rsid w:val="00BF6D2D"/>
    <w:rsid w:val="00BF71E9"/>
    <w:rsid w:val="00BF79E1"/>
    <w:rsid w:val="00C00291"/>
    <w:rsid w:val="00C00A19"/>
    <w:rsid w:val="00C010FE"/>
    <w:rsid w:val="00C011D5"/>
    <w:rsid w:val="00C0567F"/>
    <w:rsid w:val="00C06FDF"/>
    <w:rsid w:val="00C07787"/>
    <w:rsid w:val="00C07890"/>
    <w:rsid w:val="00C112CB"/>
    <w:rsid w:val="00C11A5E"/>
    <w:rsid w:val="00C154FF"/>
    <w:rsid w:val="00C157B5"/>
    <w:rsid w:val="00C200E6"/>
    <w:rsid w:val="00C20526"/>
    <w:rsid w:val="00C211C8"/>
    <w:rsid w:val="00C233D2"/>
    <w:rsid w:val="00C252E3"/>
    <w:rsid w:val="00C27C20"/>
    <w:rsid w:val="00C3196F"/>
    <w:rsid w:val="00C3231A"/>
    <w:rsid w:val="00C32ACD"/>
    <w:rsid w:val="00C3418E"/>
    <w:rsid w:val="00C343D3"/>
    <w:rsid w:val="00C34F71"/>
    <w:rsid w:val="00C4460D"/>
    <w:rsid w:val="00C44E73"/>
    <w:rsid w:val="00C46746"/>
    <w:rsid w:val="00C46A43"/>
    <w:rsid w:val="00C47353"/>
    <w:rsid w:val="00C50504"/>
    <w:rsid w:val="00C5125F"/>
    <w:rsid w:val="00C520C8"/>
    <w:rsid w:val="00C5536F"/>
    <w:rsid w:val="00C5605B"/>
    <w:rsid w:val="00C56A96"/>
    <w:rsid w:val="00C56F3E"/>
    <w:rsid w:val="00C57E50"/>
    <w:rsid w:val="00C57F15"/>
    <w:rsid w:val="00C61C77"/>
    <w:rsid w:val="00C65598"/>
    <w:rsid w:val="00C6648C"/>
    <w:rsid w:val="00C70A4F"/>
    <w:rsid w:val="00C71CF5"/>
    <w:rsid w:val="00C73317"/>
    <w:rsid w:val="00C742F9"/>
    <w:rsid w:val="00C80A68"/>
    <w:rsid w:val="00C80CA8"/>
    <w:rsid w:val="00C811BD"/>
    <w:rsid w:val="00C812D6"/>
    <w:rsid w:val="00C81E32"/>
    <w:rsid w:val="00C82B9D"/>
    <w:rsid w:val="00C87BC9"/>
    <w:rsid w:val="00C92421"/>
    <w:rsid w:val="00C9305F"/>
    <w:rsid w:val="00C94E7E"/>
    <w:rsid w:val="00C957BC"/>
    <w:rsid w:val="00C962A4"/>
    <w:rsid w:val="00CA0C7B"/>
    <w:rsid w:val="00CA0D2B"/>
    <w:rsid w:val="00CA1F89"/>
    <w:rsid w:val="00CA4D68"/>
    <w:rsid w:val="00CA5625"/>
    <w:rsid w:val="00CA5991"/>
    <w:rsid w:val="00CA6725"/>
    <w:rsid w:val="00CA75F6"/>
    <w:rsid w:val="00CA77FD"/>
    <w:rsid w:val="00CB0404"/>
    <w:rsid w:val="00CB1058"/>
    <w:rsid w:val="00CB4060"/>
    <w:rsid w:val="00CB49F5"/>
    <w:rsid w:val="00CB76FB"/>
    <w:rsid w:val="00CC0099"/>
    <w:rsid w:val="00CC12BE"/>
    <w:rsid w:val="00CC160A"/>
    <w:rsid w:val="00CC31DC"/>
    <w:rsid w:val="00CC3408"/>
    <w:rsid w:val="00CC3A98"/>
    <w:rsid w:val="00CC4EEB"/>
    <w:rsid w:val="00CC686E"/>
    <w:rsid w:val="00CD0C73"/>
    <w:rsid w:val="00CD386D"/>
    <w:rsid w:val="00CD3AF2"/>
    <w:rsid w:val="00CD4920"/>
    <w:rsid w:val="00CE0981"/>
    <w:rsid w:val="00CE1F28"/>
    <w:rsid w:val="00CE216F"/>
    <w:rsid w:val="00CE47C7"/>
    <w:rsid w:val="00CF4B18"/>
    <w:rsid w:val="00CF7588"/>
    <w:rsid w:val="00D00893"/>
    <w:rsid w:val="00D00ABA"/>
    <w:rsid w:val="00D018BD"/>
    <w:rsid w:val="00D019BF"/>
    <w:rsid w:val="00D0212E"/>
    <w:rsid w:val="00D04D0C"/>
    <w:rsid w:val="00D057F9"/>
    <w:rsid w:val="00D058D0"/>
    <w:rsid w:val="00D11B89"/>
    <w:rsid w:val="00D131F5"/>
    <w:rsid w:val="00D139BA"/>
    <w:rsid w:val="00D13B49"/>
    <w:rsid w:val="00D144FE"/>
    <w:rsid w:val="00D1609C"/>
    <w:rsid w:val="00D16859"/>
    <w:rsid w:val="00D16D51"/>
    <w:rsid w:val="00D17AC5"/>
    <w:rsid w:val="00D17E17"/>
    <w:rsid w:val="00D2010A"/>
    <w:rsid w:val="00D21467"/>
    <w:rsid w:val="00D234B5"/>
    <w:rsid w:val="00D245BB"/>
    <w:rsid w:val="00D250E3"/>
    <w:rsid w:val="00D2596A"/>
    <w:rsid w:val="00D2683F"/>
    <w:rsid w:val="00D27473"/>
    <w:rsid w:val="00D311E7"/>
    <w:rsid w:val="00D31A9F"/>
    <w:rsid w:val="00D3494D"/>
    <w:rsid w:val="00D34B65"/>
    <w:rsid w:val="00D355E2"/>
    <w:rsid w:val="00D3789C"/>
    <w:rsid w:val="00D420ED"/>
    <w:rsid w:val="00D43348"/>
    <w:rsid w:val="00D44690"/>
    <w:rsid w:val="00D46A49"/>
    <w:rsid w:val="00D4728C"/>
    <w:rsid w:val="00D47500"/>
    <w:rsid w:val="00D47705"/>
    <w:rsid w:val="00D47C55"/>
    <w:rsid w:val="00D47C7D"/>
    <w:rsid w:val="00D51376"/>
    <w:rsid w:val="00D544C0"/>
    <w:rsid w:val="00D5450D"/>
    <w:rsid w:val="00D552A8"/>
    <w:rsid w:val="00D55B93"/>
    <w:rsid w:val="00D5632E"/>
    <w:rsid w:val="00D60BCF"/>
    <w:rsid w:val="00D60CD3"/>
    <w:rsid w:val="00D6123E"/>
    <w:rsid w:val="00D61295"/>
    <w:rsid w:val="00D61461"/>
    <w:rsid w:val="00D61485"/>
    <w:rsid w:val="00D61A6B"/>
    <w:rsid w:val="00D62749"/>
    <w:rsid w:val="00D6327F"/>
    <w:rsid w:val="00D635A5"/>
    <w:rsid w:val="00D64ABC"/>
    <w:rsid w:val="00D65A6A"/>
    <w:rsid w:val="00D65DE5"/>
    <w:rsid w:val="00D66A59"/>
    <w:rsid w:val="00D704C0"/>
    <w:rsid w:val="00D706AF"/>
    <w:rsid w:val="00D73ECF"/>
    <w:rsid w:val="00D7522D"/>
    <w:rsid w:val="00D76251"/>
    <w:rsid w:val="00D766AA"/>
    <w:rsid w:val="00D76E99"/>
    <w:rsid w:val="00D77595"/>
    <w:rsid w:val="00D775D4"/>
    <w:rsid w:val="00D77F56"/>
    <w:rsid w:val="00D77F97"/>
    <w:rsid w:val="00D8118A"/>
    <w:rsid w:val="00D82438"/>
    <w:rsid w:val="00D8340F"/>
    <w:rsid w:val="00D847FF"/>
    <w:rsid w:val="00D84D5C"/>
    <w:rsid w:val="00D86976"/>
    <w:rsid w:val="00D906CE"/>
    <w:rsid w:val="00D90791"/>
    <w:rsid w:val="00D9101E"/>
    <w:rsid w:val="00D91D03"/>
    <w:rsid w:val="00D92E52"/>
    <w:rsid w:val="00D94062"/>
    <w:rsid w:val="00D94AE0"/>
    <w:rsid w:val="00D95260"/>
    <w:rsid w:val="00D979A4"/>
    <w:rsid w:val="00DA0F2D"/>
    <w:rsid w:val="00DA4196"/>
    <w:rsid w:val="00DA55CA"/>
    <w:rsid w:val="00DA5790"/>
    <w:rsid w:val="00DB1DAE"/>
    <w:rsid w:val="00DB5147"/>
    <w:rsid w:val="00DC0C04"/>
    <w:rsid w:val="00DC0EFA"/>
    <w:rsid w:val="00DC1128"/>
    <w:rsid w:val="00DC12ED"/>
    <w:rsid w:val="00DC30E5"/>
    <w:rsid w:val="00DC344C"/>
    <w:rsid w:val="00DC3656"/>
    <w:rsid w:val="00DC5A63"/>
    <w:rsid w:val="00DC5DB5"/>
    <w:rsid w:val="00DC623D"/>
    <w:rsid w:val="00DC6485"/>
    <w:rsid w:val="00DC6C0B"/>
    <w:rsid w:val="00DD01A0"/>
    <w:rsid w:val="00DD0DD5"/>
    <w:rsid w:val="00DD2DC3"/>
    <w:rsid w:val="00DD4085"/>
    <w:rsid w:val="00DD4143"/>
    <w:rsid w:val="00DD43B6"/>
    <w:rsid w:val="00DD5E59"/>
    <w:rsid w:val="00DD63E8"/>
    <w:rsid w:val="00DE1692"/>
    <w:rsid w:val="00DE2106"/>
    <w:rsid w:val="00DE284B"/>
    <w:rsid w:val="00DE2BF4"/>
    <w:rsid w:val="00DE3441"/>
    <w:rsid w:val="00DE3701"/>
    <w:rsid w:val="00DE4B91"/>
    <w:rsid w:val="00DE6ACC"/>
    <w:rsid w:val="00DE6F9D"/>
    <w:rsid w:val="00DF0012"/>
    <w:rsid w:val="00DF0550"/>
    <w:rsid w:val="00DF18EF"/>
    <w:rsid w:val="00DF2976"/>
    <w:rsid w:val="00DF2B8D"/>
    <w:rsid w:val="00DF32D9"/>
    <w:rsid w:val="00DF3F06"/>
    <w:rsid w:val="00DF3F0B"/>
    <w:rsid w:val="00DF4B65"/>
    <w:rsid w:val="00DF5195"/>
    <w:rsid w:val="00E00523"/>
    <w:rsid w:val="00E01DDB"/>
    <w:rsid w:val="00E06C4E"/>
    <w:rsid w:val="00E07F04"/>
    <w:rsid w:val="00E11B74"/>
    <w:rsid w:val="00E13BA9"/>
    <w:rsid w:val="00E13C70"/>
    <w:rsid w:val="00E149B0"/>
    <w:rsid w:val="00E166D8"/>
    <w:rsid w:val="00E20627"/>
    <w:rsid w:val="00E20B86"/>
    <w:rsid w:val="00E20E54"/>
    <w:rsid w:val="00E22315"/>
    <w:rsid w:val="00E22693"/>
    <w:rsid w:val="00E22747"/>
    <w:rsid w:val="00E248F0"/>
    <w:rsid w:val="00E24AFE"/>
    <w:rsid w:val="00E2603F"/>
    <w:rsid w:val="00E26577"/>
    <w:rsid w:val="00E27902"/>
    <w:rsid w:val="00E27B1E"/>
    <w:rsid w:val="00E311EB"/>
    <w:rsid w:val="00E31816"/>
    <w:rsid w:val="00E33FAF"/>
    <w:rsid w:val="00E350FD"/>
    <w:rsid w:val="00E3699D"/>
    <w:rsid w:val="00E379A8"/>
    <w:rsid w:val="00E379DB"/>
    <w:rsid w:val="00E40AA3"/>
    <w:rsid w:val="00E447B4"/>
    <w:rsid w:val="00E4576A"/>
    <w:rsid w:val="00E46B04"/>
    <w:rsid w:val="00E4704D"/>
    <w:rsid w:val="00E50A77"/>
    <w:rsid w:val="00E522B1"/>
    <w:rsid w:val="00E52871"/>
    <w:rsid w:val="00E5377A"/>
    <w:rsid w:val="00E54628"/>
    <w:rsid w:val="00E54A99"/>
    <w:rsid w:val="00E54B80"/>
    <w:rsid w:val="00E55E4C"/>
    <w:rsid w:val="00E574B4"/>
    <w:rsid w:val="00E60FCD"/>
    <w:rsid w:val="00E61782"/>
    <w:rsid w:val="00E629E7"/>
    <w:rsid w:val="00E63202"/>
    <w:rsid w:val="00E632E4"/>
    <w:rsid w:val="00E6535D"/>
    <w:rsid w:val="00E71C10"/>
    <w:rsid w:val="00E72755"/>
    <w:rsid w:val="00E7467D"/>
    <w:rsid w:val="00E74F1F"/>
    <w:rsid w:val="00E801F0"/>
    <w:rsid w:val="00E81CC8"/>
    <w:rsid w:val="00E82275"/>
    <w:rsid w:val="00E83136"/>
    <w:rsid w:val="00E83196"/>
    <w:rsid w:val="00E9213E"/>
    <w:rsid w:val="00E925F3"/>
    <w:rsid w:val="00E94457"/>
    <w:rsid w:val="00E969B4"/>
    <w:rsid w:val="00EA04BF"/>
    <w:rsid w:val="00EA0743"/>
    <w:rsid w:val="00EA1898"/>
    <w:rsid w:val="00EA1B3B"/>
    <w:rsid w:val="00EA35B0"/>
    <w:rsid w:val="00EA3694"/>
    <w:rsid w:val="00EA37DE"/>
    <w:rsid w:val="00EA3CBE"/>
    <w:rsid w:val="00EA4C35"/>
    <w:rsid w:val="00EA51FA"/>
    <w:rsid w:val="00EA6BDA"/>
    <w:rsid w:val="00EA79CD"/>
    <w:rsid w:val="00EB0A27"/>
    <w:rsid w:val="00EB1DC8"/>
    <w:rsid w:val="00EB276A"/>
    <w:rsid w:val="00EB2B8C"/>
    <w:rsid w:val="00EB3950"/>
    <w:rsid w:val="00EB6118"/>
    <w:rsid w:val="00EB624B"/>
    <w:rsid w:val="00EB65C1"/>
    <w:rsid w:val="00EB6711"/>
    <w:rsid w:val="00EB74F4"/>
    <w:rsid w:val="00EB77A3"/>
    <w:rsid w:val="00EC1999"/>
    <w:rsid w:val="00EC4D49"/>
    <w:rsid w:val="00EC58D5"/>
    <w:rsid w:val="00EC74A7"/>
    <w:rsid w:val="00ED0609"/>
    <w:rsid w:val="00ED093C"/>
    <w:rsid w:val="00ED1392"/>
    <w:rsid w:val="00ED381F"/>
    <w:rsid w:val="00ED39C0"/>
    <w:rsid w:val="00ED457F"/>
    <w:rsid w:val="00ED4AAD"/>
    <w:rsid w:val="00ED4D9D"/>
    <w:rsid w:val="00ED5E0B"/>
    <w:rsid w:val="00EE007F"/>
    <w:rsid w:val="00EE035A"/>
    <w:rsid w:val="00EE25F3"/>
    <w:rsid w:val="00EE2AE4"/>
    <w:rsid w:val="00EE2D69"/>
    <w:rsid w:val="00EE3793"/>
    <w:rsid w:val="00EE49CF"/>
    <w:rsid w:val="00EE49D3"/>
    <w:rsid w:val="00EE5829"/>
    <w:rsid w:val="00EF08AD"/>
    <w:rsid w:val="00EF12B7"/>
    <w:rsid w:val="00EF1A79"/>
    <w:rsid w:val="00EF24E8"/>
    <w:rsid w:val="00EF274A"/>
    <w:rsid w:val="00EF3409"/>
    <w:rsid w:val="00EF3DC7"/>
    <w:rsid w:val="00EF3FCF"/>
    <w:rsid w:val="00EF5F2B"/>
    <w:rsid w:val="00EF61D1"/>
    <w:rsid w:val="00EF66F0"/>
    <w:rsid w:val="00EF70A1"/>
    <w:rsid w:val="00F0036F"/>
    <w:rsid w:val="00F005DB"/>
    <w:rsid w:val="00F00B33"/>
    <w:rsid w:val="00F0113D"/>
    <w:rsid w:val="00F0162B"/>
    <w:rsid w:val="00F06059"/>
    <w:rsid w:val="00F072FE"/>
    <w:rsid w:val="00F07AB7"/>
    <w:rsid w:val="00F07B49"/>
    <w:rsid w:val="00F109D8"/>
    <w:rsid w:val="00F109E9"/>
    <w:rsid w:val="00F1186A"/>
    <w:rsid w:val="00F15084"/>
    <w:rsid w:val="00F16CBC"/>
    <w:rsid w:val="00F17905"/>
    <w:rsid w:val="00F17E32"/>
    <w:rsid w:val="00F200D5"/>
    <w:rsid w:val="00F21DD8"/>
    <w:rsid w:val="00F23085"/>
    <w:rsid w:val="00F23E86"/>
    <w:rsid w:val="00F248B1"/>
    <w:rsid w:val="00F260BF"/>
    <w:rsid w:val="00F2781C"/>
    <w:rsid w:val="00F30256"/>
    <w:rsid w:val="00F31505"/>
    <w:rsid w:val="00F3197D"/>
    <w:rsid w:val="00F31BE8"/>
    <w:rsid w:val="00F34ED8"/>
    <w:rsid w:val="00F35B45"/>
    <w:rsid w:val="00F3715E"/>
    <w:rsid w:val="00F3754D"/>
    <w:rsid w:val="00F41978"/>
    <w:rsid w:val="00F41F0A"/>
    <w:rsid w:val="00F42340"/>
    <w:rsid w:val="00F42907"/>
    <w:rsid w:val="00F42982"/>
    <w:rsid w:val="00F4332F"/>
    <w:rsid w:val="00F443BC"/>
    <w:rsid w:val="00F443CC"/>
    <w:rsid w:val="00F44FA6"/>
    <w:rsid w:val="00F45E69"/>
    <w:rsid w:val="00F466D8"/>
    <w:rsid w:val="00F50576"/>
    <w:rsid w:val="00F51132"/>
    <w:rsid w:val="00F52754"/>
    <w:rsid w:val="00F53DA4"/>
    <w:rsid w:val="00F55C8F"/>
    <w:rsid w:val="00F57CE8"/>
    <w:rsid w:val="00F64E8E"/>
    <w:rsid w:val="00F653B5"/>
    <w:rsid w:val="00F66ED5"/>
    <w:rsid w:val="00F70C2D"/>
    <w:rsid w:val="00F71063"/>
    <w:rsid w:val="00F72ABA"/>
    <w:rsid w:val="00F72AF4"/>
    <w:rsid w:val="00F73184"/>
    <w:rsid w:val="00F741E2"/>
    <w:rsid w:val="00F7527D"/>
    <w:rsid w:val="00F773FC"/>
    <w:rsid w:val="00F8322C"/>
    <w:rsid w:val="00F83722"/>
    <w:rsid w:val="00F84558"/>
    <w:rsid w:val="00F85ADB"/>
    <w:rsid w:val="00F85CC0"/>
    <w:rsid w:val="00F879CA"/>
    <w:rsid w:val="00F90A12"/>
    <w:rsid w:val="00F91398"/>
    <w:rsid w:val="00F92176"/>
    <w:rsid w:val="00F9291B"/>
    <w:rsid w:val="00F935EB"/>
    <w:rsid w:val="00F95786"/>
    <w:rsid w:val="00F96DB3"/>
    <w:rsid w:val="00F976D9"/>
    <w:rsid w:val="00FA1AA7"/>
    <w:rsid w:val="00FA2169"/>
    <w:rsid w:val="00FA4F40"/>
    <w:rsid w:val="00FA5A2F"/>
    <w:rsid w:val="00FA5D9A"/>
    <w:rsid w:val="00FA7FB2"/>
    <w:rsid w:val="00FB0026"/>
    <w:rsid w:val="00FB034A"/>
    <w:rsid w:val="00FB1403"/>
    <w:rsid w:val="00FB1DAE"/>
    <w:rsid w:val="00FB3938"/>
    <w:rsid w:val="00FB3DF7"/>
    <w:rsid w:val="00FB4AB7"/>
    <w:rsid w:val="00FB5E9B"/>
    <w:rsid w:val="00FB61F0"/>
    <w:rsid w:val="00FC12ED"/>
    <w:rsid w:val="00FC1D4F"/>
    <w:rsid w:val="00FC2007"/>
    <w:rsid w:val="00FC2865"/>
    <w:rsid w:val="00FC357A"/>
    <w:rsid w:val="00FC35D8"/>
    <w:rsid w:val="00FC450A"/>
    <w:rsid w:val="00FC4531"/>
    <w:rsid w:val="00FC46CC"/>
    <w:rsid w:val="00FC4F69"/>
    <w:rsid w:val="00FC53E7"/>
    <w:rsid w:val="00FC5D7D"/>
    <w:rsid w:val="00FD0EA8"/>
    <w:rsid w:val="00FD0FFE"/>
    <w:rsid w:val="00FD13E7"/>
    <w:rsid w:val="00FD4F36"/>
    <w:rsid w:val="00FD5129"/>
    <w:rsid w:val="00FD528A"/>
    <w:rsid w:val="00FD5D9F"/>
    <w:rsid w:val="00FD613D"/>
    <w:rsid w:val="00FD77A4"/>
    <w:rsid w:val="00FE0FFC"/>
    <w:rsid w:val="00FE250F"/>
    <w:rsid w:val="00FE4446"/>
    <w:rsid w:val="00FE517B"/>
    <w:rsid w:val="00FE5B15"/>
    <w:rsid w:val="00FE5F3D"/>
    <w:rsid w:val="00FE71AF"/>
    <w:rsid w:val="00FE7D3A"/>
    <w:rsid w:val="00FF389E"/>
    <w:rsid w:val="00FF48C5"/>
    <w:rsid w:val="00FF48CA"/>
    <w:rsid w:val="00FF7C5E"/>
    <w:rsid w:val="09AE1734"/>
    <w:rsid w:val="11EC0844"/>
    <w:rsid w:val="13797DC8"/>
    <w:rsid w:val="144D29DB"/>
    <w:rsid w:val="2FF07C7C"/>
    <w:rsid w:val="371D63E4"/>
    <w:rsid w:val="3D3302E7"/>
    <w:rsid w:val="414D1207"/>
    <w:rsid w:val="43C7578D"/>
    <w:rsid w:val="46F440DA"/>
    <w:rsid w:val="4A816AC7"/>
    <w:rsid w:val="4BF349D4"/>
    <w:rsid w:val="4D2C2FBC"/>
    <w:rsid w:val="567211DC"/>
    <w:rsid w:val="60D83640"/>
    <w:rsid w:val="6B346272"/>
    <w:rsid w:val="6CB63058"/>
    <w:rsid w:val="71BD4190"/>
    <w:rsid w:val="73E77C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semiHidden="1"/>
    <w:lsdException w:name="caption" w:locked="1" w:semiHidden="1" w:unhideWhenUsed="1" w:qFormat="1"/>
    <w:lsdException w:name="Title" w:locked="1" w:qFormat="1"/>
    <w:lsdException w:name="Default Paragraph Font" w:semiHidden="1"/>
    <w:lsdException w:name="Subtitle" w:locked="1"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lock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0487"/>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rsid w:val="00AC0487"/>
    <w:rPr>
      <w:sz w:val="18"/>
      <w:szCs w:val="18"/>
    </w:rPr>
  </w:style>
  <w:style w:type="paragraph" w:styleId="a4">
    <w:name w:val="footer"/>
    <w:basedOn w:val="a"/>
    <w:link w:val="Char0"/>
    <w:rsid w:val="00AC0487"/>
    <w:pPr>
      <w:tabs>
        <w:tab w:val="center" w:pos="4153"/>
        <w:tab w:val="right" w:pos="8306"/>
      </w:tabs>
      <w:snapToGrid w:val="0"/>
      <w:jc w:val="left"/>
    </w:pPr>
    <w:rPr>
      <w:sz w:val="18"/>
      <w:szCs w:val="18"/>
    </w:rPr>
  </w:style>
  <w:style w:type="paragraph" w:styleId="a5">
    <w:name w:val="header"/>
    <w:basedOn w:val="a"/>
    <w:link w:val="Char1"/>
    <w:semiHidden/>
    <w:rsid w:val="00AC0487"/>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rsid w:val="00AC0487"/>
    <w:pPr>
      <w:widowControl/>
      <w:spacing w:before="100" w:beforeAutospacing="1" w:after="100" w:afterAutospacing="1"/>
      <w:jc w:val="left"/>
    </w:pPr>
    <w:rPr>
      <w:rFonts w:ascii="宋体" w:hAnsi="宋体" w:cs="宋体"/>
      <w:kern w:val="0"/>
      <w:sz w:val="24"/>
    </w:rPr>
  </w:style>
  <w:style w:type="character" w:styleId="a7">
    <w:name w:val="Strong"/>
    <w:qFormat/>
    <w:locked/>
    <w:rsid w:val="00AC0487"/>
    <w:rPr>
      <w:b/>
      <w:bCs/>
    </w:rPr>
  </w:style>
  <w:style w:type="character" w:styleId="a8">
    <w:name w:val="page number"/>
    <w:rsid w:val="00AC0487"/>
    <w:rPr>
      <w:rFonts w:cs="Times New Roman"/>
    </w:rPr>
  </w:style>
  <w:style w:type="paragraph" w:customStyle="1" w:styleId="Char2">
    <w:name w:val="Char"/>
    <w:basedOn w:val="a"/>
    <w:rsid w:val="00AC0487"/>
    <w:rPr>
      <w:rFonts w:ascii="Tahoma" w:hAnsi="Tahoma"/>
      <w:sz w:val="24"/>
      <w:szCs w:val="20"/>
    </w:rPr>
  </w:style>
  <w:style w:type="paragraph" w:customStyle="1" w:styleId="p0">
    <w:name w:val="p0"/>
    <w:basedOn w:val="a"/>
    <w:rsid w:val="00AC0487"/>
    <w:pPr>
      <w:widowControl/>
    </w:pPr>
    <w:rPr>
      <w:kern w:val="0"/>
      <w:szCs w:val="21"/>
    </w:rPr>
  </w:style>
  <w:style w:type="character" w:customStyle="1" w:styleId="Char1">
    <w:name w:val="页眉 Char"/>
    <w:link w:val="a5"/>
    <w:semiHidden/>
    <w:locked/>
    <w:rsid w:val="00AC0487"/>
    <w:rPr>
      <w:rFonts w:ascii="Times New Roman" w:eastAsia="宋体" w:hAnsi="Times New Roman" w:cs="Times New Roman"/>
      <w:sz w:val="18"/>
      <w:szCs w:val="18"/>
    </w:rPr>
  </w:style>
  <w:style w:type="character" w:customStyle="1" w:styleId="Char">
    <w:name w:val="批注框文本 Char"/>
    <w:link w:val="a3"/>
    <w:semiHidden/>
    <w:locked/>
    <w:rsid w:val="00AC0487"/>
    <w:rPr>
      <w:rFonts w:ascii="Times New Roman" w:eastAsia="宋体" w:hAnsi="Times New Roman" w:cs="Times New Roman"/>
      <w:sz w:val="18"/>
      <w:szCs w:val="18"/>
    </w:rPr>
  </w:style>
  <w:style w:type="character" w:customStyle="1" w:styleId="Char0">
    <w:name w:val="页脚 Char"/>
    <w:link w:val="a4"/>
    <w:locked/>
    <w:rsid w:val="00AC0487"/>
    <w:rPr>
      <w:rFonts w:ascii="Times New Roman" w:eastAsia="宋体" w:hAnsi="Times New Roman" w:cs="Times New Roman"/>
      <w:sz w:val="18"/>
      <w:szCs w:val="18"/>
    </w:rPr>
  </w:style>
  <w:style w:type="character" w:styleId="a9">
    <w:name w:val="annotation reference"/>
    <w:basedOn w:val="a0"/>
    <w:rsid w:val="0034303A"/>
    <w:rPr>
      <w:sz w:val="21"/>
      <w:szCs w:val="21"/>
    </w:rPr>
  </w:style>
  <w:style w:type="paragraph" w:styleId="aa">
    <w:name w:val="annotation text"/>
    <w:basedOn w:val="a"/>
    <w:link w:val="Char3"/>
    <w:rsid w:val="0034303A"/>
    <w:pPr>
      <w:jc w:val="left"/>
    </w:pPr>
  </w:style>
  <w:style w:type="character" w:customStyle="1" w:styleId="Char3">
    <w:name w:val="批注文字 Char"/>
    <w:basedOn w:val="a0"/>
    <w:link w:val="aa"/>
    <w:rsid w:val="0034303A"/>
    <w:rPr>
      <w:rFonts w:ascii="Times New Roman" w:hAnsi="Times New Roman"/>
      <w:kern w:val="2"/>
      <w:sz w:val="21"/>
      <w:szCs w:val="24"/>
    </w:rPr>
  </w:style>
  <w:style w:type="paragraph" w:styleId="ab">
    <w:name w:val="annotation subject"/>
    <w:basedOn w:val="aa"/>
    <w:next w:val="aa"/>
    <w:link w:val="Char4"/>
    <w:rsid w:val="0034303A"/>
    <w:rPr>
      <w:b/>
      <w:bCs/>
    </w:rPr>
  </w:style>
  <w:style w:type="character" w:customStyle="1" w:styleId="Char4">
    <w:name w:val="批注主题 Char"/>
    <w:basedOn w:val="Char3"/>
    <w:link w:val="ab"/>
    <w:rsid w:val="0034303A"/>
    <w:rPr>
      <w:b/>
      <w:bCs/>
    </w:rPr>
  </w:style>
</w:styles>
</file>

<file path=word/webSettings.xml><?xml version="1.0" encoding="utf-8"?>
<w:webSettings xmlns:r="http://schemas.openxmlformats.org/officeDocument/2006/relationships" xmlns:w="http://schemas.openxmlformats.org/wordprocessingml/2006/main">
  <w:divs>
    <w:div w:id="319433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1040</Words>
  <Characters>5928</Characters>
  <Application>Microsoft Office Word</Application>
  <DocSecurity>0</DocSecurity>
  <Lines>49</Lines>
  <Paragraphs>13</Paragraphs>
  <ScaleCrop>false</ScaleCrop>
  <Company>Microsoft</Company>
  <LinksUpToDate>false</LinksUpToDate>
  <CharactersWithSpaces>6955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山东省国有土地上房屋征收与补偿条例</dc:title>
  <dc:creator>lenovo</dc:creator>
  <cp:lastModifiedBy>PC</cp:lastModifiedBy>
  <cp:revision>49</cp:revision>
  <cp:lastPrinted>2020-07-29T01:56:00Z</cp:lastPrinted>
  <dcterms:created xsi:type="dcterms:W3CDTF">2014-11-26T00:55:00Z</dcterms:created>
  <dcterms:modified xsi:type="dcterms:W3CDTF">2020-07-29T01:56:00Z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