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23" w:rsidRPr="00413D52" w:rsidRDefault="00343423" w:rsidP="00343423">
      <w:pPr>
        <w:jc w:val="center"/>
        <w:rPr>
          <w:rFonts w:ascii="仿宋_GB2312" w:eastAsia="仿宋_GB2312" w:hint="eastAsia"/>
          <w:sz w:val="36"/>
          <w:szCs w:val="36"/>
        </w:rPr>
      </w:pPr>
      <w:r w:rsidRPr="00413D52">
        <w:rPr>
          <w:rFonts w:ascii="黑体" w:eastAsia="黑体" w:hint="eastAsia"/>
          <w:sz w:val="36"/>
          <w:szCs w:val="36"/>
        </w:rPr>
        <w:t>高青县公共租赁住房</w:t>
      </w:r>
      <w:r>
        <w:rPr>
          <w:rFonts w:ascii="黑体" w:eastAsia="黑体" w:hint="eastAsia"/>
          <w:sz w:val="36"/>
          <w:szCs w:val="36"/>
        </w:rPr>
        <w:t>分配</w:t>
      </w:r>
      <w:r w:rsidRPr="00413D52">
        <w:rPr>
          <w:rFonts w:ascii="黑体" w:eastAsia="黑体" w:hint="eastAsia"/>
          <w:sz w:val="36"/>
          <w:szCs w:val="36"/>
        </w:rPr>
        <w:t>综合计分排序规则</w:t>
      </w:r>
      <w:r w:rsidRPr="00413D52">
        <w:rPr>
          <w:rFonts w:ascii="仿宋_GB2312" w:eastAsia="仿宋_GB2312" w:hint="eastAsia"/>
          <w:sz w:val="36"/>
          <w:szCs w:val="36"/>
        </w:rPr>
        <w:t xml:space="preserve">    </w:t>
      </w:r>
    </w:p>
    <w:p w:rsidR="00343423" w:rsidRDefault="00343423" w:rsidP="00343423">
      <w:pPr>
        <w:ind w:firstLineChars="200" w:firstLine="640"/>
        <w:rPr>
          <w:rFonts w:ascii="仿宋_GB2312" w:eastAsia="仿宋_GB2312" w:hint="eastAsia"/>
          <w:sz w:val="32"/>
          <w:szCs w:val="32"/>
        </w:rPr>
      </w:pP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一、为进一步完善我县公共租赁住房轮候配租机制，本着公平、公正、公开、困难优先的分配原则，根据《淄博市公共租赁住房建设和管理办法》（淄政发〔2011〕76号）和全市住房保障会议精神，制定本规则。</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二、本规则适用于全县范围政府投资建设（筹集）公共租赁住房（含廉租住房）的配租工作。</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三、县政府投资建设（筹集）的公共租赁住房达到配租条件后，房管部门应当及时发布配租公告，公布房源项目名称、位置、数量、户型、建筑面积及租金标准、申请期限等信息。取得公共租赁住房资格的家庭（以下简称保障对象），可由申请人凭本人身份证和《公共租赁住房资格证》或《住房租赁补贴资格证》，在规定期限内提出配租申请。</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四、对提出申请的保障对象，房管部门按照“特殊群体优先保障”的原则进行分类排序，对于符合优先配租条件的家庭通过综合评分的方式确定配租顺序，优先满足供应；然后对其他符合条件的申请家庭再次进行排序，确定选房资格和顺序。</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五、符合申请条件的家庭，有下列情形之一的予以优先进行配租：</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（一）持有民政部门发放的《城市居民最低生活保障证》</w:t>
      </w:r>
      <w:r w:rsidRPr="00343423">
        <w:rPr>
          <w:rFonts w:ascii="仿宋" w:eastAsia="仿宋" w:hAnsi="仿宋" w:hint="eastAsia"/>
          <w:sz w:val="32"/>
          <w:szCs w:val="32"/>
        </w:rPr>
        <w:lastRenderedPageBreak/>
        <w:t>的；</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（二）属于烈士遗属、优抚对象的；</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（三）家庭成员中有市级以上劳动模范等先进人物的；</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（四）家庭成员中有一、二级重度肢体残疾人员的；</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（五）在房屋征收范围内无经济能力回购产权调换房屋的被征收人家庭；</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（六）其他市级政府规范性文件规定应当优先进行配租的（75周岁以上的优先分配）。</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六、保障对象综合评分按下列因素计算：</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（一）保障对象夫妇平均年龄，占20分。以夫妇双方的平均年龄为准，60岁及以上为满分，计分年龄准确到天，不足60岁的，计分公式为：20×平均年龄天数/（60×365）。</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二）保障对象在房源所在地居住时间（外来务工人员按在房源所在地工作时间为准），占10分。以夫妇双方当中居住或工作时间较长的一方为准，60年及以上为满分，计分时间精准到天，不足60年的，计分公式为：10×居住或缴纳养老保险时间天数/（60×365）。</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（三）家庭人口数，占30分。其中，1人户口20分、2人户口25分、3人户口（含）以上30分。</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（四）家庭人均年收入，占10分。其中，低保家庭10分；其他低收入家庭7分；中等偏下收入家庭4分。</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（五）家庭人均现住房建筑面积，占30分。计分公式</w:t>
      </w:r>
      <w:r w:rsidRPr="00343423">
        <w:rPr>
          <w:rFonts w:ascii="仿宋" w:eastAsia="仿宋" w:hAnsi="仿宋" w:hint="eastAsia"/>
          <w:sz w:val="32"/>
          <w:szCs w:val="32"/>
        </w:rPr>
        <w:lastRenderedPageBreak/>
        <w:t>为：30×（15-人均住房建筑面积）/15。</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（七）保障对象自取得公共租赁住房资格证（含住房租赁补贴证）之日起，与公共租赁住房配租的年度之差为基准，1个年度加2分，未满半个年度不计分。</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保障对象的综合评分为上述各项因素的得分之和。</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七、公共租赁住房轮候配租顺序，按保障对象的综合评分高低确定。如2户或2户以上保障对象的综合评分出现相同分值，依次按照保障对象住房困难程度、取得住房保障资格时间先后（以月份为准）、居住或工作年限时间长短（以夫妇双方当中时间长的一方为准，精确到天）、夫妇双方平均年龄大小（精确到天）、家庭人均年收入多少确定轮候顺序。</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八、房管部门应当将保障对象的综合计分排序结果和评分因素向社会公布，并按照综合计分顺序，确定期限依次组织保障对象选房配租。</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九、对于通过清退、收回等方式筹集的零星公共租赁住房，房管部门可以根据实际情况，按照当期在保的保障对象综合评分顺序，依次通知选房配租。配租情况应当及时向社会公开。</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十、保障对象选房后，应当按规定与出租人或其委托的运营管理机构签订《公共租赁住房租赁合同》，办理房屋租赁和交接手续。选房后弃租的，5年内不得再次配租公共租</w:t>
      </w:r>
      <w:r w:rsidRPr="00343423">
        <w:rPr>
          <w:rFonts w:ascii="仿宋" w:eastAsia="仿宋" w:hAnsi="仿宋" w:hint="eastAsia"/>
          <w:sz w:val="32"/>
          <w:szCs w:val="32"/>
        </w:rPr>
        <w:lastRenderedPageBreak/>
        <w:t>赁住房。</w:t>
      </w:r>
    </w:p>
    <w:p w:rsidR="00343423" w:rsidRPr="00343423" w:rsidRDefault="00343423" w:rsidP="00343423">
      <w:pPr>
        <w:ind w:firstLineChars="200" w:firstLine="640"/>
        <w:rPr>
          <w:rFonts w:ascii="仿宋" w:eastAsia="仿宋" w:hAnsi="仿宋" w:hint="eastAsia"/>
          <w:sz w:val="32"/>
          <w:szCs w:val="32"/>
        </w:rPr>
      </w:pPr>
      <w:r w:rsidRPr="00343423">
        <w:rPr>
          <w:rFonts w:ascii="仿宋" w:eastAsia="仿宋" w:hAnsi="仿宋" w:hint="eastAsia"/>
          <w:sz w:val="32"/>
          <w:szCs w:val="32"/>
        </w:rPr>
        <w:t>十一、本规则自2017年5月1日起施行。</w:t>
      </w:r>
    </w:p>
    <w:p w:rsidR="00203A72" w:rsidRDefault="00203A72"/>
    <w:sectPr w:rsidR="00203A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3423"/>
    <w:rsid w:val="00203A72"/>
    <w:rsid w:val="00343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4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1266</Characters>
  <Application>Microsoft Office Word</Application>
  <DocSecurity>0</DocSecurity>
  <Lines>10</Lines>
  <Paragraphs>2</Paragraphs>
  <ScaleCrop>false</ScaleCrop>
  <Company>CHINA</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2019-09-04T00:56:00Z</dcterms:created>
  <dcterms:modified xsi:type="dcterms:W3CDTF">2019-09-04T00:57:00Z</dcterms:modified>
</cp:coreProperties>
</file>