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高青县住房和城乡建设保障服务中心</w:t>
      </w:r>
    </w:p>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政府信息公开指南</w:t>
      </w:r>
    </w:p>
    <w:p>
      <w:pPr>
        <w:spacing w:line="540" w:lineRule="exact"/>
        <w:jc w:val="center"/>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《高青县住房和城乡建设住房保障服务中心政府信息公开指南》（以下简称《指南》）由高青县住房和城乡建设住房保障服务中心根据《中华人民共和国政府信息公开条例》（国务院令第49</w:t>
      </w:r>
      <w:bookmarkStart w:id="0" w:name="_GoBack"/>
      <w:bookmarkEnd w:id="0"/>
      <w:r>
        <w:rPr>
          <w:rFonts w:hint="eastAsia" w:ascii="仿宋_GB2312" w:eastAsia="仿宋_GB2312"/>
          <w:sz w:val="32"/>
          <w:szCs w:val="32"/>
        </w:rPr>
        <w:t>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（一）信息分类和编排体系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主要包括：机构设置及职能情况；机构领导及分工情况；内设机构及职能情况；办公地址、办公时间、联系方式、负责人姓名、邮政编码等。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主要包括：本机关阶段性工作计划、工作重点安排等。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主要包括：本机关部门财政预算、决算报告；</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主要包括：本机关人事任免信息；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1.高青县人民政府网站（www.gaoqing.gov.cn）。</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2.《高青县人民政府公报》。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3.其他：报刊、广播、电视、互联网政务新媒体等。</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申请人可到高青县住房和城乡建设住房保障服务中心办公室现场当面提交申请。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地址：高青县清河路9号。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办公时间：8:30-12:00，13:30-17:00（节假日除外）。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联系电话：0533-6987070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w:t>
      </w:r>
    </w:p>
    <w:p>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来信请寄：淄博市高青县清河路9号，高青县住房和城乡建设住房保障服务中心办公室（收），同时须在信封左下角注明“政府信息公开申请”字样；邮政编码：256300。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申请人可通过政府网站提交申请。高青县人民政府网站（www.gaoqing.gov.cn)开通有政府信息公开申请网上提交渠道，受理向本机关提交的政府信息公开申请。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1.申请获取政府信息，应当填写《高青县政府信息公开申请表》，申请表可以从高青县人民政府网站（www.gaoqing.gov.cn)下载、打印，复制有效。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高青县住房和城乡建设住房保障服务中心政府信息公开工作机构和申请受理机构为：高青县住房和城乡建设住房保障服务中心办公室。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办公地址：高青县清河路9号</w:t>
      </w:r>
    </w:p>
    <w:p>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联系电话：0533-6987070</w:t>
      </w:r>
    </w:p>
    <w:p>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传真：0533-6987070</w:t>
      </w:r>
    </w:p>
    <w:p>
      <w:pPr>
        <w:spacing w:line="540" w:lineRule="exact"/>
        <w:ind w:firstLine="640" w:firstLineChars="200"/>
        <w:rPr>
          <w:rFonts w:ascii="仿宋_GB2312" w:eastAsia="仿宋_GB2312"/>
          <w:color w:val="FF0000"/>
          <w:sz w:val="32"/>
          <w:szCs w:val="32"/>
          <w:u w:val="single"/>
        </w:rPr>
      </w:pPr>
      <w:r>
        <w:rPr>
          <w:rFonts w:hint="eastAsia" w:ascii="仿宋_GB2312" w:eastAsia="仿宋_GB2312"/>
          <w:sz w:val="32"/>
          <w:szCs w:val="32"/>
        </w:rPr>
        <w:t>电子邮箱：gqxfanggj@zb.shandong.cn</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投诉、举报受理机构：高青县人民政府办公室信息调研科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pPr>
        <w:spacing w:line="540" w:lineRule="exact"/>
        <w:ind w:firstLine="640" w:firstLineChars="200"/>
        <w:rPr>
          <w:rStyle w:val="8"/>
          <w:rFonts w:ascii="仿宋_GB2312" w:eastAsia="仿宋_GB2312"/>
          <w:sz w:val="32"/>
          <w:szCs w:val="32"/>
        </w:rPr>
      </w:pPr>
      <w:r>
        <w:rPr>
          <w:rFonts w:hint="eastAsia" w:ascii="仿宋_GB2312" w:eastAsia="仿宋_GB2312"/>
          <w:sz w:val="32"/>
          <w:szCs w:val="32"/>
        </w:rPr>
        <w:t>电子信箱：</w:t>
      </w:r>
      <w:r>
        <w:rPr>
          <w:rFonts w:hint="eastAsia" w:ascii="仿宋_GB2312" w:eastAsia="仿宋_GB2312"/>
          <w:color w:val="auto"/>
          <w:sz w:val="32"/>
          <w:szCs w:val="32"/>
          <w:u w:val="none"/>
        </w:rPr>
        <w:t>gqxzfbgsxxzx@zb.shandong.cn</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行政复议受理机构：高青县人民政府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联系电话:0533-6967070</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办公地址：山东省淄博市高青县芦湖路南首（高青县人民检察院东邻、千乘湖公园南侧、长江路以北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联系电话：0533-6961932</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pPr>
        <w:spacing w:line="540" w:lineRule="exact"/>
        <w:ind w:right="160"/>
        <w:jc w:val="right"/>
        <w:rPr>
          <w:rFonts w:ascii="仿宋_GB2312" w:eastAsia="仿宋_GB2312"/>
          <w:color w:val="FF0000"/>
          <w:sz w:val="32"/>
          <w:szCs w:val="32"/>
        </w:rPr>
      </w:pPr>
    </w:p>
    <w:p>
      <w:pPr>
        <w:spacing w:line="540" w:lineRule="exact"/>
        <w:ind w:right="160"/>
        <w:jc w:val="right"/>
        <w:rPr>
          <w:rFonts w:ascii="仿宋_GB2312" w:eastAsia="仿宋_GB2312"/>
          <w:color w:val="FF0000"/>
          <w:sz w:val="32"/>
          <w:szCs w:val="32"/>
        </w:rPr>
      </w:pPr>
    </w:p>
    <w:p>
      <w:pPr>
        <w:spacing w:line="540" w:lineRule="exact"/>
        <w:ind w:firstLine="640" w:firstLineChars="200"/>
        <w:rPr>
          <w:rFonts w:ascii="黑体" w:hAnsi="黑体" w:eastAsia="黑体"/>
          <w:sz w:val="32"/>
          <w:szCs w:val="32"/>
        </w:rPr>
      </w:pPr>
    </w:p>
    <w:p>
      <w:pPr>
        <w:spacing w:line="540" w:lineRule="exact"/>
        <w:ind w:right="160"/>
        <w:jc w:val="right"/>
        <w:rPr>
          <w:rFonts w:ascii="仿宋_GB2312" w:eastAsia="仿宋_GB2312"/>
          <w:color w:val="FF0000"/>
          <w:sz w:val="32"/>
          <w:szCs w:val="32"/>
        </w:rPr>
      </w:pPr>
      <w:r>
        <w:rPr>
          <w:rFonts w:hint="eastAsia" w:ascii="仿宋_GB2312" w:eastAsia="仿宋_GB2312"/>
          <w:sz w:val="32"/>
          <w:szCs w:val="32"/>
        </w:rPr>
        <w:t xml:space="preserve">    高青县住房和城乡建设住房保障服务中心</w:t>
      </w:r>
    </w:p>
    <w:p>
      <w:pPr>
        <w:wordWrap/>
        <w:spacing w:line="560" w:lineRule="exact"/>
        <w:jc w:val="right"/>
        <w:rPr>
          <w:rFonts w:ascii="仿宋_GB2312" w:eastAsia="仿宋_GB2312"/>
          <w:sz w:val="32"/>
          <w:szCs w:val="32"/>
        </w:rPr>
      </w:pPr>
      <w:r>
        <w:rPr>
          <w:rFonts w:hint="eastAsia" w:ascii="仿宋_GB2312" w:eastAsia="仿宋_GB2312"/>
          <w:sz w:val="32"/>
          <w:szCs w:val="32"/>
        </w:rPr>
        <w:t xml:space="preserve">                2021年3月      </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color w:val="FF0000"/>
          <w:sz w:val="32"/>
          <w:szCs w:val="32"/>
        </w:rPr>
      </w:pPr>
    </w:p>
    <w:p>
      <w:pPr>
        <w:spacing w:line="560" w:lineRule="exact"/>
        <w:rPr>
          <w:rFonts w:ascii="仿宋_GB2312" w:eastAsia="仿宋_GB2312"/>
          <w:color w:val="FF0000"/>
          <w:sz w:val="32"/>
          <w:szCs w:val="32"/>
        </w:rPr>
      </w:pPr>
    </w:p>
    <w:p>
      <w:pPr>
        <w:spacing w:line="560" w:lineRule="exact"/>
        <w:rPr>
          <w:rFonts w:ascii="仿宋_GB2312" w:eastAsia="仿宋_GB2312"/>
          <w:color w:val="FF0000"/>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1340D"/>
    <w:rsid w:val="00C27996"/>
    <w:rsid w:val="00C508A6"/>
    <w:rsid w:val="00C8429E"/>
    <w:rsid w:val="00C95BDA"/>
    <w:rsid w:val="00CA5CAE"/>
    <w:rsid w:val="00CB13D2"/>
    <w:rsid w:val="00D212BC"/>
    <w:rsid w:val="00D3003E"/>
    <w:rsid w:val="00D640B4"/>
    <w:rsid w:val="00D7196A"/>
    <w:rsid w:val="00DE7D55"/>
    <w:rsid w:val="00E155E6"/>
    <w:rsid w:val="00E22FB7"/>
    <w:rsid w:val="00E52047"/>
    <w:rsid w:val="00EB7539"/>
    <w:rsid w:val="00EE291B"/>
    <w:rsid w:val="00EF5FE3"/>
    <w:rsid w:val="00F73825"/>
    <w:rsid w:val="00FB5E85"/>
    <w:rsid w:val="00FB63AB"/>
    <w:rsid w:val="00FC5DA8"/>
    <w:rsid w:val="00FE5B9F"/>
    <w:rsid w:val="00FE6DE6"/>
    <w:rsid w:val="09CB2848"/>
    <w:rsid w:val="0D273FD2"/>
    <w:rsid w:val="60051839"/>
    <w:rsid w:val="7EFA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10</Pages>
  <Words>3349</Words>
  <Characters>3712</Characters>
  <Lines>29</Lines>
  <Paragraphs>8</Paragraphs>
  <TotalTime>20</TotalTime>
  <ScaleCrop>false</ScaleCrop>
  <LinksUpToDate>false</LinksUpToDate>
  <CharactersWithSpaces>3788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Administrator</cp:lastModifiedBy>
  <cp:lastPrinted>2021-03-04T02:20:00Z</cp:lastPrinted>
  <dcterms:modified xsi:type="dcterms:W3CDTF">2021-06-23T08:15:48Z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4B209847A66E4087A21217E9763BC62B</vt:lpwstr>
  </property>
</Properties>
</file>