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2020年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度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高青县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房地产服务中心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政府信息公开工作年度报告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本报告根据《中华人民共和国政府信息公开条例》（国务院令第711号，以下简称《条例》）要求，由高青县</w:t>
      </w:r>
      <w:r>
        <w:rPr>
          <w:rFonts w:hint="eastAsia" w:ascii="仿宋_GB2312" w:eastAsia="仿宋_GB2312"/>
          <w:sz w:val="32"/>
          <w:szCs w:val="32"/>
          <w:lang w:eastAsia="zh-CN"/>
        </w:rPr>
        <w:t>房地产服务中心</w:t>
      </w:r>
      <w:r>
        <w:rPr>
          <w:rFonts w:hint="eastAsia" w:ascii="仿宋_GB2312" w:eastAsia="仿宋_GB2312"/>
          <w:sz w:val="32"/>
          <w:szCs w:val="32"/>
        </w:rPr>
        <w:t>办公室综合本单位政府信息公开工作情况编制。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报告中所列数据统计期限自2020年1月1日始，至2020年12月31日止。报告电子版可在高青县人民政府门户网站（www.gaoqing.gov.cn）查阅和下载。如对报告内容有疑问，请与高青县</w:t>
      </w:r>
      <w:r>
        <w:rPr>
          <w:rFonts w:hint="eastAsia" w:ascii="仿宋_GB2312" w:eastAsia="仿宋_GB2312"/>
          <w:sz w:val="32"/>
          <w:szCs w:val="32"/>
          <w:lang w:eastAsia="zh-CN"/>
        </w:rPr>
        <w:t>房地产服务中想</w:t>
      </w:r>
      <w:r>
        <w:rPr>
          <w:rFonts w:hint="eastAsia" w:ascii="仿宋_GB2312" w:eastAsia="仿宋_GB2312"/>
          <w:sz w:val="32"/>
          <w:szCs w:val="32"/>
        </w:rPr>
        <w:t>办公室联系（地址：高青县城</w:t>
      </w:r>
      <w:r>
        <w:rPr>
          <w:rFonts w:hint="eastAsia" w:ascii="仿宋_GB2312" w:eastAsia="仿宋_GB2312"/>
          <w:sz w:val="32"/>
          <w:szCs w:val="32"/>
          <w:lang w:eastAsia="zh-CN"/>
        </w:rPr>
        <w:t>清河</w:t>
      </w:r>
      <w:r>
        <w:rPr>
          <w:rFonts w:hint="eastAsia" w:ascii="仿宋_GB2312" w:eastAsia="仿宋_GB2312"/>
          <w:sz w:val="32"/>
          <w:szCs w:val="32"/>
        </w:rPr>
        <w:t>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号；邮编：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256300</w:t>
      </w:r>
      <w:r>
        <w:rPr>
          <w:rFonts w:hint="eastAsia" w:ascii="仿宋_GB2312" w:eastAsia="仿宋_GB2312"/>
          <w:sz w:val="32"/>
          <w:szCs w:val="32"/>
        </w:rPr>
        <w:t>；电话：0533-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6987070</w:t>
      </w:r>
      <w:r>
        <w:rPr>
          <w:rFonts w:hint="eastAsia" w:ascii="仿宋_GB2312" w:eastAsia="仿宋_GB2312"/>
          <w:sz w:val="32"/>
          <w:szCs w:val="32"/>
        </w:rPr>
        <w:t>；传真：0533-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6987070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，高青县房地产服务中心紧紧围绕县委、县政府、为中心工作，协助配合县住建局编制县城住宅规划，坚持以群众的关注关切为导向，把服务民生安居乐业作为工作重点。在政务公开工作方面，坚持以公开为常态、不公开为例外，通过不断完善政务公开制度建设，更好地回应群众关切、解决群众问题、传递群众信息，做好房地产方面的保障服务工作，切实提高群众满意度、获得感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（一）体制机制建设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1.加强信息公开组织领导、健全公开体制机制。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根据全县政府信息公开工作统一部署和要求，我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将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政府信息公开工作列入重要工作日程，成立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政府信息公开工作领导小组，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县房地产服务中心党组成员张琳分管信息公开工作，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办公室具体负责工作。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同时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对政府信息公开工作作出具体部署：一是领导责任制，建立起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党组成员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负总责、分管领导主抓、各有关部门配合的工作机制。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2.提升信息公开思想认识、加强公开业务水平。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把政府信息公开工作纳入年度培训计划，中心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多次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召开了政务公开工作推进会议，各科室相关工作人员参会。会上，集体学习了《中华人民共和国政府信息公开条例》，省、市政务公开年度考核评估指标体系、方式方法，明确了当前政务公开工作要点。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drawing>
          <wp:inline distT="0" distB="0" distL="114300" distR="114300">
            <wp:extent cx="3579495" cy="2386965"/>
            <wp:effectExtent l="0" t="0" r="1905" b="13335"/>
            <wp:docPr id="1" name="图片 1" descr="9d01aa468d4840eeacb8f83f11b7f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01aa468d4840eeacb8f83f11b7ff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949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主动公开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.重点领域政府信息公开情况：通过政务公开平台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发布重大行政决策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住房保障相关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信息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公共企事业单位信息公开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条，公示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公告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3.建议提案办理结果公开情况：2020年高青县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房地产服务中心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收到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件人大代表建议，答复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件；收到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件政协委员提案，答复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件，满意率100%，办理情况均通过高青县政务网站进行公开。</w:t>
      </w:r>
    </w:p>
    <w:p>
      <w:pPr>
        <w:numPr>
          <w:ilvl w:val="0"/>
          <w:numId w:val="0"/>
        </w:numPr>
        <w:spacing w:line="560" w:lineRule="exact"/>
        <w:rPr>
          <w:rFonts w:hint="eastAsia" w:ascii="楷体_GB2312" w:hAnsi="黑体" w:eastAsia="楷体_GB2312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依申请公开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1.收到和处理政府信息公开申请情况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2020年，我单位共收到政府信息公开申请数总计0项，按时办结数0件，结转下年度继续办理0项。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2.收费和减免情况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2020年，我单位在政府信息公开申请办理过程中，未收取任何费用。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3.政府信息公开行政复议、行政诉讼情况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2020年，本单位因政府信息公开被申请行政公开行政复议0件，行政诉讼0件。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（四）政府信息管理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对政府信息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加强管理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，安全高效推进信息公开。拟定公文时，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严格执行“先审查，后公开”“一事一审”原则及保密审查要求，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经审查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应当公开的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事项，及时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通过政务公开版块主动公开，不宜主动公开的注明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“依申请公开”或“不予公开”字样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，确保政府信息规范管理。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（五）平台建设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在县政府门户网站设立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县房地产服务中心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政府信息公开专栏，主动公布信息公开目录和信息公开指南等内容，按要求对外公开政府信息，做到及时维护和更新。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加强平台建设，拓展公开渠道。充分发挥政府网站作为政务公开第一平台作用，按时维护更新政府信息公开目录、法定主动公开内容、政府信息依申请公开等栏目。</w:t>
      </w:r>
    </w:p>
    <w:p>
      <w:pPr>
        <w:spacing w:line="560" w:lineRule="exact"/>
        <w:rPr>
          <w:rFonts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（六）监督保障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建立健全政府信息主动公开、依申请公开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保密审查、澄清等工作机制，认真落实政府信息公开工作的考核、评议等监督保障制度。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成立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政务公开工作领导小组，领导小组办公室设在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办公室，配备1名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在职在编人员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负责政务公开工作，开展业务培训，加强对各科室、直属单位政务信息公开工作的督促指导。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87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984"/>
        <w:gridCol w:w="198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2226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91938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  <w:sectPr>
          <w:pgSz w:w="11906" w:h="16838"/>
          <w:pgMar w:top="1134" w:right="1797" w:bottom="1134" w:left="1797" w:header="851" w:footer="992" w:gutter="0"/>
          <w:cols w:space="425" w:num="1"/>
          <w:docGrid w:type="linesAndChar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07"/>
        <w:gridCol w:w="707"/>
        <w:gridCol w:w="707"/>
        <w:gridCol w:w="566"/>
        <w:gridCol w:w="707"/>
        <w:gridCol w:w="706"/>
        <w:gridCol w:w="755"/>
        <w:gridCol w:w="659"/>
        <w:gridCol w:w="548"/>
        <w:gridCol w:w="725"/>
        <w:gridCol w:w="699"/>
        <w:gridCol w:w="714"/>
        <w:gridCol w:w="7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6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（一）主要问题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  <w:lang w:eastAsia="zh-CN"/>
        </w:rPr>
        <w:t>信息公开的渠道和方式比较有限，目前仅限于高青县政府网站，缺乏丰富的内容展示形式，群众阅读了解信息比较枯燥。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积极开拓其他公开渠道，如政务新媒体账号，积极探实行各种方便群众查阅、了解信息的公开方式，如长图、短视频等。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其他需要报告的事项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0168FF"/>
    <w:multiLevelType w:val="singleLevel"/>
    <w:tmpl w:val="B40168F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280FEE"/>
    <w:multiLevelType w:val="singleLevel"/>
    <w:tmpl w:val="04280FE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FFAE77A"/>
    <w:multiLevelType w:val="singleLevel"/>
    <w:tmpl w:val="7FFAE7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FF"/>
    <w:rsid w:val="00003766"/>
    <w:rsid w:val="00011351"/>
    <w:rsid w:val="00033FFE"/>
    <w:rsid w:val="000406A0"/>
    <w:rsid w:val="00050F08"/>
    <w:rsid w:val="00067D0C"/>
    <w:rsid w:val="00097400"/>
    <w:rsid w:val="000B0330"/>
    <w:rsid w:val="000B0934"/>
    <w:rsid w:val="000E4BD9"/>
    <w:rsid w:val="000E69DA"/>
    <w:rsid w:val="000E6B32"/>
    <w:rsid w:val="000F2D8A"/>
    <w:rsid w:val="001010D4"/>
    <w:rsid w:val="00117B4D"/>
    <w:rsid w:val="00123B08"/>
    <w:rsid w:val="001245D4"/>
    <w:rsid w:val="00124A11"/>
    <w:rsid w:val="001366B4"/>
    <w:rsid w:val="00151924"/>
    <w:rsid w:val="00154708"/>
    <w:rsid w:val="00161940"/>
    <w:rsid w:val="00164480"/>
    <w:rsid w:val="0016467B"/>
    <w:rsid w:val="00186A62"/>
    <w:rsid w:val="001A6BB5"/>
    <w:rsid w:val="001B7C65"/>
    <w:rsid w:val="001E217A"/>
    <w:rsid w:val="001E5229"/>
    <w:rsid w:val="001E6FDD"/>
    <w:rsid w:val="00206BB2"/>
    <w:rsid w:val="00214DF2"/>
    <w:rsid w:val="00216242"/>
    <w:rsid w:val="00234030"/>
    <w:rsid w:val="00241314"/>
    <w:rsid w:val="00251CC7"/>
    <w:rsid w:val="00256608"/>
    <w:rsid w:val="00266C64"/>
    <w:rsid w:val="002710D2"/>
    <w:rsid w:val="00286935"/>
    <w:rsid w:val="0029082F"/>
    <w:rsid w:val="0029284C"/>
    <w:rsid w:val="0029383C"/>
    <w:rsid w:val="002942DD"/>
    <w:rsid w:val="002A7F25"/>
    <w:rsid w:val="002B5369"/>
    <w:rsid w:val="002D09A1"/>
    <w:rsid w:val="002E3859"/>
    <w:rsid w:val="00310B91"/>
    <w:rsid w:val="00317F8F"/>
    <w:rsid w:val="003336C5"/>
    <w:rsid w:val="003343A1"/>
    <w:rsid w:val="00342B75"/>
    <w:rsid w:val="00361769"/>
    <w:rsid w:val="003A551A"/>
    <w:rsid w:val="003B7614"/>
    <w:rsid w:val="003C1CCB"/>
    <w:rsid w:val="003C66CF"/>
    <w:rsid w:val="003D1317"/>
    <w:rsid w:val="003F3C5A"/>
    <w:rsid w:val="004020BC"/>
    <w:rsid w:val="00417E4F"/>
    <w:rsid w:val="00431DC0"/>
    <w:rsid w:val="0044469E"/>
    <w:rsid w:val="0044565B"/>
    <w:rsid w:val="004622B9"/>
    <w:rsid w:val="00465EE7"/>
    <w:rsid w:val="00474F8C"/>
    <w:rsid w:val="004A3770"/>
    <w:rsid w:val="004A61D9"/>
    <w:rsid w:val="004B1E38"/>
    <w:rsid w:val="004D692C"/>
    <w:rsid w:val="004F225D"/>
    <w:rsid w:val="00503DC2"/>
    <w:rsid w:val="00506018"/>
    <w:rsid w:val="0052384C"/>
    <w:rsid w:val="00530FAE"/>
    <w:rsid w:val="005357E0"/>
    <w:rsid w:val="00561095"/>
    <w:rsid w:val="00565E58"/>
    <w:rsid w:val="00572EE9"/>
    <w:rsid w:val="00575039"/>
    <w:rsid w:val="0058410F"/>
    <w:rsid w:val="005A2D30"/>
    <w:rsid w:val="005A679F"/>
    <w:rsid w:val="005A6855"/>
    <w:rsid w:val="005B2C9D"/>
    <w:rsid w:val="005B60B9"/>
    <w:rsid w:val="005C4E55"/>
    <w:rsid w:val="005C6267"/>
    <w:rsid w:val="005D2717"/>
    <w:rsid w:val="005E176C"/>
    <w:rsid w:val="006437E8"/>
    <w:rsid w:val="0067385D"/>
    <w:rsid w:val="00684540"/>
    <w:rsid w:val="00685243"/>
    <w:rsid w:val="00685FD6"/>
    <w:rsid w:val="0069145A"/>
    <w:rsid w:val="006A5602"/>
    <w:rsid w:val="006C1D61"/>
    <w:rsid w:val="006C61E3"/>
    <w:rsid w:val="006D2B9E"/>
    <w:rsid w:val="006F2052"/>
    <w:rsid w:val="006F32A9"/>
    <w:rsid w:val="0070575A"/>
    <w:rsid w:val="00706842"/>
    <w:rsid w:val="00707521"/>
    <w:rsid w:val="00710874"/>
    <w:rsid w:val="0072048C"/>
    <w:rsid w:val="00746ECD"/>
    <w:rsid w:val="00747284"/>
    <w:rsid w:val="0075282D"/>
    <w:rsid w:val="00754F25"/>
    <w:rsid w:val="00776012"/>
    <w:rsid w:val="0077715A"/>
    <w:rsid w:val="007D6C57"/>
    <w:rsid w:val="007E4180"/>
    <w:rsid w:val="00807CC0"/>
    <w:rsid w:val="00816B92"/>
    <w:rsid w:val="00825613"/>
    <w:rsid w:val="00835FA9"/>
    <w:rsid w:val="00852C30"/>
    <w:rsid w:val="00867D9F"/>
    <w:rsid w:val="0087437C"/>
    <w:rsid w:val="00874582"/>
    <w:rsid w:val="0087509A"/>
    <w:rsid w:val="00885D12"/>
    <w:rsid w:val="008A46AC"/>
    <w:rsid w:val="008D4B35"/>
    <w:rsid w:val="008D62E4"/>
    <w:rsid w:val="008E6862"/>
    <w:rsid w:val="008F0C7F"/>
    <w:rsid w:val="00902E17"/>
    <w:rsid w:val="00937389"/>
    <w:rsid w:val="00971010"/>
    <w:rsid w:val="0099580A"/>
    <w:rsid w:val="009C36DF"/>
    <w:rsid w:val="009D2A19"/>
    <w:rsid w:val="009D5915"/>
    <w:rsid w:val="009F4207"/>
    <w:rsid w:val="009F435B"/>
    <w:rsid w:val="009F4D5A"/>
    <w:rsid w:val="009F5FE5"/>
    <w:rsid w:val="009F6DCB"/>
    <w:rsid w:val="00A16507"/>
    <w:rsid w:val="00A304B2"/>
    <w:rsid w:val="00A427EB"/>
    <w:rsid w:val="00A52A9C"/>
    <w:rsid w:val="00A6389A"/>
    <w:rsid w:val="00A7136A"/>
    <w:rsid w:val="00A858D2"/>
    <w:rsid w:val="00A9750E"/>
    <w:rsid w:val="00AD32E2"/>
    <w:rsid w:val="00AD7912"/>
    <w:rsid w:val="00AE68F1"/>
    <w:rsid w:val="00AE6F46"/>
    <w:rsid w:val="00AF6C2E"/>
    <w:rsid w:val="00B0527D"/>
    <w:rsid w:val="00B10618"/>
    <w:rsid w:val="00B209C0"/>
    <w:rsid w:val="00B222E6"/>
    <w:rsid w:val="00B2447E"/>
    <w:rsid w:val="00B52FB0"/>
    <w:rsid w:val="00B6207B"/>
    <w:rsid w:val="00B70AA5"/>
    <w:rsid w:val="00B72BE8"/>
    <w:rsid w:val="00B905A0"/>
    <w:rsid w:val="00B95A40"/>
    <w:rsid w:val="00BA1D87"/>
    <w:rsid w:val="00BA408A"/>
    <w:rsid w:val="00BB0CB9"/>
    <w:rsid w:val="00BD15C4"/>
    <w:rsid w:val="00BE34C2"/>
    <w:rsid w:val="00BF33DF"/>
    <w:rsid w:val="00BF78AB"/>
    <w:rsid w:val="00C01B55"/>
    <w:rsid w:val="00C01FA7"/>
    <w:rsid w:val="00C0203D"/>
    <w:rsid w:val="00C24D73"/>
    <w:rsid w:val="00C421DB"/>
    <w:rsid w:val="00C53C40"/>
    <w:rsid w:val="00C615D5"/>
    <w:rsid w:val="00CB0401"/>
    <w:rsid w:val="00CB2F48"/>
    <w:rsid w:val="00CC6D06"/>
    <w:rsid w:val="00CF7A58"/>
    <w:rsid w:val="00D00DA1"/>
    <w:rsid w:val="00D11086"/>
    <w:rsid w:val="00D36A59"/>
    <w:rsid w:val="00D41DCE"/>
    <w:rsid w:val="00D47806"/>
    <w:rsid w:val="00D53DFE"/>
    <w:rsid w:val="00D601F0"/>
    <w:rsid w:val="00D628BA"/>
    <w:rsid w:val="00D72CD5"/>
    <w:rsid w:val="00D847D8"/>
    <w:rsid w:val="00DA5B47"/>
    <w:rsid w:val="00DB1A24"/>
    <w:rsid w:val="00DD1EFA"/>
    <w:rsid w:val="00DE0F65"/>
    <w:rsid w:val="00DE7653"/>
    <w:rsid w:val="00DF152D"/>
    <w:rsid w:val="00E0243C"/>
    <w:rsid w:val="00E2313C"/>
    <w:rsid w:val="00E271FF"/>
    <w:rsid w:val="00E44D4C"/>
    <w:rsid w:val="00E66D92"/>
    <w:rsid w:val="00E76CEC"/>
    <w:rsid w:val="00E8666D"/>
    <w:rsid w:val="00EA56A0"/>
    <w:rsid w:val="00EC4878"/>
    <w:rsid w:val="00F07DF7"/>
    <w:rsid w:val="00F227DD"/>
    <w:rsid w:val="00F241FE"/>
    <w:rsid w:val="00F250FA"/>
    <w:rsid w:val="00F33CEA"/>
    <w:rsid w:val="00F43078"/>
    <w:rsid w:val="00F53375"/>
    <w:rsid w:val="00F63D59"/>
    <w:rsid w:val="00F7222E"/>
    <w:rsid w:val="00F81217"/>
    <w:rsid w:val="00F84A56"/>
    <w:rsid w:val="00F85382"/>
    <w:rsid w:val="00F85A95"/>
    <w:rsid w:val="00F86849"/>
    <w:rsid w:val="00F97C97"/>
    <w:rsid w:val="00FD6BCF"/>
    <w:rsid w:val="00FE7C2B"/>
    <w:rsid w:val="04B204ED"/>
    <w:rsid w:val="0A44795E"/>
    <w:rsid w:val="1D1246CF"/>
    <w:rsid w:val="1DC95849"/>
    <w:rsid w:val="35461D9E"/>
    <w:rsid w:val="3A3F6DCF"/>
    <w:rsid w:val="3EEA5C40"/>
    <w:rsid w:val="425E1B85"/>
    <w:rsid w:val="44131917"/>
    <w:rsid w:val="50EC6C20"/>
    <w:rsid w:val="6555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rFonts w:ascii="Verdana" w:hAnsi="Verdana" w:eastAsia="仿宋_GB2312" w:cs="Verdana"/>
      <w:b/>
      <w:bCs/>
      <w:kern w:val="0"/>
      <w:sz w:val="28"/>
      <w:szCs w:val="28"/>
      <w:lang w:eastAsia="en-US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280</Words>
  <Characters>1602</Characters>
  <Lines>13</Lines>
  <Paragraphs>3</Paragraphs>
  <TotalTime>1</TotalTime>
  <ScaleCrop>false</ScaleCrop>
  <LinksUpToDate>false</LinksUpToDate>
  <CharactersWithSpaces>1879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2021-01-08T09:26:00Z</dcterms:created>
  <dc:creator>lb</dc:creator>
  <cp:lastModifiedBy>Administrator</cp:lastModifiedBy>
  <cp:lastPrinted>2021-01-25T07:58:00Z</cp:lastPrinted>
  <dcterms:modified xsi:type="dcterms:W3CDTF">2021-01-27T06:07:17Z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