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640" w:firstLineChars="200"/>
        <w:jc w:val="center"/>
        <w:rPr>
          <w:sz w:val="32"/>
          <w:szCs w:val="32"/>
        </w:rPr>
      </w:pPr>
      <w:r>
        <w:rPr>
          <w:rFonts w:hint="eastAsia"/>
          <w:sz w:val="32"/>
          <w:szCs w:val="32"/>
        </w:rPr>
        <w:t>高青县扶贫办2019年政府信息公开工作年度报告</w:t>
      </w:r>
    </w:p>
    <w:p>
      <w:pPr>
        <w:pStyle w:val="2"/>
        <w:keepNext w:val="0"/>
        <w:keepLines w:val="0"/>
        <w:widowControl/>
        <w:suppressLineNumbers w:val="0"/>
        <w:ind w:firstLine="600" w:firstLineChars="200"/>
        <w:rPr>
          <w:sz w:val="30"/>
          <w:szCs w:val="30"/>
        </w:rPr>
      </w:pPr>
      <w:r>
        <w:rPr>
          <w:sz w:val="30"/>
          <w:szCs w:val="30"/>
        </w:rPr>
        <w:t>本报告按照《中华人民共和国政府信息公开条例》（以下简称《条例》）和《山东省政府信息公开办法》（以下简称《办法》）规定，根据高青县扶贫开发领导小组办公室信息公开工作情况编制。</w:t>
      </w:r>
    </w:p>
    <w:p>
      <w:pPr>
        <w:pStyle w:val="2"/>
        <w:keepNext w:val="0"/>
        <w:keepLines w:val="0"/>
        <w:widowControl/>
        <w:suppressLineNumbers w:val="0"/>
        <w:rPr>
          <w:sz w:val="30"/>
          <w:szCs w:val="30"/>
        </w:rPr>
      </w:pPr>
      <w:r>
        <w:rPr>
          <w:sz w:val="30"/>
          <w:szCs w:val="30"/>
        </w:rPr>
        <w:t>       报告全文由总体情况，主动公开政府信息情况，收到和处理政府信息公开申请情况，政府信息公开行政复议、行政诉讼情况，存在的主要问题及改进情况，其他需要报告的事项6个部分组成。</w:t>
      </w:r>
    </w:p>
    <w:p>
      <w:pPr>
        <w:pStyle w:val="2"/>
        <w:keepNext w:val="0"/>
        <w:keepLines w:val="0"/>
        <w:widowControl/>
        <w:suppressLineNumbers w:val="0"/>
        <w:rPr>
          <w:sz w:val="30"/>
          <w:szCs w:val="30"/>
        </w:rPr>
      </w:pPr>
      <w:r>
        <w:rPr>
          <w:sz w:val="30"/>
          <w:szCs w:val="30"/>
        </w:rPr>
        <w:t>       报告中所列数据统计期限自2019年1月1日始，至2019年12月31日止。如对报告内容有疑问，请与高青县扶贫办办公室联系（地址：高青县青城路715号；邮编：256300；电话：0533-6951305）。</w:t>
      </w:r>
    </w:p>
    <w:p>
      <w:pPr>
        <w:pStyle w:val="2"/>
        <w:keepNext w:val="0"/>
        <w:keepLines w:val="0"/>
        <w:widowControl/>
        <w:suppressLineNumbers w:val="0"/>
        <w:rPr>
          <w:sz w:val="30"/>
          <w:szCs w:val="30"/>
        </w:rPr>
      </w:pPr>
      <w:r>
        <w:rPr>
          <w:sz w:val="30"/>
          <w:szCs w:val="30"/>
        </w:rPr>
        <w:t>一、总体情况</w:t>
      </w:r>
    </w:p>
    <w:p>
      <w:pPr>
        <w:pStyle w:val="2"/>
        <w:keepNext w:val="0"/>
        <w:keepLines w:val="0"/>
        <w:widowControl/>
        <w:suppressLineNumbers w:val="0"/>
        <w:rPr>
          <w:sz w:val="30"/>
          <w:szCs w:val="30"/>
        </w:rPr>
      </w:pPr>
      <w:r>
        <w:rPr>
          <w:sz w:val="30"/>
          <w:szCs w:val="30"/>
        </w:rPr>
        <w:t>     （一）加强组织领导。依据《中华人民共和国政府信息公开条例》，我办结合扶贫工作实际，指定专人负责政务公开工作，明确工作分工，建立健全了由综合协调组牵头，其他各组协调配合的信息发布工作机制并且如实填写信息发布保密审查表，承办人、审查人、主管领导一次审查签字。综合协调组建立值班读网制度，对于突发事件，及时编辑、审核和发布相关稿件。对于栏目更新情况、信息内容质量等进行日常巡检，及时发现问题、纠正错漏并做好记录。 </w:t>
      </w:r>
    </w:p>
    <w:p>
      <w:pPr>
        <w:pStyle w:val="2"/>
        <w:keepNext w:val="0"/>
        <w:keepLines w:val="0"/>
        <w:widowControl/>
        <w:suppressLineNumbers w:val="0"/>
        <w:rPr>
          <w:sz w:val="30"/>
          <w:szCs w:val="30"/>
        </w:rPr>
      </w:pPr>
      <w:r>
        <w:rPr>
          <w:sz w:val="30"/>
          <w:szCs w:val="30"/>
        </w:rPr>
        <w:t>     （二）聚焦重点领域扩大公开。2019年，县扶贫办通过“高青政务网”等形式公开了《高青县脱贫攻坚“找差距、抓落实”到户帮扶工作手册》、《高青县关于印发〈2019年度全县扶贫对象动态调整工作方案〉的通知》、《高青县新识别台账管理贫困户名单公告》、《高青县扶贫开发领导小组办公室2019年工作要点》政策规划类信息4条。《扶贫小额信贷贴息公告》、《扶贫小额信贷贴息公示》、《扶贫小额信贷拟发放公示》、《关于追加县级财政专项扶贫资金的公告》、《2019年度省级第二批专项扶贫一般性转移支付资金分配公告》、《2019年度省级财政专项扶贫资金（第二批）公告》、《关于加强2019年度财政专项扶贫资金使用监管的意见》、《2019年度财政专项扶贫资金使用安排公告》、《2019年度项目支出绩效目标表公告》、《2019年度省市县财政专项扶贫资金用于产业发展项目公告》、《2019年度市级财政专项扶贫资金公告》、《2019年度县级财政专项扶贫资金公告》、《关于下达2019年县财政专项扶贫资金预算指标的通知》、《2019年省级提前批专项扶贫资金资金使用安排公告》、《2019年度省级财政专项扶贫资金（提前批）公告》等资金分配类信息23条。《高青县扶贫产业项目示范工程专家评审结果公示》、《高青县2018年-2020年脱贫攻坚项目库公告（第二次修订）》、《高青县2019年扶贫项目计划完成情况公告》、《高青县2019年雨露计划项目补助对象公告》、《高青县山东宝乘电子有限公司项目实施方案公示》项目安排类信息15条。《持续开展“回头看”  切实巩固脱贫成效》、《扶贫路上 砥砺前行》、《贫困户刘士友夫妇的新生活》、《砥砺再奋进，开启脱贫攻坚新征程》扶贫成效类信息4条；其他信息4条。</w:t>
      </w:r>
    </w:p>
    <w:p>
      <w:pPr>
        <w:pStyle w:val="2"/>
        <w:keepNext w:val="0"/>
        <w:keepLines w:val="0"/>
        <w:widowControl/>
        <w:suppressLineNumbers w:val="0"/>
        <w:rPr>
          <w:sz w:val="30"/>
          <w:szCs w:val="30"/>
        </w:rPr>
      </w:pPr>
      <w:r>
        <w:rPr>
          <w:sz w:val="30"/>
          <w:szCs w:val="30"/>
        </w:rPr>
        <w:t>     （三）做好人大代表建议和政协委员提案办理结果公开。</w:t>
      </w:r>
    </w:p>
    <w:p>
      <w:pPr>
        <w:pStyle w:val="2"/>
        <w:keepNext w:val="0"/>
        <w:keepLines w:val="0"/>
        <w:widowControl/>
        <w:suppressLineNumbers w:val="0"/>
        <w:rPr>
          <w:sz w:val="30"/>
          <w:szCs w:val="30"/>
        </w:rPr>
      </w:pPr>
      <w:r>
        <w:rPr>
          <w:sz w:val="30"/>
          <w:szCs w:val="30"/>
        </w:rPr>
        <w:t>       本单位2019年未收到人大代表建议和政协委员提案，因此无法公开办理结果。</w:t>
      </w:r>
    </w:p>
    <w:p>
      <w:pPr>
        <w:pStyle w:val="2"/>
        <w:keepNext w:val="0"/>
        <w:keepLines w:val="0"/>
        <w:widowControl/>
        <w:suppressLineNumbers w:val="0"/>
        <w:ind w:left="0" w:firstLine="420"/>
        <w:rPr>
          <w:sz w:val="30"/>
          <w:szCs w:val="30"/>
        </w:rPr>
      </w:pPr>
      <w:r>
        <w:rPr>
          <w:sz w:val="30"/>
          <w:szCs w:val="30"/>
        </w:rPr>
        <w:t>二、主动公开政府信息情况</w:t>
      </w:r>
    </w:p>
    <w:tbl>
      <w:tblPr>
        <w:tblStyle w:val="3"/>
        <w:tblW w:w="892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697"/>
        <w:gridCol w:w="1978"/>
        <w:gridCol w:w="2022"/>
        <w:gridCol w:w="2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本年新制作数量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本年新</w:t>
            </w:r>
          </w:p>
          <w:p>
            <w:pPr>
              <w:pStyle w:val="2"/>
              <w:keepNext w:val="0"/>
              <w:keepLines w:val="0"/>
              <w:widowControl/>
              <w:suppressLineNumbers w:val="0"/>
              <w:jc w:val="center"/>
              <w:rPr>
                <w:sz w:val="30"/>
                <w:szCs w:val="30"/>
              </w:rPr>
            </w:pPr>
            <w:r>
              <w:rPr>
                <w:rFonts w:hint="eastAsia" w:ascii="宋体" w:hAnsi="宋体" w:eastAsia="宋体" w:cs="宋体"/>
                <w:sz w:val="30"/>
                <w:szCs w:val="30"/>
              </w:rPr>
              <w:t>公开数量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对外公开</w:t>
            </w:r>
          </w:p>
          <w:p>
            <w:pPr>
              <w:pStyle w:val="2"/>
              <w:keepNext w:val="0"/>
              <w:keepLines w:val="0"/>
              <w:widowControl/>
              <w:suppressLineNumbers w:val="0"/>
              <w:jc w:val="center"/>
              <w:rPr>
                <w:sz w:val="30"/>
                <w:szCs w:val="30"/>
              </w:rPr>
            </w:pPr>
            <w:r>
              <w:rPr>
                <w:rFonts w:hint="eastAsia" w:ascii="宋体" w:hAnsi="宋体" w:eastAsia="宋体" w:cs="宋体"/>
                <w:sz w:val="30"/>
                <w:szCs w:val="3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规章</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规范性文件</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本年增</w:t>
            </w:r>
            <w:r>
              <w:rPr>
                <w:rFonts w:ascii="Calibri" w:hAnsi="Calibri" w:eastAsia="宋体" w:cs="Calibri"/>
                <w:sz w:val="30"/>
                <w:szCs w:val="30"/>
              </w:rPr>
              <w:t>/</w:t>
            </w:r>
            <w:r>
              <w:rPr>
                <w:rFonts w:hint="eastAsia" w:ascii="宋体" w:hAnsi="宋体" w:eastAsia="宋体" w:cs="宋体"/>
                <w:sz w:val="30"/>
                <w:szCs w:val="30"/>
              </w:rPr>
              <w:t>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行政许可</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其他对外管理服务事项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tabs>
                <w:tab w:val="left" w:pos="534"/>
              </w:tabs>
              <w:rPr>
                <w:rFonts w:hint="default" w:eastAsia="宋体"/>
                <w:sz w:val="30"/>
                <w:szCs w:val="30"/>
                <w:lang w:val="en-US" w:eastAsia="zh-CN"/>
              </w:rPr>
            </w:pPr>
            <w:r>
              <w:rPr>
                <w:rFonts w:hint="eastAsia" w:eastAsia="宋体"/>
                <w:sz w:val="30"/>
                <w:szCs w:val="30"/>
                <w:lang w:val="en-US" w:eastAsia="zh-CN"/>
              </w:rPr>
              <w:t>2</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rFonts w:hint="eastAsia" w:eastAsiaTheme="minorEastAsia"/>
                <w:sz w:val="30"/>
                <w:szCs w:val="30"/>
                <w:lang w:eastAsia="zh-CN"/>
              </w:rPr>
            </w:pPr>
            <w:r>
              <w:rPr>
                <w:rFonts w:hint="eastAsia" w:ascii="宋体" w:hAnsi="宋体" w:eastAsia="宋体" w:cs="宋体"/>
                <w:sz w:val="30"/>
                <w:szCs w:val="30"/>
                <w:lang w:val="en-US" w:eastAsia="zh-CN"/>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rFonts w:hint="eastAsia" w:eastAsiaTheme="minorEastAsia"/>
                <w:sz w:val="30"/>
                <w:szCs w:val="30"/>
                <w:lang w:val="en-US" w:eastAsia="zh-CN"/>
              </w:rPr>
            </w:pPr>
            <w:r>
              <w:rPr>
                <w:rFonts w:hint="eastAsia"/>
                <w:sz w:val="30"/>
                <w:szCs w:val="30"/>
                <w:lang w:val="en-US" w:eastAsia="zh-CN"/>
              </w:rPr>
              <w:t>9</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本年增</w:t>
            </w:r>
            <w:r>
              <w:rPr>
                <w:rFonts w:hint="default" w:ascii="Calibri" w:hAnsi="Calibri" w:eastAsia="宋体" w:cs="Calibri"/>
                <w:sz w:val="30"/>
                <w:szCs w:val="30"/>
              </w:rPr>
              <w:t>/</w:t>
            </w:r>
            <w:r>
              <w:rPr>
                <w:rFonts w:hint="eastAsia" w:ascii="宋体" w:hAnsi="宋体" w:eastAsia="宋体" w:cs="宋体"/>
                <w:sz w:val="30"/>
                <w:szCs w:val="30"/>
              </w:rPr>
              <w:t>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行政处罚</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行政强制</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上一年项目数量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本年增</w:t>
            </w:r>
            <w:r>
              <w:rPr>
                <w:rFonts w:hint="default" w:ascii="Calibri" w:hAnsi="Calibri" w:eastAsia="宋体" w:cs="Calibri"/>
                <w:sz w:val="30"/>
                <w:szCs w:val="30"/>
              </w:rPr>
              <w:t>/</w:t>
            </w:r>
            <w:r>
              <w:rPr>
                <w:rFonts w:hint="eastAsia" w:ascii="宋体" w:hAnsi="宋体" w:eastAsia="宋体" w:cs="宋体"/>
                <w:sz w:val="30"/>
                <w:szCs w:val="3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行政事业性收费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blCellSpacing w:w="15" w:type="dxa"/>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采购项目数量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政府集中采购</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bl>
    <w:p>
      <w:pPr>
        <w:pStyle w:val="2"/>
        <w:keepNext w:val="0"/>
        <w:keepLines w:val="0"/>
        <w:widowControl/>
        <w:suppressLineNumbers w:val="0"/>
        <w:ind w:left="0" w:firstLine="420"/>
        <w:rPr>
          <w:sz w:val="30"/>
          <w:szCs w:val="30"/>
        </w:rPr>
      </w:pPr>
      <w:r>
        <w:rPr>
          <w:sz w:val="30"/>
          <w:szCs w:val="30"/>
        </w:rPr>
        <w:t>三、收到和处理政府信息公开申请情况</w:t>
      </w:r>
    </w:p>
    <w:tbl>
      <w:tblPr>
        <w:tblStyle w:val="3"/>
        <w:tblW w:w="978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45"/>
        <w:gridCol w:w="1513"/>
        <w:gridCol w:w="2352"/>
        <w:gridCol w:w="673"/>
        <w:gridCol w:w="673"/>
        <w:gridCol w:w="673"/>
        <w:gridCol w:w="673"/>
        <w:gridCol w:w="673"/>
        <w:gridCol w:w="691"/>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jc w:val="center"/>
        </w:trPr>
        <w:tc>
          <w:tcPr>
            <w:tcW w:w="3705"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（本列数据的勾稽关系为：第一项加第二项之和，等于第三项加第四项之和）</w:t>
            </w:r>
          </w:p>
        </w:tc>
        <w:tc>
          <w:tcPr>
            <w:tcW w:w="381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15" w:type="dxa"/>
          <w:jc w:val="center"/>
        </w:trPr>
        <w:tc>
          <w:tcPr>
            <w:tcW w:w="370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5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自然人</w:t>
            </w:r>
          </w:p>
        </w:tc>
        <w:tc>
          <w:tcPr>
            <w:tcW w:w="271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法人或其他组织</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jc w:val="center"/>
        </w:trPr>
        <w:tc>
          <w:tcPr>
            <w:tcW w:w="370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5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商业企业</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科研机构</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社会公益组织</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法律服务机构</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其他</w:t>
            </w: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37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一、本年新收政府信息公开申请数量</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jc w:val="center"/>
        </w:trPr>
        <w:tc>
          <w:tcPr>
            <w:tcW w:w="37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二、上年结转政府信息公开申请数量</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jc w:val="center"/>
        </w:trPr>
        <w:tc>
          <w:tcPr>
            <w:tcW w:w="51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三、本年度办理结果</w:t>
            </w:r>
          </w:p>
        </w:tc>
        <w:tc>
          <w:tcPr>
            <w:tcW w:w="31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（一）予以公开</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31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（二）部分公开（区分处理的，只计这一情形，不计其他情形）</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（三）不予公开</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1．属于国家秘密</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2．其他法律行政法规禁止公开</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3．危及“三安全一稳定”</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4．保护第三方合法权益</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5．属于三类内部事务信息</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6．属于四类过程性信息</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7．属于行政执法案卷</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8．属于行政查询事项</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（四）无法提供</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1．本机关不掌握相关政府信息</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2．没有现成信息需要另行制作</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3．补正后申请内容仍不明确</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（五）不予处理</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1．信访举报投诉类申请</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2．重复申请</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3．要求提供公开出版物</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4．无正当理由大量反复申请</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tblCellSpacing w:w="15" w:type="dxa"/>
          <w:jc w:val="center"/>
        </w:trPr>
        <w:tc>
          <w:tcPr>
            <w:tcW w:w="51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2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rPr>
                <w:sz w:val="30"/>
                <w:szCs w:val="30"/>
              </w:rPr>
            </w:pPr>
            <w:r>
              <w:rPr>
                <w:rFonts w:hint="eastAsia" w:ascii="宋体" w:hAnsi="宋体" w:eastAsia="宋体" w:cs="宋体"/>
                <w:sz w:val="30"/>
                <w:szCs w:val="30"/>
              </w:rPr>
              <w:t>5．要求行政机关确认或重新出具已获取信息</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jc w:val="center"/>
        </w:trPr>
        <w:tc>
          <w:tcPr>
            <w:tcW w:w="5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t> </w:t>
            </w:r>
          </w:p>
        </w:tc>
        <w:tc>
          <w:tcPr>
            <w:tcW w:w="31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（六）其他处理</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5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ascii="宋体" w:hAnsi="宋体" w:eastAsia="宋体" w:cs="宋体"/>
                <w:kern w:val="0"/>
                <w:sz w:val="30"/>
                <w:szCs w:val="30"/>
                <w:lang w:val="en-US" w:eastAsia="zh-CN" w:bidi="ar"/>
              </w:rPr>
              <w:t> </w:t>
            </w:r>
          </w:p>
        </w:tc>
        <w:tc>
          <w:tcPr>
            <w:tcW w:w="31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（七）总计</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blCellSpacing w:w="15" w:type="dxa"/>
          <w:jc w:val="center"/>
        </w:trPr>
        <w:tc>
          <w:tcPr>
            <w:tcW w:w="370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四、结转下年度继续办理</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bl>
    <w:p>
      <w:pPr>
        <w:pStyle w:val="2"/>
        <w:keepNext w:val="0"/>
        <w:keepLines w:val="0"/>
        <w:widowControl/>
        <w:suppressLineNumbers w:val="0"/>
        <w:rPr>
          <w:sz w:val="30"/>
          <w:szCs w:val="30"/>
        </w:rPr>
      </w:pPr>
      <w:r>
        <w:rPr>
          <w:rStyle w:val="5"/>
          <w:rFonts w:ascii="黑体" w:hAnsi="宋体" w:eastAsia="黑体" w:cs="黑体"/>
          <w:sz w:val="30"/>
          <w:szCs w:val="30"/>
        </w:rPr>
        <w:br w:type="textWrapping"/>
      </w:r>
      <w:r>
        <w:rPr>
          <w:sz w:val="30"/>
          <w:szCs w:val="30"/>
        </w:rPr>
        <w:t>        四、政府信息公开行政复议、行政诉讼情况</w:t>
      </w:r>
    </w:p>
    <w:tbl>
      <w:tblPr>
        <w:tblStyle w:val="3"/>
        <w:tblW w:w="1020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1"/>
        <w:gridCol w:w="676"/>
        <w:gridCol w:w="676"/>
        <w:gridCol w:w="677"/>
        <w:gridCol w:w="677"/>
        <w:gridCol w:w="677"/>
        <w:gridCol w:w="677"/>
        <w:gridCol w:w="677"/>
        <w:gridCol w:w="677"/>
        <w:gridCol w:w="677"/>
        <w:gridCol w:w="695"/>
        <w:gridCol w:w="677"/>
        <w:gridCol w:w="677"/>
        <w:gridCol w:w="677"/>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blCellSpacing w:w="15" w:type="dxa"/>
          <w:jc w:val="center"/>
        </w:trPr>
        <w:tc>
          <w:tcPr>
            <w:tcW w:w="223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行政复议</w:t>
            </w:r>
          </w:p>
        </w:tc>
        <w:tc>
          <w:tcPr>
            <w:tcW w:w="4575"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15" w:type="dxa"/>
          <w:jc w:val="center"/>
        </w:trPr>
        <w:tc>
          <w:tcPr>
            <w:tcW w:w="45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结果维持</w:t>
            </w:r>
          </w:p>
        </w:tc>
        <w:tc>
          <w:tcPr>
            <w:tcW w:w="45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结果纠正</w:t>
            </w:r>
          </w:p>
        </w:tc>
        <w:tc>
          <w:tcPr>
            <w:tcW w:w="46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其他结果</w:t>
            </w:r>
          </w:p>
        </w:tc>
        <w:tc>
          <w:tcPr>
            <w:tcW w:w="45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尚未审结</w:t>
            </w:r>
          </w:p>
        </w:tc>
        <w:tc>
          <w:tcPr>
            <w:tcW w:w="42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总计</w:t>
            </w:r>
          </w:p>
        </w:tc>
        <w:tc>
          <w:tcPr>
            <w:tcW w:w="226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未经复议直接起诉</w:t>
            </w:r>
          </w:p>
        </w:tc>
        <w:tc>
          <w:tcPr>
            <w:tcW w:w="231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45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5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5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30"/>
                <w:szCs w:val="30"/>
              </w:rPr>
            </w:pP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结果维持</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结果纠正</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其他结果</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尚未审结</w:t>
            </w:r>
          </w:p>
        </w:tc>
        <w:tc>
          <w:tcPr>
            <w:tcW w:w="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总计</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结果维持</w:t>
            </w:r>
          </w:p>
        </w:tc>
        <w:tc>
          <w:tcPr>
            <w:tcW w:w="4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结果纠正</w:t>
            </w:r>
          </w:p>
        </w:tc>
        <w:tc>
          <w:tcPr>
            <w:tcW w:w="5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其他结果</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尚未审结</w:t>
            </w:r>
          </w:p>
        </w:tc>
        <w:tc>
          <w:tcPr>
            <w:tcW w:w="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rPr>
                <w:sz w:val="30"/>
                <w:szCs w:val="30"/>
              </w:rPr>
            </w:pPr>
            <w:r>
              <w:rPr>
                <w:rFonts w:hint="eastAsia" w:ascii="宋体" w:hAnsi="宋体" w:eastAsia="宋体" w:cs="宋体"/>
                <w:sz w:val="30"/>
                <w:szCs w:val="3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blCellSpacing w:w="15" w:type="dxa"/>
          <w:jc w:val="center"/>
        </w:trPr>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5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sz w:val="30"/>
                <w:szCs w:val="30"/>
              </w:rPr>
            </w:pPr>
            <w:r>
              <w:rPr>
                <w:rFonts w:hint="eastAsia" w:ascii="宋体" w:hAnsi="宋体" w:eastAsia="宋体" w:cs="宋体"/>
                <w:kern w:val="0"/>
                <w:sz w:val="30"/>
                <w:szCs w:val="30"/>
                <w:lang w:val="en-US" w:eastAsia="zh-CN" w:bidi="ar"/>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c>
          <w:tcPr>
            <w:tcW w:w="3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rPr>
                <w:sz w:val="30"/>
                <w:szCs w:val="30"/>
              </w:rPr>
            </w:pPr>
            <w:r>
              <w:rPr>
                <w:rFonts w:hint="eastAsia" w:ascii="宋体" w:hAnsi="宋体" w:eastAsia="宋体" w:cs="宋体"/>
                <w:sz w:val="30"/>
                <w:szCs w:val="30"/>
              </w:rPr>
              <w:t>0</w:t>
            </w:r>
          </w:p>
        </w:tc>
      </w:tr>
    </w:tbl>
    <w:p>
      <w:pPr>
        <w:pStyle w:val="2"/>
        <w:keepNext w:val="0"/>
        <w:keepLines w:val="0"/>
        <w:widowControl/>
        <w:suppressLineNumbers w:val="0"/>
        <w:ind w:left="0" w:firstLine="420"/>
        <w:rPr>
          <w:sz w:val="30"/>
          <w:szCs w:val="30"/>
        </w:rPr>
      </w:pPr>
      <w:r>
        <w:rPr>
          <w:sz w:val="30"/>
          <w:szCs w:val="30"/>
        </w:rPr>
        <w:t>五、存在的主要问题及改进情况</w:t>
      </w:r>
    </w:p>
    <w:p>
      <w:pPr>
        <w:pStyle w:val="2"/>
        <w:keepNext w:val="0"/>
        <w:keepLines w:val="0"/>
        <w:widowControl/>
        <w:suppressLineNumbers w:val="0"/>
        <w:rPr>
          <w:sz w:val="30"/>
          <w:szCs w:val="30"/>
        </w:rPr>
      </w:pPr>
      <w:r>
        <w:rPr>
          <w:sz w:val="30"/>
          <w:szCs w:val="30"/>
        </w:rPr>
        <w:t>       2019年，我办信息公开工作进展顺利，公开力度加大，但是也还存在着一些问题：一是主动公开政府信息意识不强，缺乏工作积极性和主动性；二是文字材料标准不高；三是公开内容分类不明确。</w:t>
      </w:r>
    </w:p>
    <w:p>
      <w:pPr>
        <w:pStyle w:val="2"/>
        <w:keepNext w:val="0"/>
        <w:keepLines w:val="0"/>
        <w:widowControl/>
        <w:suppressLineNumbers w:val="0"/>
        <w:rPr>
          <w:sz w:val="30"/>
          <w:szCs w:val="30"/>
        </w:rPr>
      </w:pPr>
      <w:r>
        <w:rPr>
          <w:sz w:val="30"/>
          <w:szCs w:val="30"/>
        </w:rPr>
        <w:t>       2020年，我办将加强以下工作，根据扶贫资金、项目的不同性质和内容，在相应的范围内公告或公示。公开扶贫资金的总量、来源、性质、用途、安排原则和计划等。公开扶贫项目审批程序、项目名称、实施地点、建设内容、资金来源、数额及结构，项目效益目标等。做到事前公示、事后公告，接受监督，加强扶贫信息的公开透明度。所有扶贫资金及项目安排全部在政务信息公开网发布。</w:t>
      </w:r>
    </w:p>
    <w:p>
      <w:pPr>
        <w:pStyle w:val="2"/>
        <w:keepNext w:val="0"/>
        <w:keepLines w:val="0"/>
        <w:widowControl/>
        <w:suppressLineNumbers w:val="0"/>
        <w:ind w:left="0" w:firstLine="420"/>
        <w:rPr>
          <w:sz w:val="30"/>
          <w:szCs w:val="30"/>
        </w:rPr>
      </w:pPr>
      <w:r>
        <w:rPr>
          <w:sz w:val="30"/>
          <w:szCs w:val="30"/>
        </w:rPr>
        <w:t>六、其他需要报告的事项</w:t>
      </w:r>
    </w:p>
    <w:p>
      <w:pPr>
        <w:pStyle w:val="2"/>
        <w:keepNext w:val="0"/>
        <w:keepLines w:val="0"/>
        <w:widowControl/>
        <w:suppressLineNumbers w:val="0"/>
        <w:rPr>
          <w:sz w:val="30"/>
          <w:szCs w:val="30"/>
        </w:rPr>
      </w:pPr>
      <w:r>
        <w:rPr>
          <w:sz w:val="30"/>
          <w:szCs w:val="30"/>
        </w:rPr>
        <w:t>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8D2FEF"/>
    <w:rsid w:val="3AD46E29"/>
    <w:rsid w:val="7307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2021-01-22T06:43:00Z</dcterms:created>
  <dc:creator>Administrator</dc:creator>
  <cp:lastModifiedBy>忧郁王子-乔</cp:lastModifiedBy>
  <cp:lastPrinted>2021-01-25T08:07:06Z</cp:lastPrinted>
  <dcterms:modified xsi:type="dcterms:W3CDTF">2021-01-25T08:12:52Z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