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autoSpaceDN/>
        <w:snapToGrid/>
        <w:spacing w:line="560" w:lineRule="exact"/>
        <w:ind w:firstLine="0"/>
        <w:jc w:val="center"/>
        <w:rPr>
          <w:rFonts w:ascii="方正小标宋简体" w:hAnsi="方正小标宋简体" w:eastAsia="方正小标宋简体" w:cs="方正小标宋简体"/>
          <w:snapToGrid/>
          <w:kern w:val="2"/>
          <w:sz w:val="44"/>
          <w:szCs w:val="44"/>
        </w:rPr>
      </w:pPr>
      <w:r>
        <w:rPr>
          <w:rFonts w:hint="eastAsia" w:ascii="方正小标宋简体" w:hAnsi="方正小标宋简体" w:eastAsia="方正小标宋简体" w:cs="方正小标宋简体"/>
          <w:snapToGrid/>
          <w:kern w:val="2"/>
          <w:sz w:val="44"/>
          <w:szCs w:val="44"/>
        </w:rPr>
        <w:t>高青县发展和改革局</w:t>
      </w:r>
    </w:p>
    <w:p>
      <w:pPr>
        <w:autoSpaceDE/>
        <w:autoSpaceDN/>
        <w:snapToGrid/>
        <w:spacing w:line="560" w:lineRule="exact"/>
        <w:ind w:firstLine="0"/>
        <w:jc w:val="center"/>
        <w:rPr>
          <w:rFonts w:ascii="方正小标宋简体" w:hAnsi="方正小标宋简体" w:eastAsia="方正小标宋简体" w:cs="方正小标宋简体"/>
          <w:snapToGrid/>
          <w:kern w:val="2"/>
          <w:sz w:val="44"/>
          <w:szCs w:val="44"/>
        </w:rPr>
      </w:pPr>
      <w:r>
        <w:rPr>
          <w:rFonts w:hint="eastAsia" w:ascii="方正小标宋简体" w:hAnsi="方正小标宋简体" w:eastAsia="方正小标宋简体" w:cs="方正小标宋简体"/>
          <w:snapToGrid/>
          <w:kern w:val="2"/>
          <w:sz w:val="44"/>
          <w:szCs w:val="44"/>
        </w:rPr>
        <w:t>2021年政府信息公开工作年度报告</w:t>
      </w:r>
    </w:p>
    <w:p>
      <w:pPr>
        <w:spacing w:line="600" w:lineRule="exact"/>
        <w:ind w:firstLine="640" w:firstLineChars="200"/>
        <w:rPr>
          <w:rFonts w:ascii="仿宋_GB2312" w:eastAsia="仿宋_GB2312"/>
        </w:rPr>
      </w:pPr>
    </w:p>
    <w:p>
      <w:pPr>
        <w:autoSpaceDE/>
        <w:autoSpaceDN/>
        <w:snapToGrid/>
        <w:spacing w:line="560" w:lineRule="exact"/>
        <w:ind w:firstLine="640" w:firstLineChars="200"/>
        <w:rPr>
          <w:rFonts w:ascii="仿宋_GB2312" w:hAnsi="仿宋_GB2312" w:eastAsia="仿宋_GB2312" w:cs="仿宋_GB2312"/>
          <w:snapToGrid/>
          <w:kern w:val="2"/>
          <w:szCs w:val="32"/>
        </w:rPr>
      </w:pPr>
      <w:r>
        <w:rPr>
          <w:rFonts w:hint="eastAsia" w:ascii="仿宋_GB2312" w:hAnsi="仿宋_GB2312" w:eastAsia="仿宋_GB2312" w:cs="仿宋_GB2312"/>
          <w:snapToGrid/>
          <w:kern w:val="2"/>
          <w:szCs w:val="32"/>
        </w:rPr>
        <w:t>本报告根据《中华人民共和国政府信息公开条例》（国务院令第711号，以下简称《条例》）要求编制。报告全文分总体情况、主动公开政府信息情况、收到和处理政府信息公开申请情况、政府信息公开行政复议行政诉讼情况、存在的主要问题及</w:t>
      </w:r>
      <w:bookmarkStart w:id="0" w:name="_GoBack"/>
      <w:bookmarkEnd w:id="0"/>
      <w:r>
        <w:rPr>
          <w:rFonts w:hint="eastAsia" w:ascii="仿宋_GB2312" w:hAnsi="仿宋_GB2312" w:eastAsia="仿宋_GB2312" w:cs="仿宋_GB2312"/>
          <w:snapToGrid/>
          <w:kern w:val="2"/>
          <w:szCs w:val="32"/>
        </w:rPr>
        <w:t>改进情况、其他需要报告的事项6个部分。</w:t>
      </w:r>
    </w:p>
    <w:p>
      <w:pPr>
        <w:autoSpaceDE/>
        <w:autoSpaceDN/>
        <w:snapToGrid/>
        <w:spacing w:line="560" w:lineRule="exact"/>
        <w:ind w:firstLine="640" w:firstLineChars="200"/>
        <w:rPr>
          <w:rFonts w:ascii="仿宋_GB2312" w:hAnsi="仿宋_GB2312" w:eastAsia="仿宋_GB2312" w:cs="仿宋_GB2312"/>
          <w:snapToGrid/>
          <w:kern w:val="2"/>
          <w:szCs w:val="32"/>
        </w:rPr>
      </w:pPr>
      <w:r>
        <w:rPr>
          <w:rFonts w:hint="eastAsia" w:ascii="仿宋_GB2312" w:hAnsi="仿宋_GB2312" w:eastAsia="仿宋_GB2312" w:cs="仿宋_GB2312"/>
          <w:snapToGrid/>
          <w:kern w:val="2"/>
          <w:szCs w:val="32"/>
        </w:rPr>
        <w:t>报告中所列数据统计期限自2021年1月1日始，至2021年12月31日止。报告电子版可在高青县人民政府门户网站（www.gaoqing.gov.cn）查阅和下载。如对报告内容有疑问，请与高青县发展和改革局办公室联系（地址：山东省淄博市高青县黄河路99号；邮编：256300；电话：0533-6967153；传真：0533-6967153）。</w:t>
      </w:r>
    </w:p>
    <w:p>
      <w:pPr>
        <w:autoSpaceDE/>
        <w:autoSpaceDN/>
        <w:snapToGrid/>
        <w:spacing w:line="560" w:lineRule="exact"/>
        <w:ind w:firstLine="640" w:firstLineChars="200"/>
        <w:rPr>
          <w:rFonts w:ascii="黑体" w:hAnsi="黑体" w:eastAsia="黑体" w:cs="黑体"/>
          <w:snapToGrid/>
          <w:kern w:val="2"/>
          <w:szCs w:val="32"/>
        </w:rPr>
      </w:pPr>
      <w:r>
        <w:rPr>
          <w:rFonts w:hint="eastAsia" w:ascii="黑体" w:hAnsi="黑体" w:eastAsia="黑体" w:cs="黑体"/>
          <w:snapToGrid/>
          <w:kern w:val="2"/>
          <w:szCs w:val="32"/>
        </w:rPr>
        <w:t>一、总体情况</w:t>
      </w:r>
    </w:p>
    <w:p>
      <w:pPr>
        <w:autoSpaceDE/>
        <w:autoSpaceDN/>
        <w:snapToGrid/>
        <w:spacing w:line="560" w:lineRule="exact"/>
        <w:ind w:left="630" w:firstLine="0"/>
        <w:rPr>
          <w:rFonts w:ascii="楷体_GB2312" w:hAnsi="楷体_GB2312" w:eastAsia="楷体_GB2312" w:cs="楷体_GB2312"/>
          <w:snapToGrid/>
          <w:kern w:val="2"/>
          <w:szCs w:val="32"/>
        </w:rPr>
      </w:pPr>
      <w:r>
        <w:rPr>
          <w:rFonts w:hint="eastAsia" w:ascii="楷体_GB2312" w:hAnsi="楷体_GB2312" w:eastAsia="楷体_GB2312" w:cs="楷体_GB2312"/>
          <w:snapToGrid/>
          <w:kern w:val="2"/>
          <w:szCs w:val="32"/>
        </w:rPr>
        <w:t>（一）主动公开</w:t>
      </w:r>
    </w:p>
    <w:p>
      <w:pPr>
        <w:autoSpaceDE/>
        <w:autoSpaceDN/>
        <w:snapToGrid/>
        <w:spacing w:line="560" w:lineRule="exact"/>
        <w:ind w:firstLine="640" w:firstLineChars="200"/>
        <w:rPr>
          <w:rFonts w:ascii="仿宋_GB2312" w:hAnsi="仿宋_GB2312" w:eastAsia="仿宋_GB2312" w:cs="仿宋_GB2312"/>
          <w:snapToGrid/>
          <w:kern w:val="2"/>
          <w:szCs w:val="32"/>
        </w:rPr>
      </w:pPr>
      <w:r>
        <w:rPr>
          <w:rFonts w:hint="eastAsia" w:ascii="仿宋_GB2312" w:hAnsi="仿宋_GB2312" w:eastAsia="仿宋_GB2312" w:cs="仿宋_GB2312"/>
          <w:snapToGrid/>
          <w:kern w:val="2"/>
          <w:szCs w:val="32"/>
        </w:rPr>
        <w:t>建立健全政务公开工作机制，研究制定政务公开工作实施方案。2021年，在县政府网站发布机构职能信息1条，部门文件41条，财政预决算信息2条，重要部署执行信息13条，行政执法信息5条；项目审批108个；社会信用体系建设方面协调20余个单位和部门上报“双公示”信息4000余条、归集信用承诺书3000余条，上报宣传信息200余条，并在“信用山东”“信用淄博”等网站发表宣传报道100余条；减税降费方面我单位严格按照《山东省定价目录》的通知（鲁发改价格〔2020〕1361号）等政策文件制定并公开2条价格收费清单。发布5条有关价格收费文件的解读，解读材料与政策文件一并公开并对文件的出台背景、起草情况、主要内容进行了解读。</w:t>
      </w:r>
    </w:p>
    <w:p>
      <w:pPr>
        <w:spacing w:line="240" w:lineRule="auto"/>
        <w:ind w:firstLine="640" w:firstLineChars="200"/>
        <w:rPr>
          <w:rFonts w:ascii="仿宋_GB2312" w:eastAsia="仿宋_GB2312"/>
          <w:szCs w:val="32"/>
        </w:rPr>
      </w:pPr>
      <w:r>
        <w:rPr>
          <w:rFonts w:hint="eastAsia" w:ascii="仿宋_GB2312" w:eastAsia="仿宋_GB2312"/>
          <w:szCs w:val="32"/>
        </w:rPr>
        <w:drawing>
          <wp:inline distT="0" distB="0" distL="114300" distR="114300">
            <wp:extent cx="5267325" cy="4245610"/>
            <wp:effectExtent l="0" t="0" r="9525" b="2540"/>
            <wp:docPr id="1" name="图片 1" descr="政务公开实施方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政务公开实施方案"/>
                    <pic:cNvPicPr>
                      <a:picLocks noChangeAspect="1"/>
                    </pic:cNvPicPr>
                  </pic:nvPicPr>
                  <pic:blipFill>
                    <a:blip r:embed="rId6"/>
                    <a:stretch>
                      <a:fillRect/>
                    </a:stretch>
                  </pic:blipFill>
                  <pic:spPr>
                    <a:xfrm>
                      <a:off x="0" y="0"/>
                      <a:ext cx="5267325" cy="4245610"/>
                    </a:xfrm>
                    <a:prstGeom prst="rect">
                      <a:avLst/>
                    </a:prstGeom>
                  </pic:spPr>
                </pic:pic>
              </a:graphicData>
            </a:graphic>
          </wp:inline>
        </w:drawing>
      </w:r>
    </w:p>
    <w:p>
      <w:pPr>
        <w:autoSpaceDE/>
        <w:autoSpaceDN/>
        <w:snapToGrid/>
        <w:spacing w:line="560" w:lineRule="exact"/>
        <w:ind w:left="630" w:firstLine="0"/>
        <w:rPr>
          <w:rFonts w:ascii="楷体_GB2312" w:hAnsi="楷体_GB2312" w:eastAsia="楷体_GB2312" w:cs="楷体_GB2312"/>
          <w:snapToGrid/>
          <w:kern w:val="2"/>
          <w:szCs w:val="32"/>
        </w:rPr>
      </w:pPr>
      <w:r>
        <w:rPr>
          <w:rFonts w:hint="eastAsia" w:ascii="楷体_GB2312" w:hAnsi="楷体_GB2312" w:eastAsia="楷体_GB2312" w:cs="楷体_GB2312"/>
          <w:snapToGrid/>
          <w:kern w:val="2"/>
          <w:szCs w:val="32"/>
        </w:rPr>
        <w:t>（二）依申请公开</w:t>
      </w:r>
    </w:p>
    <w:p>
      <w:pPr>
        <w:spacing w:line="560" w:lineRule="exact"/>
        <w:ind w:firstLine="640" w:firstLineChars="200"/>
        <w:rPr>
          <w:rFonts w:hint="eastAsia" w:ascii="仿宋_GB2312" w:eastAsia="仿宋_GB2312"/>
          <w:szCs w:val="32"/>
        </w:rPr>
      </w:pPr>
      <w:r>
        <w:rPr>
          <w:rFonts w:hint="eastAsia" w:ascii="仿宋_GB2312" w:hAnsi="仿宋_GB2312" w:eastAsia="仿宋_GB2312" w:cs="仿宋_GB2312"/>
          <w:snapToGrid/>
          <w:kern w:val="2"/>
          <w:szCs w:val="32"/>
        </w:rPr>
        <w:t>2021年，共收到政府信息公开申请5件，同比减少55%。申请内容主要集中项目立项审批领域。办结政府信息公开申请4件，结转至2022年继续办理1件。在办结的申请中：予以公开1件，无法提供3件。</w:t>
      </w:r>
      <w:r>
        <w:rPr>
          <w:rFonts w:hint="eastAsia" w:ascii="仿宋_GB2312" w:eastAsia="仿宋_GB2312"/>
          <w:szCs w:val="32"/>
        </w:rPr>
        <w:t>未因政府信息公开被申请行政复议、提起行政诉讼。</w:t>
      </w:r>
    </w:p>
    <w:p>
      <w:pPr>
        <w:spacing w:line="560" w:lineRule="exact"/>
        <w:ind w:firstLine="640" w:firstLineChars="200"/>
        <w:rPr>
          <w:rFonts w:ascii="楷体_GB2312" w:hAnsi="楷体_GB2312" w:eastAsia="楷体_GB2312" w:cs="楷体_GB2312"/>
          <w:snapToGrid/>
          <w:kern w:val="2"/>
          <w:szCs w:val="32"/>
        </w:rPr>
      </w:pPr>
      <w:r>
        <w:rPr>
          <w:rFonts w:hint="eastAsia" w:ascii="楷体_GB2312" w:hAnsi="楷体_GB2312" w:eastAsia="楷体_GB2312" w:cs="楷体_GB2312"/>
          <w:snapToGrid/>
          <w:kern w:val="2"/>
          <w:szCs w:val="32"/>
        </w:rPr>
        <w:t>（三）政府信息管理</w:t>
      </w:r>
    </w:p>
    <w:p>
      <w:pPr>
        <w:autoSpaceDE/>
        <w:autoSpaceDN/>
        <w:snapToGrid/>
        <w:spacing w:line="560" w:lineRule="exact"/>
        <w:ind w:firstLine="640" w:firstLineChars="200"/>
        <w:rPr>
          <w:rFonts w:ascii="仿宋_GB2312" w:hAnsi="仿宋_GB2312" w:eastAsia="仿宋_GB2312" w:cs="仿宋_GB2312"/>
          <w:snapToGrid/>
          <w:kern w:val="2"/>
          <w:szCs w:val="32"/>
        </w:rPr>
      </w:pPr>
      <w:r>
        <w:rPr>
          <w:rFonts w:hint="eastAsia" w:ascii="仿宋_GB2312" w:hAnsi="仿宋_GB2312" w:eastAsia="仿宋_GB2312" w:cs="仿宋_GB2312"/>
          <w:snapToGrid/>
          <w:kern w:val="2"/>
          <w:szCs w:val="32"/>
        </w:rPr>
        <w:t>建立了政府信息保密审核制度，加强信息管理人员的保密意识，加大信息发布的审核力度，确保不泄密不涉密。建立了政府信息动态调整制度，及时清理废止、失效的政府信息。</w:t>
      </w:r>
    </w:p>
    <w:p>
      <w:pPr>
        <w:autoSpaceDE/>
        <w:autoSpaceDN/>
        <w:snapToGrid/>
        <w:spacing w:line="560" w:lineRule="exact"/>
        <w:ind w:left="630" w:firstLine="0"/>
        <w:rPr>
          <w:rFonts w:ascii="楷体_GB2312" w:hAnsi="楷体_GB2312" w:eastAsia="楷体_GB2312" w:cs="楷体_GB2312"/>
          <w:snapToGrid/>
          <w:kern w:val="2"/>
          <w:szCs w:val="32"/>
        </w:rPr>
      </w:pPr>
      <w:r>
        <w:rPr>
          <w:rFonts w:hint="eastAsia" w:ascii="楷体_GB2312" w:hAnsi="楷体_GB2312" w:eastAsia="楷体_GB2312" w:cs="楷体_GB2312"/>
          <w:snapToGrid/>
          <w:kern w:val="2"/>
          <w:szCs w:val="32"/>
        </w:rPr>
        <w:t>（四）政府信息公开平台建设</w:t>
      </w:r>
    </w:p>
    <w:p>
      <w:pPr>
        <w:autoSpaceDE/>
        <w:autoSpaceDN/>
        <w:snapToGrid/>
        <w:spacing w:line="560" w:lineRule="exact"/>
        <w:ind w:firstLine="640" w:firstLineChars="200"/>
        <w:rPr>
          <w:rFonts w:ascii="楷体_GB2312" w:hAnsi="楷体_GB2312" w:eastAsia="楷体_GB2312" w:cs="楷体_GB2312"/>
          <w:snapToGrid/>
          <w:kern w:val="2"/>
          <w:szCs w:val="32"/>
        </w:rPr>
      </w:pPr>
      <w:r>
        <w:rPr>
          <w:rFonts w:hint="eastAsia" w:ascii="仿宋_GB2312" w:hAnsi="仿宋_GB2312" w:eastAsia="仿宋_GB2312" w:cs="仿宋_GB2312"/>
          <w:snapToGrid/>
          <w:kern w:val="2"/>
          <w:szCs w:val="32"/>
        </w:rPr>
        <w:t>强化县政府门户网站政务公开第一平台作用，在政务公开版块开设机构职能、部门文件、规划计划、重要部署执行等栏目公开政府信息。同时，加快线下信息公开平台建设，积极推进政府信息公开查阅点建设。</w:t>
      </w:r>
    </w:p>
    <w:p>
      <w:pPr>
        <w:autoSpaceDE/>
        <w:autoSpaceDN/>
        <w:snapToGrid/>
        <w:spacing w:line="560" w:lineRule="exact"/>
        <w:ind w:left="630" w:firstLine="0"/>
        <w:rPr>
          <w:rFonts w:ascii="楷体_GB2312" w:hAnsi="楷体_GB2312" w:eastAsia="楷体_GB2312" w:cs="楷体_GB2312"/>
          <w:snapToGrid/>
          <w:kern w:val="2"/>
          <w:szCs w:val="32"/>
        </w:rPr>
      </w:pPr>
      <w:r>
        <w:rPr>
          <w:rFonts w:hint="eastAsia" w:ascii="楷体_GB2312" w:hAnsi="楷体_GB2312" w:eastAsia="楷体_GB2312" w:cs="楷体_GB2312"/>
          <w:snapToGrid/>
          <w:kern w:val="2"/>
          <w:szCs w:val="32"/>
        </w:rPr>
        <w:t>（五）监督保障</w:t>
      </w:r>
    </w:p>
    <w:p>
      <w:pPr>
        <w:autoSpaceDE/>
        <w:autoSpaceDN/>
        <w:snapToGrid/>
        <w:spacing w:line="560" w:lineRule="exact"/>
        <w:rPr>
          <w:rFonts w:ascii="仿宋_GB2312" w:hAnsi="仿宋_GB2312" w:eastAsia="仿宋_GB2312" w:cs="仿宋_GB2312"/>
          <w:snapToGrid/>
          <w:kern w:val="2"/>
          <w:szCs w:val="32"/>
        </w:rPr>
      </w:pPr>
      <w:r>
        <w:rPr>
          <w:rFonts w:hint="eastAsia" w:ascii="仿宋_GB2312" w:hAnsi="仿宋_GB2312" w:eastAsia="仿宋_GB2312" w:cs="仿宋_GB2312"/>
          <w:snapToGrid/>
          <w:kern w:val="2"/>
          <w:szCs w:val="32"/>
        </w:rPr>
        <w:t>调整了政务公开领导小组，明确办公室具体负责政务公开工作，配备1名专职和1名人兼职人员。2021年共组织2次培训会，重点培训政府信息主动公开、政策解读、政务咨询、网上意见征集与采纳、回应关切等工作。</w:t>
      </w:r>
    </w:p>
    <w:p>
      <w:pPr>
        <w:spacing w:after="156" w:afterLines="50" w:line="240" w:lineRule="auto"/>
        <w:ind w:firstLine="640" w:firstLineChars="200"/>
        <w:rPr>
          <w:rFonts w:ascii="黑体" w:hAnsi="黑体" w:eastAsia="黑体"/>
          <w:szCs w:val="32"/>
        </w:rPr>
      </w:pPr>
    </w:p>
    <w:p>
      <w:pPr>
        <w:spacing w:after="156" w:afterLines="50" w:line="240" w:lineRule="auto"/>
        <w:ind w:firstLine="640" w:firstLineChars="200"/>
        <w:rPr>
          <w:rFonts w:ascii="黑体" w:hAnsi="黑体" w:eastAsia="黑体"/>
          <w:szCs w:val="32"/>
        </w:rPr>
      </w:pPr>
    </w:p>
    <w:p>
      <w:pPr>
        <w:spacing w:after="156" w:afterLines="50" w:line="240" w:lineRule="auto"/>
        <w:ind w:firstLine="640" w:firstLineChars="200"/>
        <w:rPr>
          <w:rFonts w:ascii="黑体" w:hAnsi="黑体" w:eastAsia="黑体"/>
          <w:szCs w:val="32"/>
        </w:rPr>
      </w:pPr>
    </w:p>
    <w:p>
      <w:pPr>
        <w:spacing w:after="156" w:afterLines="50" w:line="240" w:lineRule="auto"/>
        <w:ind w:firstLine="640" w:firstLineChars="200"/>
        <w:rPr>
          <w:rFonts w:ascii="黑体" w:hAnsi="黑体" w:eastAsia="黑体"/>
          <w:szCs w:val="32"/>
        </w:rPr>
      </w:pPr>
    </w:p>
    <w:p>
      <w:pPr>
        <w:spacing w:after="156" w:afterLines="50" w:line="240" w:lineRule="auto"/>
        <w:ind w:firstLine="640" w:firstLineChars="200"/>
        <w:rPr>
          <w:rFonts w:hint="eastAsia" w:ascii="黑体" w:hAnsi="黑体" w:eastAsia="黑体"/>
          <w:szCs w:val="32"/>
        </w:rPr>
      </w:pPr>
    </w:p>
    <w:p>
      <w:pPr>
        <w:spacing w:after="156" w:afterLines="50" w:line="240" w:lineRule="auto"/>
        <w:ind w:firstLine="640" w:firstLineChars="200"/>
        <w:rPr>
          <w:rFonts w:hint="eastAsia" w:ascii="黑体" w:hAnsi="黑体" w:eastAsia="黑体"/>
          <w:szCs w:val="32"/>
        </w:rPr>
      </w:pPr>
    </w:p>
    <w:p>
      <w:pPr>
        <w:spacing w:after="156" w:afterLines="50" w:line="240" w:lineRule="auto"/>
        <w:ind w:firstLine="640" w:firstLineChars="200"/>
        <w:rPr>
          <w:rFonts w:hint="eastAsia" w:ascii="黑体" w:hAnsi="黑体" w:eastAsia="黑体"/>
          <w:szCs w:val="32"/>
        </w:rPr>
      </w:pPr>
    </w:p>
    <w:p>
      <w:pPr>
        <w:spacing w:after="156" w:afterLines="50" w:line="240" w:lineRule="auto"/>
        <w:ind w:firstLine="640" w:firstLineChars="200"/>
        <w:rPr>
          <w:rFonts w:hint="eastAsia" w:ascii="黑体" w:hAnsi="黑体" w:eastAsia="黑体"/>
          <w:szCs w:val="32"/>
        </w:rPr>
      </w:pPr>
    </w:p>
    <w:p>
      <w:pPr>
        <w:spacing w:after="156" w:afterLines="50" w:line="240" w:lineRule="auto"/>
        <w:ind w:firstLine="640" w:firstLineChars="200"/>
        <w:rPr>
          <w:rFonts w:ascii="黑体" w:hAnsi="黑体" w:eastAsia="黑体"/>
          <w:szCs w:val="32"/>
        </w:rPr>
      </w:pPr>
    </w:p>
    <w:p>
      <w:pPr>
        <w:spacing w:after="156" w:afterLines="50" w:line="240" w:lineRule="auto"/>
        <w:ind w:firstLine="640" w:firstLineChars="200"/>
        <w:rPr>
          <w:rFonts w:ascii="黑体" w:hAnsi="黑体" w:eastAsia="黑体"/>
          <w:szCs w:val="32"/>
        </w:rPr>
      </w:pPr>
    </w:p>
    <w:p>
      <w:pPr>
        <w:spacing w:after="156" w:afterLines="50" w:line="240" w:lineRule="auto"/>
        <w:ind w:firstLine="640" w:firstLineChars="200"/>
        <w:rPr>
          <w:rFonts w:ascii="黑体" w:hAnsi="黑体" w:eastAsia="黑体"/>
          <w:szCs w:val="32"/>
        </w:rPr>
      </w:pPr>
    </w:p>
    <w:p>
      <w:pPr>
        <w:autoSpaceDE/>
        <w:autoSpaceDN/>
        <w:snapToGrid/>
        <w:spacing w:line="240" w:lineRule="auto"/>
        <w:ind w:firstLine="640" w:firstLineChars="200"/>
        <w:rPr>
          <w:rFonts w:ascii="黑体" w:hAnsi="黑体" w:eastAsia="黑体" w:cs="黑体"/>
          <w:snapToGrid/>
          <w:kern w:val="2"/>
          <w:szCs w:val="32"/>
        </w:rPr>
      </w:pPr>
      <w:r>
        <w:rPr>
          <w:rFonts w:hint="eastAsia" w:ascii="黑体" w:hAnsi="黑体" w:eastAsia="黑体" w:cs="黑体"/>
          <w:snapToGrid/>
          <w:kern w:val="2"/>
          <w:szCs w:val="32"/>
        </w:rPr>
        <w:t>二、主动公开政府信息情况</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3"/>
        <w:gridCol w:w="2022"/>
        <w:gridCol w:w="2023"/>
        <w:gridCol w:w="20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spacing w:line="240" w:lineRule="auto"/>
              <w:ind w:firstLine="0"/>
              <w:jc w:val="center"/>
              <w:rPr>
                <w:rFonts w:ascii="黑体" w:hAnsi="黑体" w:eastAsia="黑体"/>
                <w:sz w:val="20"/>
              </w:rPr>
            </w:pPr>
            <w:r>
              <w:rPr>
                <w:rFonts w:hint="eastAsia" w:ascii="宋体" w:hAnsi="宋体" w:eastAsia="宋体" w:cs="宋体"/>
                <w:snapToGrid/>
                <w:color w:val="000000"/>
                <w:sz w:val="20"/>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2130" w:type="dxa"/>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本年</w:t>
            </w:r>
            <w:r>
              <w:rPr>
                <w:rFonts w:ascii="宋体" w:hAnsi="宋体" w:eastAsia="宋体" w:cs="Calibri"/>
                <w:snapToGrid/>
                <w:sz w:val="20"/>
              </w:rPr>
              <w:t>制</w:t>
            </w:r>
            <w:r>
              <w:rPr>
                <w:rFonts w:hint="eastAsia" w:ascii="宋体" w:hAnsi="宋体" w:eastAsia="宋体" w:cs="宋体"/>
                <w:snapToGrid/>
                <w:sz w:val="20"/>
              </w:rPr>
              <w:t>发件</w:t>
            </w:r>
            <w:r>
              <w:rPr>
                <w:rFonts w:ascii="宋体" w:hAnsi="宋体" w:eastAsia="宋体" w:cs="Calibri"/>
                <w:snapToGrid/>
                <w:sz w:val="20"/>
              </w:rPr>
              <w:t>数</w:t>
            </w:r>
          </w:p>
        </w:tc>
        <w:tc>
          <w:tcPr>
            <w:tcW w:w="2131" w:type="dxa"/>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本年废止件数</w:t>
            </w:r>
          </w:p>
        </w:tc>
        <w:tc>
          <w:tcPr>
            <w:tcW w:w="2131" w:type="dxa"/>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现行有效件</w:t>
            </w:r>
            <w:r>
              <w:rPr>
                <w:rFonts w:ascii="宋体" w:hAnsi="宋体" w:eastAsia="宋体" w:cs="Calibri"/>
                <w:snapToGrid/>
                <w:sz w:val="20"/>
              </w:rPr>
              <w:t>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规章</w:t>
            </w:r>
          </w:p>
        </w:tc>
        <w:tc>
          <w:tcPr>
            <w:tcW w:w="2130"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c>
          <w:tcPr>
            <w:tcW w:w="2131"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c>
          <w:tcPr>
            <w:tcW w:w="2131"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行政规范性文件</w:t>
            </w:r>
          </w:p>
        </w:tc>
        <w:tc>
          <w:tcPr>
            <w:tcW w:w="2130" w:type="dxa"/>
            <w:vAlign w:val="center"/>
          </w:tcPr>
          <w:p>
            <w:pPr>
              <w:spacing w:line="240" w:lineRule="auto"/>
              <w:ind w:firstLine="0"/>
              <w:jc w:val="center"/>
              <w:rPr>
                <w:rFonts w:ascii="黑体" w:hAnsi="黑体" w:eastAsia="黑体"/>
                <w:sz w:val="20"/>
              </w:rPr>
            </w:pPr>
            <w:r>
              <w:rPr>
                <w:rFonts w:hint="eastAsia" w:ascii="黑体" w:hAnsi="黑体" w:eastAsia="黑体"/>
                <w:sz w:val="20"/>
              </w:rPr>
              <w:t>1</w:t>
            </w:r>
          </w:p>
        </w:tc>
        <w:tc>
          <w:tcPr>
            <w:tcW w:w="2131"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c>
          <w:tcPr>
            <w:tcW w:w="2131" w:type="dxa"/>
            <w:vAlign w:val="center"/>
          </w:tcPr>
          <w:p>
            <w:pPr>
              <w:spacing w:line="240" w:lineRule="auto"/>
              <w:ind w:firstLine="0"/>
              <w:jc w:val="center"/>
              <w:rPr>
                <w:rFonts w:ascii="黑体" w:hAnsi="黑体" w:eastAsia="黑体"/>
                <w:sz w:val="20"/>
              </w:rPr>
            </w:pPr>
            <w:r>
              <w:rPr>
                <w:rFonts w:hint="eastAsia" w:ascii="黑体" w:hAnsi="黑体" w:eastAsia="黑体"/>
                <w:sz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行政许可</w:t>
            </w:r>
          </w:p>
        </w:tc>
        <w:tc>
          <w:tcPr>
            <w:tcW w:w="6392" w:type="dxa"/>
            <w:gridSpan w:val="3"/>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行政处罚</w:t>
            </w:r>
          </w:p>
        </w:tc>
        <w:tc>
          <w:tcPr>
            <w:tcW w:w="6392" w:type="dxa"/>
            <w:gridSpan w:val="3"/>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行政强制</w:t>
            </w:r>
          </w:p>
        </w:tc>
        <w:tc>
          <w:tcPr>
            <w:tcW w:w="6392" w:type="dxa"/>
            <w:gridSpan w:val="3"/>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行政事业性收费</w:t>
            </w:r>
          </w:p>
        </w:tc>
        <w:tc>
          <w:tcPr>
            <w:tcW w:w="6392" w:type="dxa"/>
            <w:gridSpan w:val="3"/>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r>
    </w:tbl>
    <w:p>
      <w:pPr>
        <w:spacing w:line="240" w:lineRule="auto"/>
        <w:ind w:firstLine="0"/>
        <w:rPr>
          <w:rFonts w:ascii="黑体" w:hAnsi="黑体" w:eastAsia="黑体"/>
          <w:sz w:val="30"/>
          <w:szCs w:val="30"/>
        </w:rPr>
      </w:pPr>
    </w:p>
    <w:p>
      <w:pPr>
        <w:spacing w:line="240" w:lineRule="auto"/>
        <w:ind w:firstLine="0"/>
        <w:rPr>
          <w:rFonts w:ascii="黑体" w:hAnsi="黑体" w:eastAsia="黑体"/>
          <w:sz w:val="30"/>
          <w:szCs w:val="30"/>
        </w:rPr>
      </w:pPr>
    </w:p>
    <w:p>
      <w:pPr>
        <w:spacing w:line="240" w:lineRule="auto"/>
        <w:ind w:firstLine="0"/>
        <w:rPr>
          <w:rFonts w:ascii="黑体" w:hAnsi="黑体" w:eastAsia="黑体"/>
          <w:sz w:val="30"/>
          <w:szCs w:val="30"/>
        </w:rPr>
      </w:pPr>
    </w:p>
    <w:p>
      <w:pPr>
        <w:spacing w:line="240" w:lineRule="auto"/>
        <w:ind w:firstLine="0"/>
        <w:rPr>
          <w:rFonts w:ascii="黑体" w:hAnsi="黑体" w:eastAsia="黑体"/>
          <w:sz w:val="30"/>
          <w:szCs w:val="30"/>
        </w:rPr>
      </w:pPr>
    </w:p>
    <w:p>
      <w:pPr>
        <w:spacing w:line="240" w:lineRule="auto"/>
        <w:ind w:firstLine="0"/>
        <w:rPr>
          <w:rFonts w:ascii="黑体" w:hAnsi="黑体" w:eastAsia="黑体"/>
          <w:sz w:val="30"/>
          <w:szCs w:val="30"/>
        </w:rPr>
      </w:pPr>
    </w:p>
    <w:p>
      <w:pPr>
        <w:spacing w:line="240" w:lineRule="auto"/>
        <w:ind w:firstLine="0"/>
        <w:rPr>
          <w:rFonts w:ascii="黑体" w:hAnsi="黑体" w:eastAsia="黑体"/>
          <w:sz w:val="30"/>
          <w:szCs w:val="30"/>
        </w:rPr>
      </w:pPr>
    </w:p>
    <w:p>
      <w:pPr>
        <w:spacing w:line="240" w:lineRule="auto"/>
        <w:ind w:firstLine="0"/>
        <w:rPr>
          <w:rFonts w:ascii="黑体" w:hAnsi="黑体" w:eastAsia="黑体"/>
          <w:sz w:val="30"/>
          <w:szCs w:val="30"/>
        </w:rPr>
      </w:pPr>
    </w:p>
    <w:p>
      <w:pPr>
        <w:spacing w:line="240" w:lineRule="auto"/>
        <w:ind w:firstLine="0"/>
        <w:rPr>
          <w:rFonts w:ascii="黑体" w:hAnsi="黑体" w:eastAsia="黑体"/>
          <w:sz w:val="30"/>
          <w:szCs w:val="30"/>
        </w:rPr>
      </w:pPr>
    </w:p>
    <w:p>
      <w:pPr>
        <w:spacing w:line="240" w:lineRule="auto"/>
        <w:ind w:firstLine="0"/>
        <w:rPr>
          <w:rFonts w:ascii="黑体" w:hAnsi="黑体" w:eastAsia="黑体"/>
          <w:sz w:val="30"/>
          <w:szCs w:val="30"/>
        </w:rPr>
      </w:pPr>
    </w:p>
    <w:p>
      <w:pPr>
        <w:spacing w:line="240" w:lineRule="auto"/>
        <w:ind w:firstLine="0"/>
        <w:rPr>
          <w:rFonts w:ascii="黑体" w:hAnsi="黑体" w:eastAsia="黑体"/>
          <w:sz w:val="30"/>
          <w:szCs w:val="30"/>
        </w:rPr>
      </w:pPr>
    </w:p>
    <w:p>
      <w:pPr>
        <w:spacing w:line="240" w:lineRule="auto"/>
        <w:ind w:firstLine="0"/>
        <w:rPr>
          <w:rFonts w:ascii="黑体" w:hAnsi="黑体" w:eastAsia="黑体"/>
          <w:sz w:val="30"/>
          <w:szCs w:val="30"/>
        </w:rPr>
      </w:pPr>
    </w:p>
    <w:p>
      <w:pPr>
        <w:spacing w:line="240" w:lineRule="auto"/>
        <w:ind w:firstLine="0"/>
        <w:rPr>
          <w:rFonts w:ascii="黑体" w:hAnsi="黑体" w:eastAsia="黑体"/>
          <w:sz w:val="30"/>
          <w:szCs w:val="30"/>
        </w:rPr>
      </w:pPr>
    </w:p>
    <w:p>
      <w:pPr>
        <w:spacing w:line="240" w:lineRule="auto"/>
        <w:ind w:firstLine="600" w:firstLineChars="200"/>
        <w:rPr>
          <w:rFonts w:ascii="黑体" w:hAnsi="黑体" w:eastAsia="黑体"/>
          <w:sz w:val="30"/>
          <w:szCs w:val="30"/>
        </w:rPr>
      </w:pPr>
    </w:p>
    <w:p>
      <w:pPr>
        <w:autoSpaceDE/>
        <w:autoSpaceDN/>
        <w:snapToGrid/>
        <w:spacing w:line="240" w:lineRule="auto"/>
        <w:ind w:firstLine="640" w:firstLineChars="200"/>
        <w:rPr>
          <w:rFonts w:ascii="黑体" w:hAnsi="黑体" w:eastAsia="黑体"/>
          <w:sz w:val="30"/>
          <w:szCs w:val="30"/>
        </w:rPr>
      </w:pPr>
      <w:r>
        <w:rPr>
          <w:rFonts w:hint="eastAsia" w:ascii="黑体" w:hAnsi="黑体" w:eastAsia="黑体" w:cs="黑体"/>
          <w:snapToGrid/>
          <w:kern w:val="2"/>
          <w:szCs w:val="32"/>
        </w:rPr>
        <w:t>三、收到和处理政府信息公开申请情况</w:t>
      </w:r>
    </w:p>
    <w:tbl>
      <w:tblPr>
        <w:tblStyle w:val="5"/>
        <w:tblW w:w="9935" w:type="dxa"/>
        <w:jc w:val="center"/>
        <w:tblLayout w:type="autofit"/>
        <w:tblCellMar>
          <w:top w:w="0" w:type="dxa"/>
          <w:left w:w="0" w:type="dxa"/>
          <w:bottom w:w="0" w:type="dxa"/>
          <w:right w:w="0" w:type="dxa"/>
        </w:tblCellMar>
      </w:tblPr>
      <w:tblGrid>
        <w:gridCol w:w="768"/>
        <w:gridCol w:w="943"/>
        <w:gridCol w:w="2838"/>
        <w:gridCol w:w="850"/>
        <w:gridCol w:w="709"/>
        <w:gridCol w:w="709"/>
        <w:gridCol w:w="802"/>
        <w:gridCol w:w="851"/>
        <w:gridCol w:w="709"/>
        <w:gridCol w:w="756"/>
      </w:tblGrid>
      <w:tr>
        <w:tblPrEx>
          <w:tblCellMar>
            <w:top w:w="0" w:type="dxa"/>
            <w:left w:w="0" w:type="dxa"/>
            <w:bottom w:w="0" w:type="dxa"/>
            <w:right w:w="0" w:type="dxa"/>
          </w:tblCellMar>
        </w:tblPrEx>
        <w:trPr>
          <w:jc w:val="center"/>
        </w:trPr>
        <w:tc>
          <w:tcPr>
            <w:tcW w:w="4549" w:type="dxa"/>
            <w:gridSpan w:val="3"/>
            <w:vMerge w:val="restart"/>
            <w:tcBorders>
              <w:top w:val="single" w:color="auto" w:sz="8" w:space="0"/>
              <w:left w:val="single" w:color="auto" w:sz="8" w:space="0"/>
              <w:bottom w:val="inset"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楷体" w:hAnsi="楷体" w:eastAsia="楷体" w:cs="宋体"/>
                <w:snapToGrid/>
                <w:sz w:val="20"/>
              </w:rPr>
              <w:t>（本列数据的勾稽关系为：第一项加第二项之和，等于第三项加第四项之和）</w:t>
            </w:r>
          </w:p>
        </w:tc>
        <w:tc>
          <w:tcPr>
            <w:tcW w:w="5386" w:type="dxa"/>
            <w:gridSpan w:val="7"/>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申请人情况</w:t>
            </w:r>
          </w:p>
        </w:tc>
      </w:tr>
      <w:tr>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850" w:type="dxa"/>
            <w:vMerge w:val="restart"/>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自然人</w:t>
            </w:r>
          </w:p>
        </w:tc>
        <w:tc>
          <w:tcPr>
            <w:tcW w:w="3780" w:type="dxa"/>
            <w:gridSpan w:val="5"/>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法人或其他组织</w:t>
            </w:r>
          </w:p>
        </w:tc>
        <w:tc>
          <w:tcPr>
            <w:tcW w:w="756" w:type="dxa"/>
            <w:vMerge w:val="restart"/>
            <w:tcBorders>
              <w:top w:val="single" w:color="auto" w:sz="8" w:space="0"/>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总计</w:t>
            </w:r>
          </w:p>
        </w:tc>
      </w:tr>
      <w:tr>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850" w:type="dxa"/>
            <w:vMerge w:val="continue"/>
            <w:tcBorders>
              <w:top w:val="nil"/>
              <w:left w:val="nil"/>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商业</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企业</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科研</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机构</w:t>
            </w:r>
          </w:p>
        </w:tc>
        <w:tc>
          <w:tcPr>
            <w:tcW w:w="802"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社会公益组织</w:t>
            </w:r>
          </w:p>
        </w:tc>
        <w:tc>
          <w:tcPr>
            <w:tcW w:w="851"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法律服务机构</w:t>
            </w:r>
          </w:p>
        </w:tc>
        <w:tc>
          <w:tcPr>
            <w:tcW w:w="709"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p>
        </w:tc>
        <w:tc>
          <w:tcPr>
            <w:tcW w:w="756" w:type="dxa"/>
            <w:vMerge w:val="continue"/>
            <w:tcBorders>
              <w:top w:val="single" w:color="auto" w:sz="8" w:space="0"/>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r>
      <w:tr>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一、本年新收政府信息公开申请数量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5</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5</w:t>
            </w:r>
          </w:p>
        </w:tc>
      </w:tr>
      <w:tr>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二、上年结转政府信息公开申请数量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768" w:type="dxa"/>
            <w:vMerge w:val="restart"/>
            <w:tcBorders>
              <w:top w:val="nil"/>
              <w:left w:val="single" w:color="auto" w:sz="8" w:space="0"/>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三、本年度办理结果</w:t>
            </w: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（一）予以公开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1</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（二）部分公开</w:t>
            </w:r>
            <w:r>
              <w:rPr>
                <w:rFonts w:hint="eastAsia" w:ascii="楷体" w:hAnsi="楷体" w:eastAsia="楷体" w:cs="宋体"/>
                <w:snapToGrid/>
                <w:sz w:val="20"/>
              </w:rPr>
              <w:t>（区分处理的，只计这一情形，不计其他情形）</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（三）不予公开</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1.属于国家秘密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2.其他法律行政法规禁止公开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3.危及“三安全一稳定”</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4.保护第三方合法权益</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5.属于三类内部事务信息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6.属于四类过程性信息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7.属于行政执法案卷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8.属于行政查询事项</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（四）无法提供</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1.本机关不掌握相关政府信息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2</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2</w:t>
            </w:r>
          </w:p>
        </w:tc>
      </w:tr>
      <w:tr>
        <w:tblPrEx>
          <w:tblCellMar>
            <w:top w:w="0" w:type="dxa"/>
            <w:left w:w="0" w:type="dxa"/>
            <w:bottom w:w="0" w:type="dxa"/>
            <w:right w:w="0" w:type="dxa"/>
          </w:tblCellMar>
        </w:tblPrEx>
        <w:trPr>
          <w:trHeight w:val="90" w:hRule="atLeast"/>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2.没有现成信息需要另行制作</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1</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3.补正后申请内容仍不明确</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（五）不予处理</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1.信访举报投诉类申请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3.要求提供公开出版物</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4.无正当理由大量反复申请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trHeight w:val="779" w:hRule="atLeast"/>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5.要求行政机关确认或重新出具已获取信息</w:t>
            </w:r>
          </w:p>
        </w:tc>
        <w:tc>
          <w:tcPr>
            <w:tcW w:w="850"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inset" w:color="auto" w:sz="8" w:space="0"/>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（六）其他处理</w:t>
            </w: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1.申请人无正当理由逾期不补正、行政机关不再处理其政府信息公开申请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4"/>
                <w:szCs w:val="24"/>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2.申请人逾期未按收费通知要求缴纳费用、行政机关不再处理其政府信息公开申请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3.其他</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（七）总计</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4</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4</w:t>
            </w:r>
          </w:p>
        </w:tc>
      </w:tr>
      <w:tr>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四、结转下年度继续办理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1</w:t>
            </w:r>
          </w:p>
        </w:tc>
      </w:tr>
    </w:tbl>
    <w:p>
      <w:pPr>
        <w:spacing w:line="240" w:lineRule="auto"/>
        <w:ind w:firstLine="600" w:firstLineChars="200"/>
        <w:rPr>
          <w:rFonts w:ascii="黑体" w:hAnsi="黑体" w:eastAsia="黑体"/>
          <w:sz w:val="30"/>
          <w:szCs w:val="30"/>
        </w:rPr>
      </w:pPr>
    </w:p>
    <w:p>
      <w:pPr>
        <w:spacing w:line="240" w:lineRule="auto"/>
        <w:ind w:firstLine="600" w:firstLineChars="200"/>
        <w:rPr>
          <w:rFonts w:ascii="黑体" w:hAnsi="黑体" w:eastAsia="黑体"/>
          <w:sz w:val="30"/>
          <w:szCs w:val="30"/>
        </w:rPr>
      </w:pPr>
    </w:p>
    <w:p>
      <w:pPr>
        <w:spacing w:line="240" w:lineRule="auto"/>
        <w:ind w:firstLine="600" w:firstLineChars="200"/>
        <w:rPr>
          <w:rFonts w:ascii="黑体" w:hAnsi="黑体" w:eastAsia="黑体"/>
          <w:sz w:val="30"/>
          <w:szCs w:val="30"/>
        </w:rPr>
      </w:pPr>
    </w:p>
    <w:p>
      <w:pPr>
        <w:spacing w:line="240" w:lineRule="auto"/>
        <w:rPr>
          <w:rFonts w:ascii="黑体" w:hAnsi="黑体" w:eastAsia="黑体"/>
          <w:sz w:val="30"/>
          <w:szCs w:val="30"/>
        </w:rPr>
      </w:pPr>
    </w:p>
    <w:p>
      <w:pPr>
        <w:autoSpaceDE/>
        <w:autoSpaceDN/>
        <w:snapToGrid/>
        <w:spacing w:line="240" w:lineRule="auto"/>
        <w:ind w:firstLine="640" w:firstLineChars="200"/>
        <w:rPr>
          <w:rFonts w:ascii="黑体" w:hAnsi="黑体" w:eastAsia="黑体" w:cs="黑体"/>
          <w:snapToGrid/>
          <w:kern w:val="2"/>
          <w:szCs w:val="32"/>
        </w:rPr>
      </w:pPr>
      <w:r>
        <w:rPr>
          <w:rFonts w:hint="eastAsia" w:ascii="黑体" w:hAnsi="黑体" w:eastAsia="黑体" w:cs="黑体"/>
          <w:snapToGrid/>
          <w:kern w:val="2"/>
          <w:szCs w:val="32"/>
        </w:rPr>
        <w:t>四、政府信息公开行政复议、行政诉讼情况</w:t>
      </w:r>
    </w:p>
    <w:tbl>
      <w:tblPr>
        <w:tblStyle w:val="5"/>
        <w:tblW w:w="9748" w:type="dxa"/>
        <w:jc w:val="center"/>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tblPrEx>
          <w:tblCellMar>
            <w:top w:w="0" w:type="dxa"/>
            <w:left w:w="0" w:type="dxa"/>
            <w:bottom w:w="0" w:type="dxa"/>
            <w:right w:w="0" w:type="dxa"/>
          </w:tblCellMar>
        </w:tblPrEx>
        <w:trPr>
          <w:jc w:val="center"/>
        </w:trPr>
        <w:tc>
          <w:tcPr>
            <w:tcW w:w="3210"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行政复议</w:t>
            </w:r>
          </w:p>
        </w:tc>
        <w:tc>
          <w:tcPr>
            <w:tcW w:w="6428" w:type="dxa"/>
            <w:gridSpan w:val="10"/>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行政诉讼</w:t>
            </w:r>
          </w:p>
        </w:tc>
      </w:tr>
      <w:tr>
        <w:tblPrEx>
          <w:tblCellMar>
            <w:top w:w="0" w:type="dxa"/>
            <w:left w:w="0" w:type="dxa"/>
            <w:bottom w:w="0" w:type="dxa"/>
            <w:right w:w="0" w:type="dxa"/>
          </w:tblCellMar>
        </w:tblPrEx>
        <w:trPr>
          <w:jc w:val="center"/>
        </w:trPr>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结果维持</w:t>
            </w:r>
          </w:p>
        </w:tc>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r>
              <w:rPr>
                <w:rFonts w:hint="eastAsia" w:ascii="宋体" w:hAnsi="宋体" w:eastAsia="宋体" w:cs="宋体"/>
                <w:snapToGrid/>
                <w:sz w:val="20"/>
              </w:rPr>
              <w:br w:type="textWrapping"/>
            </w:r>
            <w:r>
              <w:rPr>
                <w:rFonts w:hint="eastAsia" w:ascii="宋体" w:hAnsi="宋体" w:eastAsia="宋体" w:cs="宋体"/>
                <w:snapToGrid/>
                <w:sz w:val="20"/>
              </w:rPr>
              <w:t>结果</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总计</w:t>
            </w:r>
          </w:p>
        </w:tc>
        <w:tc>
          <w:tcPr>
            <w:tcW w:w="3213"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复议后起诉</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维持</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r>
              <w:rPr>
                <w:rFonts w:hint="eastAsia" w:ascii="宋体" w:hAnsi="宋体" w:eastAsia="宋体" w:cs="宋体"/>
                <w:snapToGrid/>
                <w:sz w:val="20"/>
              </w:rPr>
              <w:br w:type="textWrapping"/>
            </w:r>
            <w:r>
              <w:rPr>
                <w:rFonts w:hint="eastAsia" w:ascii="宋体" w:hAnsi="宋体" w:eastAsia="宋体" w:cs="宋体"/>
                <w:snapToGrid/>
                <w:sz w:val="20"/>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总计</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维持</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其他</w:t>
            </w:r>
            <w:r>
              <w:rPr>
                <w:rFonts w:hint="eastAsia" w:ascii="宋体" w:hAnsi="宋体" w:eastAsia="宋体" w:cs="宋体"/>
                <w:snapToGrid/>
                <w:color w:val="000000"/>
                <w:sz w:val="20"/>
              </w:rPr>
              <w:br w:type="textWrapping"/>
            </w:r>
            <w:r>
              <w:rPr>
                <w:rFonts w:hint="eastAsia" w:ascii="宋体" w:hAnsi="宋体" w:eastAsia="宋体" w:cs="宋体"/>
                <w:snapToGrid/>
                <w:color w:val="000000"/>
                <w:sz w:val="20"/>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总计</w:t>
            </w:r>
          </w:p>
        </w:tc>
      </w:tr>
      <w:tr>
        <w:tblPrEx>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4"/>
                <w:szCs w:val="24"/>
              </w:rPr>
              <w:t>0</w:t>
            </w:r>
          </w:p>
        </w:tc>
      </w:tr>
    </w:tbl>
    <w:p>
      <w:pPr>
        <w:spacing w:line="240" w:lineRule="auto"/>
        <w:ind w:firstLine="640" w:firstLineChars="200"/>
        <w:rPr>
          <w:rFonts w:ascii="黑体" w:hAnsi="黑体" w:eastAsia="黑体"/>
          <w:szCs w:val="32"/>
        </w:rPr>
      </w:pPr>
    </w:p>
    <w:p>
      <w:pPr>
        <w:autoSpaceDE/>
        <w:autoSpaceDN/>
        <w:snapToGrid/>
        <w:spacing w:line="560" w:lineRule="exact"/>
        <w:ind w:firstLine="640" w:firstLineChars="200"/>
        <w:rPr>
          <w:rFonts w:ascii="黑体" w:hAnsi="黑体" w:eastAsia="黑体" w:cs="黑体"/>
          <w:snapToGrid/>
          <w:kern w:val="2"/>
          <w:szCs w:val="32"/>
        </w:rPr>
      </w:pPr>
      <w:r>
        <w:rPr>
          <w:rFonts w:hint="eastAsia" w:ascii="黑体" w:hAnsi="黑体" w:eastAsia="黑体" w:cs="黑体"/>
          <w:snapToGrid/>
          <w:kern w:val="2"/>
          <w:szCs w:val="32"/>
        </w:rPr>
        <w:t>五、存在的主要问题及改进情况</w:t>
      </w:r>
    </w:p>
    <w:p>
      <w:pPr>
        <w:autoSpaceDE/>
        <w:autoSpaceDN/>
        <w:snapToGrid/>
        <w:spacing w:line="560" w:lineRule="exact"/>
        <w:ind w:left="630" w:firstLine="0"/>
        <w:rPr>
          <w:rFonts w:ascii="楷体_GB2312" w:hAnsi="楷体_GB2312" w:eastAsia="楷体_GB2312" w:cs="楷体_GB2312"/>
          <w:snapToGrid/>
          <w:kern w:val="2"/>
          <w:szCs w:val="32"/>
        </w:rPr>
      </w:pPr>
      <w:r>
        <w:rPr>
          <w:rFonts w:hint="eastAsia" w:ascii="楷体_GB2312" w:hAnsi="楷体_GB2312" w:eastAsia="楷体_GB2312" w:cs="楷体_GB2312"/>
          <w:snapToGrid/>
          <w:kern w:val="2"/>
          <w:szCs w:val="32"/>
        </w:rPr>
        <w:t>（一）存在问题</w:t>
      </w:r>
    </w:p>
    <w:p>
      <w:pPr>
        <w:autoSpaceDE/>
        <w:autoSpaceDN/>
        <w:snapToGrid/>
        <w:spacing w:line="560" w:lineRule="exact"/>
        <w:ind w:firstLine="640" w:firstLineChars="200"/>
        <w:rPr>
          <w:rFonts w:ascii="仿宋_GB2312" w:hAnsi="仿宋_GB2312" w:eastAsia="仿宋_GB2312" w:cs="仿宋_GB2312"/>
          <w:snapToGrid/>
          <w:kern w:val="2"/>
          <w:szCs w:val="32"/>
        </w:rPr>
      </w:pPr>
      <w:r>
        <w:rPr>
          <w:rFonts w:hint="eastAsia" w:ascii="仿宋_GB2312" w:hAnsi="仿宋_GB2312" w:eastAsia="仿宋_GB2312" w:cs="仿宋_GB2312"/>
          <w:snapToGrid/>
          <w:kern w:val="2"/>
          <w:szCs w:val="32"/>
        </w:rPr>
        <w:t>一是组织领导机构不够完善，各科室、中心人员配置情况不明确。二是公开时效性不强、深度不够、质量不高、内容不全。三是政府信息公开落实力度不够，公开意识不强，与群众切身利益、方便群众办事、群众关心关注的信息公开不及时、不全面、不具体，公开方式单一化、陈旧化。四是公开工作队伍能力建设不够，公开队伍整体的专业化、理论化水平不高，对政策的把握能力不强，处理公开具体工作中复杂问题办法不多，一定程度上制约了政府信息公开工作的深入推进。五是金融、粮食、价格等民生重点领域公开内容流于表面，不够细化。六是民主监督机制不够健全，公开工作的责任追究制度不落实。</w:t>
      </w:r>
    </w:p>
    <w:p>
      <w:pPr>
        <w:autoSpaceDE/>
        <w:autoSpaceDN/>
        <w:snapToGrid/>
        <w:spacing w:line="560" w:lineRule="exact"/>
        <w:ind w:left="630" w:firstLine="0"/>
        <w:rPr>
          <w:rFonts w:ascii="楷体_GB2312" w:hAnsi="楷体_GB2312" w:eastAsia="楷体_GB2312" w:cs="楷体_GB2312"/>
          <w:snapToGrid/>
          <w:kern w:val="2"/>
          <w:szCs w:val="32"/>
        </w:rPr>
      </w:pPr>
      <w:r>
        <w:rPr>
          <w:rFonts w:hint="eastAsia" w:ascii="楷体_GB2312" w:hAnsi="楷体_GB2312" w:eastAsia="楷体_GB2312" w:cs="楷体_GB2312"/>
          <w:snapToGrid/>
          <w:kern w:val="2"/>
          <w:szCs w:val="32"/>
        </w:rPr>
        <w:t>（二）改进措施</w:t>
      </w:r>
    </w:p>
    <w:p>
      <w:pPr>
        <w:autoSpaceDE/>
        <w:autoSpaceDN/>
        <w:snapToGrid/>
        <w:spacing w:line="560" w:lineRule="exact"/>
        <w:ind w:firstLine="640" w:firstLineChars="200"/>
        <w:rPr>
          <w:rFonts w:ascii="仿宋_GB2312" w:hAnsi="仿宋_GB2312" w:eastAsia="仿宋_GB2312" w:cs="仿宋_GB2312"/>
          <w:snapToGrid/>
          <w:kern w:val="2"/>
          <w:szCs w:val="32"/>
        </w:rPr>
      </w:pPr>
      <w:r>
        <w:rPr>
          <w:rFonts w:hint="eastAsia" w:ascii="仿宋_GB2312" w:hAnsi="仿宋_GB2312" w:eastAsia="仿宋_GB2312" w:cs="仿宋_GB2312"/>
          <w:snapToGrid/>
          <w:kern w:val="2"/>
          <w:szCs w:val="32"/>
        </w:rPr>
        <w:t>一是健全领导机制。二是着力深化重点领域信息公开，切实提升公开质量和实效。三是大力推进公开信息化建设，积极顺应“互联网+”发展趋势，加大以政府门户网站为核心的公开集约化平台体系建设，整合信息公开平台资源，健全信息发布更新机制，加大政务微信公众号等新社交媒体的开发应用，提升信息搜索等智能化水平，让社会公众能更加便捷获取部门信息。四是着力加强公开工作队伍建设，制定业务培训计划，分级分层组织实施，切实提高人员队伍的综合素质和业务能力。五是细化金融、粮食、价格等民生重点领域公开内容。六是健全民主监督制度，落实公开责任追究制度。</w:t>
      </w:r>
    </w:p>
    <w:p>
      <w:pPr>
        <w:autoSpaceDE/>
        <w:autoSpaceDN/>
        <w:snapToGrid/>
        <w:spacing w:line="560" w:lineRule="exact"/>
        <w:ind w:firstLine="640" w:firstLineChars="200"/>
        <w:rPr>
          <w:rFonts w:ascii="黑体" w:hAnsi="黑体" w:eastAsia="黑体" w:cs="黑体"/>
          <w:snapToGrid/>
          <w:kern w:val="2"/>
          <w:szCs w:val="32"/>
        </w:rPr>
      </w:pPr>
      <w:r>
        <w:rPr>
          <w:rFonts w:hint="eastAsia" w:ascii="黑体" w:hAnsi="黑体" w:eastAsia="黑体" w:cs="黑体"/>
          <w:snapToGrid/>
          <w:kern w:val="2"/>
          <w:szCs w:val="32"/>
        </w:rPr>
        <w:t>六、其他需要报告的事项</w:t>
      </w:r>
    </w:p>
    <w:p>
      <w:pPr>
        <w:autoSpaceDE/>
        <w:autoSpaceDN/>
        <w:snapToGrid/>
        <w:spacing w:line="560" w:lineRule="exact"/>
        <w:ind w:left="630" w:firstLine="0"/>
        <w:rPr>
          <w:rFonts w:ascii="楷体_GB2312" w:hAnsi="楷体_GB2312" w:eastAsia="楷体_GB2312" w:cs="楷体_GB2312"/>
          <w:snapToGrid/>
          <w:kern w:val="2"/>
          <w:szCs w:val="32"/>
        </w:rPr>
      </w:pPr>
      <w:r>
        <w:rPr>
          <w:rFonts w:hint="eastAsia" w:ascii="楷体_GB2312" w:hAnsi="楷体_GB2312" w:eastAsia="楷体_GB2312" w:cs="楷体_GB2312"/>
          <w:snapToGrid/>
          <w:kern w:val="2"/>
          <w:szCs w:val="32"/>
        </w:rPr>
        <w:t>（一）收取信息处理费情况</w:t>
      </w:r>
    </w:p>
    <w:p>
      <w:pPr>
        <w:autoSpaceDE/>
        <w:autoSpaceDN/>
        <w:snapToGrid/>
        <w:spacing w:line="560" w:lineRule="exact"/>
        <w:ind w:firstLine="640" w:firstLineChars="200"/>
        <w:rPr>
          <w:rFonts w:ascii="仿宋_GB2312" w:hAnsi="仿宋_GB2312" w:eastAsia="仿宋_GB2312" w:cs="仿宋_GB2312"/>
          <w:snapToGrid/>
          <w:kern w:val="2"/>
          <w:szCs w:val="32"/>
        </w:rPr>
      </w:pPr>
      <w:r>
        <w:rPr>
          <w:rFonts w:hint="eastAsia" w:ascii="仿宋_GB2312" w:hAnsi="仿宋_GB2312" w:eastAsia="仿宋_GB2312" w:cs="仿宋_GB2312"/>
          <w:snapToGrid/>
          <w:kern w:val="2"/>
          <w:szCs w:val="32"/>
        </w:rPr>
        <w:t>本机关依申请提供政府信息，按照《国务院办公厅关于印发&lt;政府信息公开信息处理费管理办法&gt;的通知》（国办函〔2020〕109号）和《山东省人民政府办公厅关于做好政府信息公开信息处理费管理工作有关事项的通知》（鲁政办字〔2020〕179号）收取信息处理费。2021年，本机关依申请公开政府信息未收取任何费用。</w:t>
      </w:r>
    </w:p>
    <w:p>
      <w:pPr>
        <w:autoSpaceDE/>
        <w:autoSpaceDN/>
        <w:snapToGrid/>
        <w:spacing w:line="560" w:lineRule="exact"/>
        <w:ind w:left="630" w:firstLine="0"/>
        <w:rPr>
          <w:rFonts w:ascii="楷体_GB2312" w:hAnsi="楷体_GB2312" w:eastAsia="楷体_GB2312" w:cs="楷体_GB2312"/>
          <w:snapToGrid/>
          <w:kern w:val="2"/>
          <w:szCs w:val="32"/>
        </w:rPr>
      </w:pPr>
      <w:r>
        <w:rPr>
          <w:rFonts w:hint="eastAsia" w:ascii="楷体_GB2312" w:hAnsi="楷体_GB2312" w:eastAsia="楷体_GB2312" w:cs="楷体_GB2312"/>
          <w:snapToGrid/>
          <w:kern w:val="2"/>
          <w:szCs w:val="32"/>
        </w:rPr>
        <w:t>（二）落实上级年度政务公开工作要点情况</w:t>
      </w:r>
    </w:p>
    <w:p>
      <w:pPr>
        <w:autoSpaceDE/>
        <w:autoSpaceDN/>
        <w:snapToGrid/>
        <w:spacing w:line="560" w:lineRule="exact"/>
        <w:ind w:firstLine="640" w:firstLineChars="200"/>
        <w:rPr>
          <w:rFonts w:ascii="仿宋_GB2312" w:hAnsi="仿宋_GB2312" w:eastAsia="仿宋_GB2312" w:cs="仿宋_GB2312"/>
          <w:snapToGrid/>
          <w:kern w:val="2"/>
          <w:szCs w:val="32"/>
        </w:rPr>
      </w:pPr>
      <w:r>
        <w:rPr>
          <w:rFonts w:hint="eastAsia" w:ascii="仿宋_GB2312" w:hAnsi="仿宋_GB2312" w:eastAsia="仿宋_GB2312" w:cs="仿宋_GB2312"/>
          <w:snapToGrid/>
          <w:kern w:val="2"/>
          <w:szCs w:val="32"/>
        </w:rPr>
        <w:t>严格落实《国务院办公厅关于印发2021年政务公开工作要点的通知》（国办发〔2021〕12号）、《山东省人民政府办公厅关于印发2021年山东省政务公开工作要点的通知》（鲁政办发〔2021〕5号）、《淄博市人民政府办公室关于印发2021年淄博市政务公开工作要点的通知》（淄政办字〔2021〕39号），制定了《高青县发展和改革局2021年政务公开工作实施方案》，重点做好“十四五”规划和历史规划的归集公开工作，公开《高青县国民经济和社会发展第十四个五年规划和2035年远景目标纲要》《高青县2021年国民经济和社会发展计划》，归集整理并公开《高青县国民经济和社会发展第十二个五年规划纲要》《高青县国民经济和社会发展第十三个五年规划纲要》，以及2012-2020年国民经济和社会发展计划，充分展示“一张蓝图绘到底”的接续奋斗历程。</w:t>
      </w:r>
    </w:p>
    <w:p>
      <w:pPr>
        <w:autoSpaceDE/>
        <w:autoSpaceDN/>
        <w:snapToGrid/>
        <w:spacing w:line="560" w:lineRule="exact"/>
        <w:ind w:left="630" w:firstLine="0"/>
        <w:rPr>
          <w:rFonts w:ascii="楷体_GB2312" w:hAnsi="楷体_GB2312" w:eastAsia="楷体_GB2312" w:cs="楷体_GB2312"/>
          <w:snapToGrid/>
          <w:kern w:val="2"/>
          <w:szCs w:val="32"/>
        </w:rPr>
      </w:pPr>
      <w:r>
        <w:rPr>
          <w:rFonts w:hint="eastAsia" w:ascii="楷体_GB2312" w:hAnsi="楷体_GB2312" w:eastAsia="楷体_GB2312" w:cs="楷体_GB2312"/>
          <w:snapToGrid/>
          <w:kern w:val="2"/>
          <w:szCs w:val="32"/>
        </w:rPr>
        <w:t>（三）人大代表建议和政协委员提案办理结果公开情况</w:t>
      </w:r>
    </w:p>
    <w:p>
      <w:pPr>
        <w:autoSpaceDE/>
        <w:autoSpaceDN/>
        <w:snapToGrid/>
        <w:spacing w:line="560" w:lineRule="exact"/>
        <w:ind w:firstLine="640" w:firstLineChars="200"/>
        <w:rPr>
          <w:rFonts w:ascii="仿宋_GB2312" w:hAnsi="仿宋_GB2312" w:eastAsia="仿宋_GB2312" w:cs="仿宋_GB2312"/>
          <w:snapToGrid/>
          <w:kern w:val="2"/>
          <w:szCs w:val="32"/>
        </w:rPr>
      </w:pPr>
      <w:r>
        <w:rPr>
          <w:rFonts w:hint="eastAsia" w:ascii="仿宋_GB2312" w:hAnsi="仿宋_GB2312" w:eastAsia="仿宋_GB2312" w:cs="仿宋_GB2312"/>
          <w:snapToGrid/>
          <w:kern w:val="2"/>
          <w:szCs w:val="32"/>
        </w:rPr>
        <w:t>2021年，共承办县十七届人大五次会议建议2件，承办县政协十四届五次会议提案1件，均在县政府网站建议提案专题集中公开建议提案人、建议提案原文、建议提案办理结果等信息。</w:t>
      </w:r>
    </w:p>
    <w:p>
      <w:pPr>
        <w:autoSpaceDE/>
        <w:autoSpaceDN/>
        <w:snapToGrid/>
        <w:spacing w:line="560" w:lineRule="exact"/>
        <w:ind w:left="630" w:firstLine="0"/>
        <w:rPr>
          <w:rFonts w:ascii="楷体_GB2312" w:hAnsi="楷体_GB2312" w:eastAsia="楷体_GB2312" w:cs="楷体_GB2312"/>
          <w:snapToGrid/>
          <w:kern w:val="2"/>
          <w:szCs w:val="32"/>
        </w:rPr>
      </w:pPr>
      <w:r>
        <w:rPr>
          <w:rFonts w:hint="eastAsia" w:ascii="楷体_GB2312" w:hAnsi="楷体_GB2312" w:eastAsia="楷体_GB2312" w:cs="楷体_GB2312"/>
          <w:snapToGrid/>
          <w:kern w:val="2"/>
          <w:szCs w:val="32"/>
        </w:rPr>
        <w:t>（四）政务公开工作创新情况</w:t>
      </w:r>
    </w:p>
    <w:p>
      <w:pPr>
        <w:autoSpaceDE/>
        <w:autoSpaceDN/>
        <w:snapToGrid/>
        <w:spacing w:line="560" w:lineRule="exact"/>
        <w:ind w:firstLine="640" w:firstLineChars="200"/>
        <w:rPr>
          <w:rFonts w:ascii="仿宋_GB2312" w:hAnsi="仿宋_GB2312" w:eastAsia="仿宋_GB2312" w:cs="仿宋_GB2312"/>
          <w:snapToGrid/>
          <w:kern w:val="2"/>
          <w:szCs w:val="32"/>
        </w:rPr>
      </w:pPr>
      <w:r>
        <w:rPr>
          <w:rFonts w:hint="eastAsia" w:ascii="仿宋_GB2312" w:hAnsi="仿宋_GB2312" w:eastAsia="仿宋_GB2312" w:cs="仿宋_GB2312"/>
          <w:snapToGrid/>
          <w:kern w:val="2"/>
          <w:szCs w:val="32"/>
        </w:rPr>
        <w:t>积极推动平台建设创新，在县政府网站开展本机关专属“在线访谈”栏目，除回答本能机能、做事流程外，还对网民征询的相关业务问题进行回答。</w:t>
      </w:r>
    </w:p>
    <w:p>
      <w:pPr>
        <w:autoSpaceDE/>
        <w:autoSpaceDN/>
        <w:snapToGrid/>
        <w:spacing w:line="560" w:lineRule="exact"/>
        <w:ind w:left="630" w:firstLine="0"/>
        <w:rPr>
          <w:rFonts w:ascii="楷体_GB2312" w:hAnsi="楷体_GB2312" w:eastAsia="楷体_GB2312" w:cs="楷体_GB2312"/>
          <w:snapToGrid/>
          <w:kern w:val="2"/>
          <w:szCs w:val="32"/>
        </w:rPr>
      </w:pPr>
      <w:r>
        <w:rPr>
          <w:rFonts w:hint="eastAsia" w:ascii="楷体_GB2312" w:hAnsi="楷体_GB2312" w:eastAsia="楷体_GB2312" w:cs="楷体_GB2312"/>
          <w:snapToGrid/>
          <w:kern w:val="2"/>
          <w:szCs w:val="32"/>
        </w:rPr>
        <w:t>（五）有关数据统计说明</w:t>
      </w:r>
    </w:p>
    <w:p>
      <w:pPr>
        <w:spacing w:line="560" w:lineRule="exact"/>
        <w:ind w:firstLine="640" w:firstLineChars="200"/>
        <w:jc w:val="left"/>
        <w:rPr>
          <w:rFonts w:ascii="楷体_GB2312" w:hAnsi="黑体" w:eastAsia="楷体_GB2312"/>
          <w:sz w:val="30"/>
          <w:szCs w:val="30"/>
        </w:rPr>
      </w:pPr>
      <w:r>
        <w:rPr>
          <w:rFonts w:hint="eastAsia" w:ascii="仿宋_GB2312" w:hAnsi="仿宋_GB2312" w:eastAsia="仿宋_GB2312" w:cs="仿宋_GB2312"/>
          <w:snapToGrid/>
          <w:kern w:val="2"/>
          <w:szCs w:val="32"/>
        </w:rPr>
        <w:t>报告中所列数据可能因四舍</w:t>
      </w:r>
      <w:r>
        <w:rPr>
          <w:rFonts w:hint="eastAsia" w:ascii="仿宋_GB2312" w:eastAsia="仿宋_GB2312"/>
          <w:szCs w:val="32"/>
        </w:rPr>
        <w:t>五入原因与数据直接相加之和存在尾数差异。</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altName w:val="微软雅黑"/>
    <w:panose1 w:val="00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80F3C52"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543"/>
    <w:rsid w:val="00002927"/>
    <w:rsid w:val="00024945"/>
    <w:rsid w:val="000763D7"/>
    <w:rsid w:val="00117733"/>
    <w:rsid w:val="00121DCF"/>
    <w:rsid w:val="001E78A9"/>
    <w:rsid w:val="00211942"/>
    <w:rsid w:val="00236CD8"/>
    <w:rsid w:val="00271F0B"/>
    <w:rsid w:val="002D1959"/>
    <w:rsid w:val="002E3543"/>
    <w:rsid w:val="003F0DAE"/>
    <w:rsid w:val="00415AB1"/>
    <w:rsid w:val="00447DA8"/>
    <w:rsid w:val="00537C3F"/>
    <w:rsid w:val="00591E5D"/>
    <w:rsid w:val="00666D2D"/>
    <w:rsid w:val="00673AC7"/>
    <w:rsid w:val="00704FCD"/>
    <w:rsid w:val="008C4ED2"/>
    <w:rsid w:val="0096520D"/>
    <w:rsid w:val="009B028C"/>
    <w:rsid w:val="009F0E7D"/>
    <w:rsid w:val="00C67940"/>
    <w:rsid w:val="00CA04F8"/>
    <w:rsid w:val="00CA7CD3"/>
    <w:rsid w:val="00CC2BE7"/>
    <w:rsid w:val="00CD1D00"/>
    <w:rsid w:val="00E94571"/>
    <w:rsid w:val="00EA0721"/>
    <w:rsid w:val="00EF5607"/>
    <w:rsid w:val="00F57A63"/>
    <w:rsid w:val="00F756D4"/>
    <w:rsid w:val="00FA216A"/>
    <w:rsid w:val="00FD5381"/>
    <w:rsid w:val="123632B2"/>
    <w:rsid w:val="17935082"/>
    <w:rsid w:val="19447BC2"/>
    <w:rsid w:val="1F0209E1"/>
    <w:rsid w:val="2230056D"/>
    <w:rsid w:val="26781A05"/>
    <w:rsid w:val="2BF32E13"/>
    <w:rsid w:val="3023275C"/>
    <w:rsid w:val="3D7D3089"/>
    <w:rsid w:val="46AC7929"/>
    <w:rsid w:val="4862434C"/>
    <w:rsid w:val="4B28500E"/>
    <w:rsid w:val="4B2F26AF"/>
    <w:rsid w:val="51B44962"/>
    <w:rsid w:val="52854FEC"/>
    <w:rsid w:val="5A3A3F5E"/>
    <w:rsid w:val="60870A8F"/>
    <w:rsid w:val="643C5965"/>
    <w:rsid w:val="75066CE0"/>
    <w:rsid w:val="76783DB3"/>
    <w:rsid w:val="7B1375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pPr>
      <w:spacing w:line="240" w:lineRule="auto"/>
    </w:pPr>
    <w:rPr>
      <w:sz w:val="18"/>
      <w:szCs w:val="18"/>
    </w:rPr>
  </w:style>
  <w:style w:type="paragraph" w:styleId="3">
    <w:name w:val="footer"/>
    <w:basedOn w:val="1"/>
    <w:link w:val="10"/>
    <w:unhideWhenUsed/>
    <w:qFormat/>
    <w:uiPriority w:val="99"/>
    <w:pPr>
      <w:tabs>
        <w:tab w:val="center" w:pos="4153"/>
        <w:tab w:val="right" w:pos="8306"/>
      </w:tabs>
      <w:spacing w:line="240" w:lineRule="atLeast"/>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pacing w:line="240" w:lineRule="atLeast"/>
      <w:jc w:val="center"/>
    </w:pPr>
    <w:rPr>
      <w:sz w:val="18"/>
      <w:szCs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Strong"/>
    <w:basedOn w:val="7"/>
    <w:qFormat/>
    <w:uiPriority w:val="22"/>
    <w:rPr>
      <w:b/>
    </w:rPr>
  </w:style>
  <w:style w:type="character" w:customStyle="1" w:styleId="9">
    <w:name w:val="页眉 Char"/>
    <w:basedOn w:val="7"/>
    <w:link w:val="4"/>
    <w:qFormat/>
    <w:uiPriority w:val="99"/>
    <w:rPr>
      <w:rFonts w:ascii="Times New Roman" w:hAnsi="Times New Roman" w:eastAsia="方正仿宋_GBK" w:cs="Times New Roman"/>
      <w:snapToGrid w:val="0"/>
      <w:kern w:val="0"/>
      <w:sz w:val="18"/>
      <w:szCs w:val="18"/>
    </w:rPr>
  </w:style>
  <w:style w:type="character" w:customStyle="1" w:styleId="10">
    <w:name w:val="页脚 Char"/>
    <w:basedOn w:val="7"/>
    <w:link w:val="3"/>
    <w:qFormat/>
    <w:uiPriority w:val="99"/>
    <w:rPr>
      <w:rFonts w:ascii="Times New Roman" w:hAnsi="Times New Roman" w:eastAsia="方正仿宋_GBK" w:cs="Times New Roman"/>
      <w:snapToGrid w:val="0"/>
      <w:kern w:val="0"/>
      <w:sz w:val="18"/>
      <w:szCs w:val="18"/>
    </w:rPr>
  </w:style>
  <w:style w:type="character" w:customStyle="1" w:styleId="11">
    <w:name w:val="批注框文本 Char"/>
    <w:basedOn w:val="7"/>
    <w:link w:val="2"/>
    <w:semiHidden/>
    <w:qFormat/>
    <w:uiPriority w:val="99"/>
    <w:rPr>
      <w:rFonts w:eastAsia="方正仿宋_GBK"/>
      <w:snapToGrid w:val="0"/>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gq</Company>
  <Pages>8</Pages>
  <Words>561</Words>
  <Characters>3203</Characters>
  <Lines>26</Lines>
  <Paragraphs>7</Paragraphs>
  <TotalTime>59</TotalTime>
  <ScaleCrop>false</ScaleCrop>
  <LinksUpToDate>false</LinksUpToDate>
  <CharactersWithSpaces>3757</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2022-01-02T01:04:00Z</dcterms:created>
  <dc:creator>lb</dc:creator>
  <cp:lastModifiedBy>W.</cp:lastModifiedBy>
  <dcterms:modified xsi:type="dcterms:W3CDTF">2022-01-24T02:18:43Z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5EEFE9F08E874F6481D608201A05FD99</vt:lpwstr>
  </property>
</Properties>
</file>