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高青县发展和改革局2019年政府信息公开工作年度报告</w:t>
      </w:r>
    </w:p>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本报告按照《中华人民共和国政府信息公开条例》（以下简称《条例》）和《山东省政府信息公开办法》（以下简称《办法》）规定，由高青县发展和改革局政府信息公开工作情况编制。</w:t>
      </w:r>
    </w:p>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报告全文由总体情况，主动公开政府信息情况，收到和处理政府信息公开申请情况，政府信息公开行政复议、行政诉讼情况，存在的主要问题及改进情况，其他需要报告的事项6个部分组成。</w:t>
      </w:r>
    </w:p>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报告中所列数据统计期限自2019年1月1日始，至2019年12月31日止。报告电子版可在高青县人民政府门户网站（</w:t>
      </w:r>
      <w:r>
        <w:rPr>
          <w:rFonts w:ascii="Arial" w:hAnsi="Arial" w:eastAsia="宋体" w:cs="Arial"/>
          <w:color w:val="0000FF"/>
          <w:kern w:val="0"/>
          <w:u w:val="none"/>
        </w:rPr>
        <w:t>www.gaoqing.gov.cn</w:t>
      </w:r>
      <w:r>
        <w:rPr>
          <w:rFonts w:ascii="Arial" w:hAnsi="Arial" w:eastAsia="宋体" w:cs="Arial"/>
          <w:color w:val="000000"/>
          <w:kern w:val="0"/>
          <w:szCs w:val="21"/>
        </w:rPr>
        <w:t>）查阅和下载。如对报告内容有疑问，请与高青县发展和改革局联系（地址：高青县城黄河路99号；邮编：256300；电话：0533-6967153；传真：0533-6967153）。</w:t>
      </w:r>
      <w:bookmarkStart w:id="0" w:name="_GoBack"/>
      <w:bookmarkEnd w:id="0"/>
    </w:p>
    <w:p>
      <w:pPr>
        <w:widowControl/>
        <w:spacing w:before="75" w:after="75"/>
        <w:ind w:firstLine="480"/>
        <w:jc w:val="left"/>
        <w:rPr>
          <w:rFonts w:ascii="Arial" w:hAnsi="Arial" w:eastAsia="宋体" w:cs="Arial"/>
          <w:color w:val="000000"/>
          <w:kern w:val="0"/>
          <w:szCs w:val="21"/>
        </w:rPr>
      </w:pPr>
      <w:r>
        <w:rPr>
          <w:rFonts w:hint="eastAsia" w:ascii="Arial" w:hAnsi="Arial" w:eastAsia="宋体" w:cs="Arial"/>
          <w:color w:val="000000"/>
          <w:kern w:val="0"/>
          <w:szCs w:val="21"/>
        </w:rPr>
        <w:t>一、总体情况</w:t>
      </w:r>
    </w:p>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2019年，高青县发展和改革局继续深入贯彻《中华人民共和国政府信息公开条例》，认真落实《国务院办公厅关于印发2019年政务公开工作要点的通知》（国办发〔2019〕14号）、《山东省人民政府办公厅关于印发2019年山东省政务公开工作要点的通知》（鲁政办发〔2019〕15号）和《淄博市人民政府办公室关于印发2019年淄博市政务公开工作方案的通知》（淄政办发〔2019〕5号）部署的各项任务，紧紧围绕县委、县政府中心工作及群众关注关切，将政府信息公开工作与日常的信息工作、电子政务工作相结合，确保工作有专门工作人员承办，责任到人，层层落实，把信息公开工作作为依法行政、科学发展、保障公民权利、服务企业的重要举措，坚持以公开为常态、不公开为例外，推动行政权力全过程公开、公共服务全流程公开、社会关切全方位回应，切实提高群众满意度、获得感。</w:t>
      </w:r>
    </w:p>
    <w:p>
      <w:pPr>
        <w:widowControl/>
        <w:spacing w:before="75" w:after="75"/>
        <w:ind w:firstLine="480"/>
        <w:jc w:val="left"/>
        <w:rPr>
          <w:rFonts w:ascii="Arial" w:hAnsi="Arial" w:eastAsia="宋体" w:cs="Arial"/>
          <w:color w:val="000000"/>
          <w:kern w:val="0"/>
          <w:szCs w:val="21"/>
        </w:rPr>
      </w:pPr>
      <w:r>
        <w:rPr>
          <w:rFonts w:hint="eastAsia" w:ascii="Arial" w:hAnsi="Arial" w:eastAsia="宋体" w:cs="Arial"/>
          <w:color w:val="000000"/>
          <w:kern w:val="0"/>
          <w:szCs w:val="21"/>
        </w:rPr>
        <w:t>（</w:t>
      </w:r>
      <w:r>
        <w:rPr>
          <w:rFonts w:ascii="Arial" w:hAnsi="Arial" w:eastAsia="宋体" w:cs="Arial"/>
          <w:color w:val="000000"/>
          <w:kern w:val="0"/>
          <w:szCs w:val="21"/>
        </w:rPr>
        <w:t>一</w:t>
      </w:r>
      <w:r>
        <w:rPr>
          <w:rFonts w:hint="eastAsia" w:ascii="Arial" w:hAnsi="Arial" w:eastAsia="宋体" w:cs="Arial"/>
          <w:color w:val="000000"/>
          <w:kern w:val="0"/>
          <w:szCs w:val="21"/>
        </w:rPr>
        <w:t>）体制机制建设</w:t>
      </w:r>
      <w:r>
        <w:rPr>
          <w:rFonts w:ascii="Arial" w:hAnsi="Arial" w:eastAsia="宋体" w:cs="Arial"/>
          <w:color w:val="000000"/>
          <w:kern w:val="0"/>
          <w:szCs w:val="21"/>
        </w:rPr>
        <w:t>情况</w:t>
      </w:r>
    </w:p>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我局高度重视政务公开工作，建立健全工作机制，进一步加强政府信息公开工作领导小组职能，由主要领导担任领导小组组长，班子其他成员为副组长，相关科室负责人为成员，并由一名分管领导兼任领导小组办公室主任，明确局办公室为处理信息公开事务的牵头责任科室，为做好政府信息公开工作提供了组织保障，确保了我局信息公开工作的顺利开展。</w:t>
      </w:r>
    </w:p>
    <w:p>
      <w:pPr>
        <w:widowControl/>
        <w:spacing w:before="75" w:after="75"/>
        <w:ind w:firstLine="480"/>
        <w:jc w:val="left"/>
        <w:rPr>
          <w:rFonts w:ascii="Arial" w:hAnsi="Arial" w:eastAsia="宋体" w:cs="Arial"/>
          <w:color w:val="000000"/>
          <w:kern w:val="0"/>
          <w:szCs w:val="21"/>
        </w:rPr>
      </w:pPr>
      <w:r>
        <w:rPr>
          <w:rFonts w:hint="eastAsia" w:ascii="Arial" w:hAnsi="Arial" w:eastAsia="宋体" w:cs="Arial"/>
          <w:color w:val="000000"/>
          <w:kern w:val="0"/>
          <w:szCs w:val="21"/>
        </w:rPr>
        <w:t>（二）主动公开政府信息情况</w:t>
      </w:r>
    </w:p>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做好人大代表建议和政协委员提案办理结果公开。按照《高青县人民政府办公室关于做好2019年度政府系统建议提案办理工作的通知》（高政办字〔2019〕14号）要求，在县政府网站“建议提案办理”栏目主动公开人大代表建议和政协委员提案办理情况。2019年主动公开县政府承办的2件县人大代表建议、2件县政协委员提案的整体办理情况，对涉及公共利益、公众权益、社会关切及需要社会广泛知晓的建议和提案办理复文全文予以公开。</w:t>
      </w:r>
    </w:p>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聚焦重点领域扩大公开。一是做好营商环境领域重点领域信息公开。我单位严格按照《政府核准的投资项目目录》（2016年本）、《山东省政府核准的投资项目目录》（山东省2017年本）、《企业投资项目核准和备案管理办法》（国家发改委2号令）、《企业投资项目核准和备案管理条例》等管理规定，2019年完成项目立项260件，其中政府投资项目审批65件，企业投资项目备案188件，企业投资项目核准7件。依据信息公开要求，项目立项信息在高青县政务网进行了公开。二是做好社会信用体系建设信息公开。将《高青县社会信用体系建设实施意见》、《高青县人民政府关于建立完善守信联合激励和失信联合惩戒制度加快推进社会诚信建设的实施意见》等一系列信用建设工作文件在县政务网站公开，让更多的企业和个人了解社会信用体系建设工作。积极归集行政审批服务局、税务局等部门行政许可和行政处罚信息，按照要求上传至市公共信用信息平台（“信用淄博”），每月将各部门行政许可、行政处罚信息归集后，在县政务网站公示，协调20余个成员单位上报“双公示”信息一万余条。三是做好民生保障重点领域信息公开。通过“高青政务网”公开发布《高青县行政事业性收费标准目录清单》、《高青县涉企行政事业性收费标准目录清单》、《高青县县级政府定价经营服务性收费目录清单》、《高青县县级政府定价涉企经营服务性收费目录清单》、《关于印发山东省黄河滩区迁建规划的通知》《关于成立高青县黄河滩区脱贫迁建工程指挥部的通知》等文件。加大对我县滩区迁建工作宣传力度，通过电视台、报社等新闻媒体及时公布工程进展情况，2019年2月山东广播电视台播出“担当作为抓落实--高青：黄河滩区居民自主选择迁建方式报道”；2019年2月农民日报刊登“咱穷滩区的百姓要搬新家--山东省高青县黄河滩区迁建见闻”；2019年2月淄博新闻电视台播出“关于黄河滩区居民迁建专题二期报道”；2019年3月大众日报刊登“黄河滩区27个外迁社区28个新建村台全开工”；2019年12月新华社刊登“山东高青抓实产业配套解农民“上楼”之忧”，省、市、县媒体累计发布新闻报道100余篇。我县黄河滩区迁建方案编制、规划设计、房屋评估、施工监理等各环节均依法依规公开招投标，接受群众监督。</w:t>
      </w:r>
    </w:p>
    <w:p>
      <w:pPr>
        <w:widowControl/>
        <w:spacing w:before="75" w:after="75"/>
        <w:ind w:firstLine="480"/>
        <w:jc w:val="left"/>
        <w:rPr>
          <w:rFonts w:ascii="Arial" w:hAnsi="Arial" w:eastAsia="宋体" w:cs="Arial"/>
          <w:color w:val="000000"/>
          <w:kern w:val="0"/>
          <w:szCs w:val="21"/>
        </w:rPr>
      </w:pPr>
      <w:r>
        <w:rPr>
          <w:rFonts w:hint="eastAsia" w:ascii="Arial" w:hAnsi="Arial" w:eastAsia="宋体" w:cs="Arial"/>
          <w:color w:val="000000"/>
          <w:kern w:val="0"/>
          <w:szCs w:val="21"/>
        </w:rPr>
        <w:t>（三）依申请公开情况</w:t>
      </w:r>
    </w:p>
    <w:p>
      <w:pPr>
        <w:widowControl/>
        <w:spacing w:before="75" w:after="75"/>
        <w:ind w:firstLine="480"/>
        <w:jc w:val="left"/>
        <w:rPr>
          <w:rFonts w:ascii="Arial" w:hAnsi="Arial" w:eastAsia="宋体" w:cs="Arial"/>
          <w:color w:val="000000"/>
          <w:kern w:val="0"/>
          <w:szCs w:val="21"/>
        </w:rPr>
      </w:pPr>
      <w:r>
        <w:rPr>
          <w:rFonts w:hint="eastAsia" w:ascii="Arial" w:hAnsi="Arial" w:eastAsia="宋体" w:cs="Arial"/>
          <w:color w:val="000000"/>
          <w:kern w:val="0"/>
          <w:szCs w:val="21"/>
        </w:rPr>
        <w:t>对于申请的信息可以公开的，提供该政府信息，或者告知申请人获取该政府信息的方式、途径和时间；对于申请的信息不属于本机关公开范围的，告知申请人并说明理由，能够确定公开机关的，告知申请人该机关的名称和联系方式；对于较为复杂的申请件，主动与申请人沟通，了解群众需求，避免因误解引起行政复议或行政诉讼。</w:t>
      </w:r>
    </w:p>
    <w:p>
      <w:pPr>
        <w:widowControl/>
        <w:spacing w:before="75" w:after="75"/>
        <w:ind w:firstLine="480"/>
        <w:jc w:val="left"/>
        <w:rPr>
          <w:rFonts w:ascii="Arial" w:hAnsi="Arial" w:eastAsia="宋体" w:cs="Arial"/>
          <w:color w:val="000000"/>
          <w:kern w:val="0"/>
          <w:szCs w:val="21"/>
        </w:rPr>
      </w:pPr>
      <w:r>
        <w:rPr>
          <w:rFonts w:hint="eastAsia" w:ascii="Arial" w:hAnsi="Arial" w:eastAsia="宋体" w:cs="Arial"/>
          <w:color w:val="000000"/>
          <w:kern w:val="0"/>
          <w:szCs w:val="21"/>
        </w:rPr>
        <w:t>1.收到和处理政府信息公开申请情况</w:t>
      </w:r>
    </w:p>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2019年度，全县各级各部门各单位共收到政府信息公开申请2件，结转下年度继续办理0件，上年结转政府信息公开申请0件。</w:t>
      </w:r>
    </w:p>
    <w:p>
      <w:pPr>
        <w:widowControl/>
        <w:spacing w:before="75" w:after="75"/>
        <w:ind w:firstLine="480"/>
        <w:jc w:val="left"/>
        <w:rPr>
          <w:rFonts w:ascii="Arial" w:hAnsi="Arial" w:eastAsia="宋体" w:cs="Arial"/>
          <w:color w:val="000000"/>
          <w:kern w:val="0"/>
          <w:szCs w:val="21"/>
        </w:rPr>
      </w:pPr>
      <w:r>
        <w:rPr>
          <w:rFonts w:hint="eastAsia" w:ascii="Arial" w:hAnsi="Arial" w:eastAsia="宋体" w:cs="Arial"/>
          <w:color w:val="000000"/>
          <w:kern w:val="0"/>
          <w:szCs w:val="21"/>
        </w:rPr>
        <w:t>2.收费及减免情况</w:t>
      </w:r>
    </w:p>
    <w:p>
      <w:pPr>
        <w:widowControl/>
        <w:spacing w:before="75" w:after="75"/>
        <w:ind w:firstLine="480"/>
        <w:jc w:val="left"/>
        <w:rPr>
          <w:rFonts w:ascii="Arial" w:hAnsi="Arial" w:eastAsia="宋体" w:cs="Arial"/>
          <w:color w:val="000000"/>
          <w:kern w:val="0"/>
          <w:szCs w:val="21"/>
        </w:rPr>
      </w:pPr>
      <w:r>
        <w:rPr>
          <w:rFonts w:hint="eastAsia" w:ascii="Arial" w:hAnsi="Arial" w:eastAsia="宋体" w:cs="Arial"/>
          <w:color w:val="000000"/>
          <w:kern w:val="0"/>
          <w:szCs w:val="21"/>
        </w:rPr>
        <w:t>本年度，全县各级各部门在政府信息公开申请办理过程中，未收取任何费用。</w:t>
      </w:r>
    </w:p>
    <w:p>
      <w:pPr>
        <w:widowControl/>
        <w:spacing w:before="75" w:after="75"/>
        <w:ind w:firstLine="480"/>
        <w:jc w:val="left"/>
        <w:rPr>
          <w:rFonts w:ascii="Arial" w:hAnsi="Arial" w:eastAsia="宋体" w:cs="Arial"/>
          <w:color w:val="000000"/>
          <w:kern w:val="0"/>
          <w:szCs w:val="21"/>
        </w:rPr>
      </w:pPr>
      <w:r>
        <w:rPr>
          <w:rFonts w:hint="eastAsia" w:ascii="Arial" w:hAnsi="Arial" w:eastAsia="宋体" w:cs="Arial"/>
          <w:color w:val="000000"/>
          <w:kern w:val="0"/>
          <w:szCs w:val="21"/>
        </w:rPr>
        <w:t>3.政府信息公开行政复议、行政诉讼情况</w:t>
      </w:r>
    </w:p>
    <w:p>
      <w:pPr>
        <w:widowControl/>
        <w:spacing w:before="75" w:after="75"/>
        <w:ind w:firstLine="480"/>
        <w:jc w:val="left"/>
        <w:rPr>
          <w:rFonts w:ascii="Arial" w:hAnsi="Arial" w:eastAsia="宋体" w:cs="Arial"/>
          <w:color w:val="000000"/>
          <w:kern w:val="0"/>
          <w:szCs w:val="21"/>
        </w:rPr>
      </w:pPr>
      <w:r>
        <w:rPr>
          <w:rFonts w:hint="eastAsia" w:ascii="Arial" w:hAnsi="Arial" w:eastAsia="宋体" w:cs="Arial"/>
          <w:color w:val="000000"/>
          <w:kern w:val="0"/>
          <w:szCs w:val="21"/>
        </w:rPr>
        <w:t>2019年，共发生政府信息公开行政复议0件。</w:t>
      </w:r>
    </w:p>
    <w:p>
      <w:pPr>
        <w:widowControl/>
        <w:spacing w:before="75" w:after="75"/>
        <w:ind w:firstLine="480"/>
        <w:jc w:val="left"/>
        <w:rPr>
          <w:rFonts w:ascii="Arial" w:hAnsi="Arial" w:eastAsia="宋体" w:cs="Arial"/>
          <w:color w:val="000000"/>
          <w:kern w:val="0"/>
          <w:szCs w:val="21"/>
        </w:rPr>
      </w:pPr>
      <w:r>
        <w:rPr>
          <w:rFonts w:hint="eastAsia" w:ascii="Arial" w:hAnsi="Arial" w:eastAsia="宋体" w:cs="Arial"/>
          <w:color w:val="000000"/>
          <w:kern w:val="0"/>
          <w:szCs w:val="21"/>
        </w:rPr>
        <w:t>（四）政府信息管理情况</w:t>
      </w:r>
    </w:p>
    <w:p>
      <w:pPr>
        <w:widowControl/>
        <w:spacing w:before="75" w:after="75"/>
        <w:ind w:firstLine="480"/>
        <w:jc w:val="left"/>
        <w:rPr>
          <w:rFonts w:ascii="Arial" w:hAnsi="Arial" w:eastAsia="宋体" w:cs="Arial"/>
          <w:color w:val="000000"/>
          <w:kern w:val="0"/>
          <w:szCs w:val="21"/>
        </w:rPr>
      </w:pPr>
      <w:r>
        <w:rPr>
          <w:rFonts w:hint="eastAsia" w:ascii="Arial" w:hAnsi="Arial" w:eastAsia="宋体" w:cs="Arial"/>
          <w:color w:val="000000"/>
          <w:kern w:val="0"/>
          <w:szCs w:val="21"/>
        </w:rPr>
        <w:t>一是加强政府信息规范管理，进一步梳理单位产生的各类政府信息，及时进行更新，定期维护和复查，确保公开信息的时效性、完整性和准确性。</w:t>
      </w:r>
    </w:p>
    <w:p>
      <w:pPr>
        <w:widowControl/>
        <w:spacing w:before="75" w:after="75"/>
        <w:ind w:firstLine="480"/>
        <w:jc w:val="left"/>
        <w:rPr>
          <w:rFonts w:ascii="Arial" w:hAnsi="Arial" w:eastAsia="宋体" w:cs="Arial"/>
          <w:color w:val="000000"/>
          <w:kern w:val="0"/>
          <w:szCs w:val="21"/>
        </w:rPr>
      </w:pPr>
      <w:r>
        <w:rPr>
          <w:rFonts w:hint="eastAsia" w:ascii="Arial" w:hAnsi="Arial" w:eastAsia="宋体" w:cs="Arial"/>
          <w:color w:val="000000"/>
          <w:kern w:val="0"/>
          <w:szCs w:val="21"/>
        </w:rPr>
        <w:t>二是加强政府信息公开培训，按要求参与市县主管部门组织的培训，提高从业人员的业务素质，打造一支业务过硬、作风严谨的工作队伍。</w:t>
      </w:r>
    </w:p>
    <w:p>
      <w:pPr>
        <w:widowControl/>
        <w:spacing w:before="75" w:after="75"/>
        <w:ind w:firstLine="480"/>
        <w:jc w:val="left"/>
        <w:rPr>
          <w:rFonts w:ascii="Arial" w:hAnsi="Arial" w:eastAsia="宋体" w:cs="Arial"/>
          <w:color w:val="000000"/>
          <w:kern w:val="0"/>
          <w:szCs w:val="21"/>
        </w:rPr>
      </w:pPr>
      <w:r>
        <w:rPr>
          <w:rFonts w:hint="eastAsia" w:ascii="Arial" w:hAnsi="Arial" w:eastAsia="宋体" w:cs="Arial"/>
          <w:color w:val="000000"/>
          <w:kern w:val="0"/>
          <w:szCs w:val="21"/>
        </w:rPr>
        <w:t>（五）政府信息公开平台、机构建设和人员情况</w:t>
      </w:r>
    </w:p>
    <w:p>
      <w:pPr>
        <w:widowControl/>
        <w:spacing w:before="75" w:after="75"/>
        <w:ind w:firstLine="480"/>
        <w:jc w:val="left"/>
        <w:rPr>
          <w:rFonts w:ascii="Arial" w:hAnsi="Arial" w:eastAsia="宋体" w:cs="Arial"/>
          <w:color w:val="000000"/>
          <w:kern w:val="0"/>
          <w:szCs w:val="21"/>
        </w:rPr>
      </w:pPr>
      <w:r>
        <w:rPr>
          <w:rFonts w:hint="eastAsia" w:ascii="Arial" w:hAnsi="Arial" w:eastAsia="宋体" w:cs="Arial"/>
          <w:color w:val="000000"/>
          <w:kern w:val="0"/>
          <w:szCs w:val="21"/>
        </w:rPr>
        <w:t>一是加强平台建设。强化县政府门户网站政务公开第一平台作用，完善政府信息公开目录，加大重点领域信息公开力度。统筹推进政务新媒体与政府网站的协同联动、融合发展，提升信息发布、解读回应、政民互动、办事服务的整体水平。</w:t>
      </w:r>
    </w:p>
    <w:p>
      <w:pPr>
        <w:widowControl/>
        <w:spacing w:before="75" w:after="75"/>
        <w:ind w:firstLine="480"/>
        <w:jc w:val="left"/>
        <w:rPr>
          <w:rFonts w:ascii="Arial" w:hAnsi="Arial" w:eastAsia="宋体" w:cs="Arial"/>
          <w:color w:val="000000"/>
          <w:kern w:val="0"/>
          <w:szCs w:val="21"/>
        </w:rPr>
      </w:pPr>
      <w:r>
        <w:rPr>
          <w:rFonts w:hint="eastAsia" w:ascii="Arial" w:hAnsi="Arial" w:eastAsia="宋体" w:cs="Arial"/>
          <w:color w:val="000000"/>
          <w:kern w:val="0"/>
          <w:szCs w:val="21"/>
        </w:rPr>
        <w:t>二是强化机构建设。办公室作为单位政府信息公开工作部门，统筹负责单位信息公开组织协调、指导推进、监督检查等工作。2人负责政务公开工作，其中1人专职，1人兼职。</w:t>
      </w:r>
    </w:p>
    <w:p>
      <w:pPr>
        <w:widowControl/>
        <w:spacing w:before="75" w:after="75"/>
        <w:ind w:firstLine="480"/>
        <w:jc w:val="left"/>
        <w:rPr>
          <w:rFonts w:ascii="Arial" w:hAnsi="Arial" w:eastAsia="宋体" w:cs="Arial"/>
          <w:color w:val="000000"/>
          <w:kern w:val="0"/>
          <w:szCs w:val="21"/>
        </w:rPr>
      </w:pPr>
      <w:r>
        <w:rPr>
          <w:rFonts w:hint="eastAsia" w:ascii="Arial" w:hAnsi="Arial" w:eastAsia="宋体" w:cs="Arial"/>
          <w:color w:val="000000"/>
          <w:kern w:val="0"/>
          <w:szCs w:val="21"/>
        </w:rPr>
        <w:t>（六）监督保障情况</w:t>
      </w:r>
    </w:p>
    <w:p>
      <w:pPr>
        <w:widowControl/>
        <w:spacing w:before="75" w:after="75"/>
        <w:ind w:firstLine="480"/>
        <w:jc w:val="left"/>
        <w:rPr>
          <w:rFonts w:ascii="Arial" w:hAnsi="Arial" w:eastAsia="宋体" w:cs="Arial"/>
          <w:color w:val="000000"/>
          <w:kern w:val="0"/>
          <w:szCs w:val="21"/>
        </w:rPr>
      </w:pPr>
      <w:r>
        <w:rPr>
          <w:rFonts w:hint="eastAsia" w:ascii="Arial" w:hAnsi="Arial" w:eastAsia="宋体" w:cs="Arial"/>
          <w:color w:val="000000"/>
          <w:kern w:val="0"/>
          <w:szCs w:val="21"/>
        </w:rPr>
        <w:t>一是加强工作考核。按照“谁主管、谁公开、谁负责”的原则，把政府信息公开工作纳入各业务科室年度考核内容，应当公开的及时公开，形成公开透明的良好工作作风。</w:t>
      </w:r>
    </w:p>
    <w:p>
      <w:pPr>
        <w:widowControl/>
        <w:spacing w:before="75" w:after="75"/>
        <w:ind w:firstLine="480"/>
        <w:jc w:val="left"/>
        <w:rPr>
          <w:rFonts w:hint="eastAsia" w:ascii="Arial" w:hAnsi="Arial" w:eastAsia="宋体" w:cs="Arial"/>
          <w:color w:val="000000"/>
          <w:kern w:val="0"/>
          <w:szCs w:val="21"/>
        </w:rPr>
      </w:pPr>
      <w:r>
        <w:rPr>
          <w:rFonts w:hint="eastAsia" w:ascii="Arial" w:hAnsi="Arial" w:eastAsia="宋体" w:cs="Arial"/>
          <w:color w:val="000000"/>
          <w:kern w:val="0"/>
          <w:szCs w:val="21"/>
        </w:rPr>
        <w:t>二是强化责任追究。推进考核常态化长效化，推动实现工作向更好的目标或方向发展。对思想上不重视、不按规定公开的情况，及时追究相关责任人责任，坚决杜绝相关问题的发生。</w:t>
      </w:r>
    </w:p>
    <w:p>
      <w:pPr>
        <w:widowControl/>
        <w:spacing w:before="75" w:after="75"/>
        <w:ind w:firstLine="480"/>
        <w:jc w:val="left"/>
        <w:rPr>
          <w:rFonts w:ascii="Arial" w:hAnsi="Arial" w:eastAsia="宋体" w:cs="Arial"/>
          <w:color w:val="000000"/>
          <w:kern w:val="0"/>
          <w:szCs w:val="21"/>
        </w:rPr>
      </w:pPr>
      <w:r>
        <w:rPr>
          <w:rFonts w:ascii="Arial" w:hAnsi="Arial" w:eastAsia="宋体" w:cs="Arial"/>
          <w:color w:val="0000FF"/>
          <w:kern w:val="0"/>
          <w:szCs w:val="21"/>
        </w:rPr>
        <w:drawing>
          <wp:inline distT="0" distB="0" distL="0" distR="0">
            <wp:extent cx="4572000" cy="2705100"/>
            <wp:effectExtent l="19050" t="0" r="0" b="0"/>
            <wp:docPr id="1" name="图片 1" descr="http://www.zibo.gov.cn/jcms/jcms_files/jcms1/web58/site/picture/0/46ed4a355f954f1f9d5c27c00644348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zibo.gov.cn/jcms/jcms_files/jcms1/web58/site/picture/0/46ed4a355f954f1f9d5c27c006443481.png"/>
                    <pic:cNvPicPr>
                      <a:picLocks noChangeAspect="1" noChangeArrowheads="1"/>
                    </pic:cNvPicPr>
                  </pic:nvPicPr>
                  <pic:blipFill>
                    <a:blip r:embed="rId5" cstate="print"/>
                    <a:srcRect/>
                    <a:stretch>
                      <a:fillRect/>
                    </a:stretch>
                  </pic:blipFill>
                  <pic:spPr>
                    <a:xfrm>
                      <a:off x="0" y="0"/>
                      <a:ext cx="4572000" cy="2705100"/>
                    </a:xfrm>
                    <a:prstGeom prst="rect">
                      <a:avLst/>
                    </a:prstGeom>
                    <a:noFill/>
                    <a:ln w="9525">
                      <a:noFill/>
                      <a:miter lim="800000"/>
                      <a:headEnd/>
                      <a:tailEnd/>
                    </a:ln>
                  </pic:spPr>
                </pic:pic>
              </a:graphicData>
            </a:graphic>
          </wp:inline>
        </w:drawing>
      </w:r>
    </w:p>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二、主动公开政府信息情况</w:t>
      </w:r>
    </w:p>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2019年，全县各级制发政府规章0件，规范性文件0件，行政许可、行政处罚、行政强制、行政事业性收费、政府集中采购等事项公开情况详见下表。</w:t>
      </w:r>
    </w:p>
    <w:tbl>
      <w:tblPr>
        <w:tblStyle w:val="6"/>
        <w:tblW w:w="0" w:type="auto"/>
        <w:jc w:val="center"/>
        <w:tblLayout w:type="autofit"/>
        <w:tblCellMar>
          <w:top w:w="15" w:type="dxa"/>
          <w:left w:w="15" w:type="dxa"/>
          <w:bottom w:w="15" w:type="dxa"/>
          <w:right w:w="15" w:type="dxa"/>
        </w:tblCellMar>
      </w:tblPr>
      <w:tblGrid>
        <w:gridCol w:w="2567"/>
        <w:gridCol w:w="1896"/>
        <w:gridCol w:w="1931"/>
        <w:gridCol w:w="2122"/>
      </w:tblGrid>
      <w:tr>
        <w:tblPrEx>
          <w:tblCellMar>
            <w:top w:w="15" w:type="dxa"/>
            <w:left w:w="15" w:type="dxa"/>
            <w:bottom w:w="15" w:type="dxa"/>
            <w:right w:w="15" w:type="dxa"/>
          </w:tblCellMar>
        </w:tblPrEx>
        <w:trPr>
          <w:trHeight w:val="480" w:hRule="atLeast"/>
          <w:jc w:val="center"/>
        </w:trPr>
        <w:tc>
          <w:tcPr>
            <w:tcW w:w="8516" w:type="dxa"/>
            <w:gridSpan w:val="4"/>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wordWrap w:val="0"/>
              <w:jc w:val="center"/>
              <w:rPr>
                <w:rFonts w:ascii="Arial" w:hAnsi="Arial" w:eastAsia="宋体" w:cs="Arial"/>
                <w:color w:val="000000"/>
                <w:kern w:val="0"/>
                <w:szCs w:val="21"/>
              </w:rPr>
            </w:pPr>
            <w:r>
              <w:rPr>
                <w:rFonts w:hint="eastAsia" w:ascii="宋体" w:hAnsi="宋体" w:eastAsia="宋体" w:cs="Arial"/>
                <w:color w:val="000000"/>
                <w:kern w:val="0"/>
                <w:sz w:val="24"/>
                <w:szCs w:val="24"/>
              </w:rPr>
              <w:t>第二十条第（一）项</w:t>
            </w:r>
          </w:p>
        </w:tc>
      </w:tr>
      <w:tr>
        <w:tblPrEx>
          <w:tblCellMar>
            <w:top w:w="15" w:type="dxa"/>
            <w:left w:w="15" w:type="dxa"/>
            <w:bottom w:w="15" w:type="dxa"/>
            <w:right w:w="15" w:type="dxa"/>
          </w:tblCellMar>
        </w:tblPrEx>
        <w:trPr>
          <w:trHeight w:val="555" w:hRule="atLeast"/>
          <w:jc w:val="center"/>
        </w:trPr>
        <w:tc>
          <w:tcPr>
            <w:tcW w:w="256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jc w:val="center"/>
              <w:rPr>
                <w:rFonts w:ascii="Arial" w:hAnsi="Arial" w:eastAsia="宋体" w:cs="Arial"/>
                <w:color w:val="000000"/>
                <w:kern w:val="0"/>
                <w:szCs w:val="21"/>
              </w:rPr>
            </w:pPr>
            <w:r>
              <w:rPr>
                <w:rFonts w:hint="eastAsia" w:ascii="宋体" w:hAnsi="宋体" w:eastAsia="宋体" w:cs="Arial"/>
                <w:color w:val="000000"/>
                <w:kern w:val="0"/>
                <w:sz w:val="24"/>
                <w:szCs w:val="24"/>
              </w:rPr>
              <w:t>信息内容</w:t>
            </w:r>
          </w:p>
        </w:tc>
        <w:tc>
          <w:tcPr>
            <w:tcW w:w="189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jc w:val="center"/>
              <w:rPr>
                <w:rFonts w:ascii="Arial" w:hAnsi="Arial" w:eastAsia="宋体" w:cs="Arial"/>
                <w:color w:val="000000"/>
                <w:kern w:val="0"/>
                <w:szCs w:val="21"/>
              </w:rPr>
            </w:pPr>
            <w:r>
              <w:rPr>
                <w:rFonts w:hint="eastAsia" w:ascii="宋体" w:hAnsi="宋体" w:eastAsia="宋体" w:cs="Arial"/>
                <w:color w:val="000000"/>
                <w:kern w:val="0"/>
                <w:sz w:val="24"/>
                <w:szCs w:val="24"/>
              </w:rPr>
              <w:t>本年新制作数量</w:t>
            </w:r>
          </w:p>
        </w:tc>
        <w:tc>
          <w:tcPr>
            <w:tcW w:w="193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jc w:val="center"/>
              <w:rPr>
                <w:rFonts w:ascii="Arial" w:hAnsi="Arial" w:eastAsia="宋体" w:cs="Arial"/>
                <w:color w:val="000000"/>
                <w:kern w:val="0"/>
                <w:szCs w:val="21"/>
              </w:rPr>
            </w:pPr>
            <w:r>
              <w:rPr>
                <w:rFonts w:hint="eastAsia" w:ascii="宋体" w:hAnsi="宋体" w:eastAsia="宋体" w:cs="Arial"/>
                <w:color w:val="000000"/>
                <w:kern w:val="0"/>
                <w:sz w:val="24"/>
                <w:szCs w:val="24"/>
              </w:rPr>
              <w:t>本年新</w:t>
            </w:r>
          </w:p>
          <w:p>
            <w:pPr>
              <w:widowControl/>
              <w:wordWrap w:val="0"/>
              <w:jc w:val="center"/>
              <w:rPr>
                <w:rFonts w:ascii="Arial" w:hAnsi="Arial" w:eastAsia="宋体" w:cs="Arial"/>
                <w:color w:val="000000"/>
                <w:kern w:val="0"/>
                <w:szCs w:val="21"/>
              </w:rPr>
            </w:pPr>
            <w:r>
              <w:rPr>
                <w:rFonts w:hint="eastAsia" w:ascii="宋体" w:hAnsi="宋体" w:eastAsia="宋体" w:cs="Arial"/>
                <w:color w:val="000000"/>
                <w:kern w:val="0"/>
                <w:sz w:val="24"/>
                <w:szCs w:val="24"/>
              </w:rPr>
              <w:t>公开数量</w:t>
            </w:r>
          </w:p>
        </w:tc>
        <w:tc>
          <w:tcPr>
            <w:tcW w:w="2122"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jc w:val="center"/>
              <w:rPr>
                <w:rFonts w:ascii="Arial" w:hAnsi="Arial" w:eastAsia="宋体" w:cs="Arial"/>
                <w:color w:val="000000"/>
                <w:kern w:val="0"/>
                <w:szCs w:val="21"/>
              </w:rPr>
            </w:pPr>
            <w:r>
              <w:rPr>
                <w:rFonts w:hint="eastAsia" w:ascii="宋体" w:hAnsi="宋体" w:eastAsia="宋体" w:cs="Arial"/>
                <w:color w:val="000000"/>
                <w:kern w:val="0"/>
                <w:sz w:val="24"/>
                <w:szCs w:val="24"/>
              </w:rPr>
              <w:t>对外公开</w:t>
            </w:r>
          </w:p>
          <w:p>
            <w:pPr>
              <w:widowControl/>
              <w:wordWrap w:val="0"/>
              <w:jc w:val="center"/>
              <w:rPr>
                <w:rFonts w:ascii="Arial" w:hAnsi="Arial" w:eastAsia="宋体" w:cs="Arial"/>
                <w:color w:val="000000"/>
                <w:kern w:val="0"/>
                <w:szCs w:val="21"/>
              </w:rPr>
            </w:pPr>
            <w:r>
              <w:rPr>
                <w:rFonts w:hint="eastAsia" w:ascii="宋体" w:hAnsi="宋体" w:eastAsia="宋体" w:cs="Arial"/>
                <w:color w:val="000000"/>
                <w:kern w:val="0"/>
                <w:sz w:val="24"/>
                <w:szCs w:val="24"/>
              </w:rPr>
              <w:t>总数量</w:t>
            </w:r>
          </w:p>
        </w:tc>
      </w:tr>
      <w:tr>
        <w:tblPrEx>
          <w:tblCellMar>
            <w:top w:w="15" w:type="dxa"/>
            <w:left w:w="15" w:type="dxa"/>
            <w:bottom w:w="15" w:type="dxa"/>
            <w:right w:w="15" w:type="dxa"/>
          </w:tblCellMar>
        </w:tblPrEx>
        <w:trPr>
          <w:trHeight w:val="555" w:hRule="atLeast"/>
          <w:jc w:val="center"/>
        </w:trPr>
        <w:tc>
          <w:tcPr>
            <w:tcW w:w="256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4"/>
                <w:szCs w:val="24"/>
              </w:rPr>
              <w:t>规章</w:t>
            </w:r>
          </w:p>
        </w:tc>
        <w:tc>
          <w:tcPr>
            <w:tcW w:w="189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4"/>
                <w:szCs w:val="24"/>
              </w:rPr>
              <w:t>0</w:t>
            </w:r>
          </w:p>
        </w:tc>
        <w:tc>
          <w:tcPr>
            <w:tcW w:w="193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4"/>
                <w:szCs w:val="24"/>
              </w:rPr>
              <w:t>0</w:t>
            </w:r>
          </w:p>
        </w:tc>
        <w:tc>
          <w:tcPr>
            <w:tcW w:w="2122"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4"/>
                <w:szCs w:val="24"/>
              </w:rPr>
              <w:t>0</w:t>
            </w:r>
          </w:p>
        </w:tc>
      </w:tr>
      <w:tr>
        <w:tblPrEx>
          <w:tblCellMar>
            <w:top w:w="15" w:type="dxa"/>
            <w:left w:w="15" w:type="dxa"/>
            <w:bottom w:w="15" w:type="dxa"/>
            <w:right w:w="15" w:type="dxa"/>
          </w:tblCellMar>
        </w:tblPrEx>
        <w:trPr>
          <w:trHeight w:val="555" w:hRule="atLeast"/>
          <w:jc w:val="center"/>
        </w:trPr>
        <w:tc>
          <w:tcPr>
            <w:tcW w:w="256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jc w:val="left"/>
              <w:rPr>
                <w:rFonts w:ascii="Arial" w:hAnsi="Arial" w:eastAsia="宋体" w:cs="Arial"/>
                <w:color w:val="000000"/>
                <w:kern w:val="0"/>
                <w:szCs w:val="21"/>
              </w:rPr>
            </w:pPr>
            <w:r>
              <w:rPr>
                <w:rFonts w:hint="eastAsia" w:ascii="宋体" w:hAnsi="宋体" w:eastAsia="宋体" w:cs="Arial"/>
                <w:color w:val="000000"/>
                <w:kern w:val="0"/>
                <w:sz w:val="24"/>
                <w:szCs w:val="24"/>
              </w:rPr>
              <w:t>规范性文件</w:t>
            </w:r>
          </w:p>
        </w:tc>
        <w:tc>
          <w:tcPr>
            <w:tcW w:w="189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4"/>
                <w:szCs w:val="24"/>
              </w:rPr>
              <w:t>0</w:t>
            </w:r>
          </w:p>
        </w:tc>
        <w:tc>
          <w:tcPr>
            <w:tcW w:w="193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4"/>
                <w:szCs w:val="24"/>
              </w:rPr>
              <w:t>0</w:t>
            </w:r>
          </w:p>
        </w:tc>
        <w:tc>
          <w:tcPr>
            <w:tcW w:w="2122"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4"/>
                <w:szCs w:val="24"/>
              </w:rPr>
              <w:t>0</w:t>
            </w:r>
          </w:p>
        </w:tc>
      </w:tr>
      <w:tr>
        <w:tblPrEx>
          <w:tblCellMar>
            <w:top w:w="15" w:type="dxa"/>
            <w:left w:w="15" w:type="dxa"/>
            <w:bottom w:w="15" w:type="dxa"/>
            <w:right w:w="15" w:type="dxa"/>
          </w:tblCellMar>
        </w:tblPrEx>
        <w:trPr>
          <w:trHeight w:val="540" w:hRule="atLeast"/>
          <w:jc w:val="center"/>
        </w:trPr>
        <w:tc>
          <w:tcPr>
            <w:tcW w:w="8516" w:type="dxa"/>
            <w:gridSpan w:val="4"/>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jc w:val="center"/>
              <w:rPr>
                <w:rFonts w:ascii="Arial" w:hAnsi="Arial" w:eastAsia="宋体" w:cs="Arial"/>
                <w:color w:val="000000"/>
                <w:kern w:val="0"/>
                <w:szCs w:val="21"/>
              </w:rPr>
            </w:pPr>
            <w:r>
              <w:rPr>
                <w:rFonts w:hint="eastAsia" w:ascii="宋体" w:hAnsi="宋体" w:eastAsia="宋体" w:cs="Arial"/>
                <w:color w:val="000000"/>
                <w:kern w:val="0"/>
                <w:sz w:val="24"/>
                <w:szCs w:val="24"/>
              </w:rPr>
              <w:t>第二十条第（五）项</w:t>
            </w:r>
          </w:p>
        </w:tc>
      </w:tr>
      <w:tr>
        <w:tblPrEx>
          <w:tblCellMar>
            <w:top w:w="15" w:type="dxa"/>
            <w:left w:w="15" w:type="dxa"/>
            <w:bottom w:w="15" w:type="dxa"/>
            <w:right w:w="15" w:type="dxa"/>
          </w:tblCellMar>
        </w:tblPrEx>
        <w:trPr>
          <w:trHeight w:val="630" w:hRule="atLeast"/>
          <w:jc w:val="center"/>
        </w:trPr>
        <w:tc>
          <w:tcPr>
            <w:tcW w:w="256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jc w:val="center"/>
              <w:rPr>
                <w:rFonts w:ascii="Arial" w:hAnsi="Arial" w:eastAsia="宋体" w:cs="Arial"/>
                <w:color w:val="000000"/>
                <w:kern w:val="0"/>
                <w:szCs w:val="21"/>
              </w:rPr>
            </w:pPr>
            <w:r>
              <w:rPr>
                <w:rFonts w:hint="eastAsia" w:ascii="宋体" w:hAnsi="宋体" w:eastAsia="宋体" w:cs="Arial"/>
                <w:color w:val="000000"/>
                <w:kern w:val="0"/>
                <w:sz w:val="24"/>
                <w:szCs w:val="24"/>
              </w:rPr>
              <w:t>信息内容</w:t>
            </w:r>
          </w:p>
        </w:tc>
        <w:tc>
          <w:tcPr>
            <w:tcW w:w="189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jc w:val="left"/>
              <w:rPr>
                <w:rFonts w:ascii="Arial" w:hAnsi="Arial" w:eastAsia="宋体" w:cs="Arial"/>
                <w:color w:val="000000"/>
                <w:kern w:val="0"/>
                <w:szCs w:val="21"/>
              </w:rPr>
            </w:pPr>
            <w:r>
              <w:rPr>
                <w:rFonts w:hint="eastAsia" w:ascii="宋体" w:hAnsi="宋体" w:eastAsia="宋体" w:cs="Arial"/>
                <w:color w:val="000000"/>
                <w:kern w:val="0"/>
                <w:sz w:val="24"/>
                <w:szCs w:val="24"/>
              </w:rPr>
              <w:t>上一年项目数量</w:t>
            </w:r>
          </w:p>
        </w:tc>
        <w:tc>
          <w:tcPr>
            <w:tcW w:w="193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jc w:val="center"/>
              <w:rPr>
                <w:rFonts w:ascii="Arial" w:hAnsi="Arial" w:eastAsia="宋体" w:cs="Arial"/>
                <w:color w:val="000000"/>
                <w:kern w:val="0"/>
                <w:szCs w:val="21"/>
              </w:rPr>
            </w:pPr>
            <w:r>
              <w:rPr>
                <w:rFonts w:hint="eastAsia" w:ascii="宋体" w:hAnsi="宋体" w:eastAsia="宋体" w:cs="Arial"/>
                <w:color w:val="000000"/>
                <w:kern w:val="0"/>
                <w:sz w:val="24"/>
                <w:szCs w:val="24"/>
              </w:rPr>
              <w:t>本年增</w:t>
            </w:r>
            <w:r>
              <w:rPr>
                <w:rFonts w:ascii="Calibri" w:hAnsi="Calibri" w:eastAsia="宋体" w:cs="Arial"/>
                <w:color w:val="000000"/>
                <w:kern w:val="0"/>
                <w:szCs w:val="21"/>
              </w:rPr>
              <w:t>/</w:t>
            </w:r>
            <w:r>
              <w:rPr>
                <w:rFonts w:hint="eastAsia" w:ascii="宋体" w:hAnsi="宋体" w:eastAsia="宋体" w:cs="Arial"/>
                <w:color w:val="000000"/>
                <w:kern w:val="0"/>
                <w:szCs w:val="21"/>
              </w:rPr>
              <w:t>减</w:t>
            </w:r>
          </w:p>
        </w:tc>
        <w:tc>
          <w:tcPr>
            <w:tcW w:w="2122"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jc w:val="center"/>
              <w:rPr>
                <w:rFonts w:ascii="Arial" w:hAnsi="Arial" w:eastAsia="宋体" w:cs="Arial"/>
                <w:color w:val="000000"/>
                <w:kern w:val="0"/>
                <w:szCs w:val="21"/>
              </w:rPr>
            </w:pPr>
            <w:r>
              <w:rPr>
                <w:rFonts w:hint="eastAsia" w:ascii="宋体" w:hAnsi="宋体" w:eastAsia="宋体" w:cs="Arial"/>
                <w:color w:val="000000"/>
                <w:kern w:val="0"/>
                <w:sz w:val="24"/>
                <w:szCs w:val="24"/>
              </w:rPr>
              <w:t>处理决定数量</w:t>
            </w:r>
          </w:p>
        </w:tc>
      </w:tr>
      <w:tr>
        <w:tblPrEx>
          <w:tblCellMar>
            <w:top w:w="15" w:type="dxa"/>
            <w:left w:w="15" w:type="dxa"/>
            <w:bottom w:w="15" w:type="dxa"/>
            <w:right w:w="15" w:type="dxa"/>
          </w:tblCellMar>
        </w:tblPrEx>
        <w:trPr>
          <w:trHeight w:val="540" w:hRule="atLeast"/>
          <w:jc w:val="center"/>
        </w:trPr>
        <w:tc>
          <w:tcPr>
            <w:tcW w:w="256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jc w:val="left"/>
              <w:rPr>
                <w:rFonts w:ascii="Arial" w:hAnsi="Arial" w:eastAsia="宋体" w:cs="Arial"/>
                <w:color w:val="000000"/>
                <w:kern w:val="0"/>
                <w:szCs w:val="21"/>
              </w:rPr>
            </w:pPr>
            <w:r>
              <w:rPr>
                <w:rFonts w:hint="eastAsia" w:ascii="宋体" w:hAnsi="宋体" w:eastAsia="宋体" w:cs="Arial"/>
                <w:color w:val="000000"/>
                <w:kern w:val="0"/>
                <w:sz w:val="24"/>
                <w:szCs w:val="24"/>
              </w:rPr>
              <w:t>行政许可</w:t>
            </w:r>
          </w:p>
        </w:tc>
        <w:tc>
          <w:tcPr>
            <w:tcW w:w="189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4"/>
                <w:szCs w:val="24"/>
              </w:rPr>
              <w:t>14</w:t>
            </w:r>
          </w:p>
        </w:tc>
        <w:tc>
          <w:tcPr>
            <w:tcW w:w="193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4"/>
                <w:szCs w:val="24"/>
              </w:rPr>
              <w:t>-7</w:t>
            </w:r>
          </w:p>
        </w:tc>
        <w:tc>
          <w:tcPr>
            <w:tcW w:w="2122"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4"/>
                <w:szCs w:val="24"/>
              </w:rPr>
              <w:t>7</w:t>
            </w:r>
          </w:p>
        </w:tc>
      </w:tr>
      <w:tr>
        <w:tblPrEx>
          <w:tblCellMar>
            <w:top w:w="15" w:type="dxa"/>
            <w:left w:w="15" w:type="dxa"/>
            <w:bottom w:w="15" w:type="dxa"/>
            <w:right w:w="15" w:type="dxa"/>
          </w:tblCellMar>
        </w:tblPrEx>
        <w:trPr>
          <w:trHeight w:val="540" w:hRule="atLeast"/>
          <w:jc w:val="center"/>
        </w:trPr>
        <w:tc>
          <w:tcPr>
            <w:tcW w:w="256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jc w:val="left"/>
              <w:rPr>
                <w:rFonts w:ascii="Arial" w:hAnsi="Arial" w:eastAsia="宋体" w:cs="Arial"/>
                <w:color w:val="000000"/>
                <w:kern w:val="0"/>
                <w:szCs w:val="21"/>
              </w:rPr>
            </w:pPr>
            <w:r>
              <w:rPr>
                <w:rFonts w:hint="eastAsia" w:ascii="宋体" w:hAnsi="宋体" w:eastAsia="宋体" w:cs="Arial"/>
                <w:color w:val="000000"/>
                <w:kern w:val="0"/>
                <w:sz w:val="24"/>
                <w:szCs w:val="24"/>
              </w:rPr>
              <w:t>其他对外管理服务事项</w:t>
            </w:r>
          </w:p>
        </w:tc>
        <w:tc>
          <w:tcPr>
            <w:tcW w:w="189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4"/>
                <w:szCs w:val="24"/>
              </w:rPr>
              <w:t>204</w:t>
            </w:r>
          </w:p>
        </w:tc>
        <w:tc>
          <w:tcPr>
            <w:tcW w:w="193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4"/>
                <w:szCs w:val="24"/>
              </w:rPr>
              <w:t>62</w:t>
            </w:r>
          </w:p>
        </w:tc>
        <w:tc>
          <w:tcPr>
            <w:tcW w:w="2122"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4"/>
                <w:szCs w:val="24"/>
              </w:rPr>
              <w:t>266</w:t>
            </w:r>
          </w:p>
        </w:tc>
      </w:tr>
      <w:tr>
        <w:tblPrEx>
          <w:tblCellMar>
            <w:top w:w="15" w:type="dxa"/>
            <w:left w:w="15" w:type="dxa"/>
            <w:bottom w:w="15" w:type="dxa"/>
            <w:right w:w="15" w:type="dxa"/>
          </w:tblCellMar>
        </w:tblPrEx>
        <w:trPr>
          <w:trHeight w:val="405" w:hRule="atLeast"/>
          <w:jc w:val="center"/>
        </w:trPr>
        <w:tc>
          <w:tcPr>
            <w:tcW w:w="8516" w:type="dxa"/>
            <w:gridSpan w:val="4"/>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4"/>
                <w:szCs w:val="24"/>
              </w:rPr>
              <w:t>第二十条第（六）项</w:t>
            </w:r>
          </w:p>
        </w:tc>
      </w:tr>
      <w:tr>
        <w:tblPrEx>
          <w:tblCellMar>
            <w:top w:w="15" w:type="dxa"/>
            <w:left w:w="15" w:type="dxa"/>
            <w:bottom w:w="15" w:type="dxa"/>
            <w:right w:w="15" w:type="dxa"/>
          </w:tblCellMar>
        </w:tblPrEx>
        <w:trPr>
          <w:trHeight w:val="480" w:hRule="atLeast"/>
          <w:jc w:val="center"/>
        </w:trPr>
        <w:tc>
          <w:tcPr>
            <w:tcW w:w="256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4"/>
                <w:szCs w:val="24"/>
              </w:rPr>
              <w:t>信息内容</w:t>
            </w:r>
          </w:p>
        </w:tc>
        <w:tc>
          <w:tcPr>
            <w:tcW w:w="189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4"/>
                <w:szCs w:val="24"/>
              </w:rPr>
              <w:t>上一年项目数量</w:t>
            </w:r>
          </w:p>
        </w:tc>
        <w:tc>
          <w:tcPr>
            <w:tcW w:w="193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4"/>
                <w:szCs w:val="24"/>
              </w:rPr>
              <w:t>本年增</w:t>
            </w:r>
            <w:r>
              <w:rPr>
                <w:rFonts w:ascii="Calibri" w:hAnsi="Calibri" w:eastAsia="宋体" w:cs="Arial"/>
                <w:color w:val="000000"/>
                <w:kern w:val="0"/>
                <w:szCs w:val="21"/>
              </w:rPr>
              <w:t>/</w:t>
            </w:r>
            <w:r>
              <w:rPr>
                <w:rFonts w:hint="eastAsia" w:ascii="宋体" w:hAnsi="宋体" w:eastAsia="宋体" w:cs="Arial"/>
                <w:color w:val="000000"/>
                <w:kern w:val="0"/>
                <w:szCs w:val="21"/>
              </w:rPr>
              <w:t>减</w:t>
            </w:r>
          </w:p>
        </w:tc>
        <w:tc>
          <w:tcPr>
            <w:tcW w:w="2122"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4"/>
                <w:szCs w:val="24"/>
              </w:rPr>
              <w:t>处理决定数量</w:t>
            </w:r>
          </w:p>
        </w:tc>
      </w:tr>
      <w:tr>
        <w:tblPrEx>
          <w:tblCellMar>
            <w:top w:w="15" w:type="dxa"/>
            <w:left w:w="15" w:type="dxa"/>
            <w:bottom w:w="15" w:type="dxa"/>
            <w:right w:w="15" w:type="dxa"/>
          </w:tblCellMar>
        </w:tblPrEx>
        <w:trPr>
          <w:trHeight w:val="435" w:hRule="atLeast"/>
          <w:jc w:val="center"/>
        </w:trPr>
        <w:tc>
          <w:tcPr>
            <w:tcW w:w="256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4"/>
                <w:szCs w:val="24"/>
              </w:rPr>
              <w:t>行政处罚</w:t>
            </w:r>
          </w:p>
        </w:tc>
        <w:tc>
          <w:tcPr>
            <w:tcW w:w="189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4"/>
                <w:szCs w:val="24"/>
              </w:rPr>
              <w:t>0</w:t>
            </w:r>
          </w:p>
        </w:tc>
        <w:tc>
          <w:tcPr>
            <w:tcW w:w="193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4"/>
                <w:szCs w:val="24"/>
              </w:rPr>
              <w:t>0</w:t>
            </w:r>
          </w:p>
        </w:tc>
        <w:tc>
          <w:tcPr>
            <w:tcW w:w="2122"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4"/>
                <w:szCs w:val="24"/>
              </w:rPr>
              <w:t>0</w:t>
            </w:r>
          </w:p>
        </w:tc>
      </w:tr>
      <w:tr>
        <w:tblPrEx>
          <w:tblCellMar>
            <w:top w:w="15" w:type="dxa"/>
            <w:left w:w="15" w:type="dxa"/>
            <w:bottom w:w="15" w:type="dxa"/>
            <w:right w:w="15" w:type="dxa"/>
          </w:tblCellMar>
        </w:tblPrEx>
        <w:trPr>
          <w:trHeight w:val="435" w:hRule="atLeast"/>
          <w:jc w:val="center"/>
        </w:trPr>
        <w:tc>
          <w:tcPr>
            <w:tcW w:w="256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4"/>
                <w:szCs w:val="24"/>
              </w:rPr>
              <w:t>行政强制</w:t>
            </w:r>
          </w:p>
        </w:tc>
        <w:tc>
          <w:tcPr>
            <w:tcW w:w="189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4"/>
                <w:szCs w:val="24"/>
              </w:rPr>
              <w:t>0</w:t>
            </w:r>
          </w:p>
        </w:tc>
        <w:tc>
          <w:tcPr>
            <w:tcW w:w="193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4"/>
                <w:szCs w:val="24"/>
              </w:rPr>
              <w:t>0</w:t>
            </w:r>
          </w:p>
        </w:tc>
        <w:tc>
          <w:tcPr>
            <w:tcW w:w="2122"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4"/>
                <w:szCs w:val="24"/>
              </w:rPr>
              <w:t>0</w:t>
            </w:r>
          </w:p>
        </w:tc>
      </w:tr>
      <w:tr>
        <w:tblPrEx>
          <w:tblCellMar>
            <w:top w:w="15" w:type="dxa"/>
            <w:left w:w="15" w:type="dxa"/>
            <w:bottom w:w="15" w:type="dxa"/>
            <w:right w:w="15" w:type="dxa"/>
          </w:tblCellMar>
        </w:tblPrEx>
        <w:trPr>
          <w:trHeight w:val="465" w:hRule="atLeast"/>
          <w:jc w:val="center"/>
        </w:trPr>
        <w:tc>
          <w:tcPr>
            <w:tcW w:w="8516" w:type="dxa"/>
            <w:gridSpan w:val="4"/>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4"/>
                <w:szCs w:val="24"/>
              </w:rPr>
              <w:t>第二十条第（八）项</w:t>
            </w:r>
          </w:p>
        </w:tc>
      </w:tr>
      <w:tr>
        <w:tblPrEx>
          <w:tblCellMar>
            <w:top w:w="15" w:type="dxa"/>
            <w:left w:w="15" w:type="dxa"/>
            <w:bottom w:w="15" w:type="dxa"/>
            <w:right w:w="15" w:type="dxa"/>
          </w:tblCellMar>
        </w:tblPrEx>
        <w:trPr>
          <w:trHeight w:val="495" w:hRule="atLeast"/>
          <w:jc w:val="center"/>
        </w:trPr>
        <w:tc>
          <w:tcPr>
            <w:tcW w:w="256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4"/>
                <w:szCs w:val="24"/>
              </w:rPr>
              <w:t>信息内容</w:t>
            </w:r>
          </w:p>
        </w:tc>
        <w:tc>
          <w:tcPr>
            <w:tcW w:w="189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4"/>
                <w:szCs w:val="24"/>
              </w:rPr>
              <w:t>上一年项目数量</w:t>
            </w:r>
          </w:p>
        </w:tc>
        <w:tc>
          <w:tcPr>
            <w:tcW w:w="4053"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4"/>
                <w:szCs w:val="24"/>
              </w:rPr>
              <w:t>本年增</w:t>
            </w:r>
            <w:r>
              <w:rPr>
                <w:rFonts w:ascii="Calibri" w:hAnsi="Calibri" w:eastAsia="宋体" w:cs="Arial"/>
                <w:color w:val="000000"/>
                <w:kern w:val="0"/>
                <w:szCs w:val="21"/>
              </w:rPr>
              <w:t>/</w:t>
            </w:r>
            <w:r>
              <w:rPr>
                <w:rFonts w:hint="eastAsia" w:ascii="宋体" w:hAnsi="宋体" w:eastAsia="宋体" w:cs="Arial"/>
                <w:color w:val="000000"/>
                <w:kern w:val="0"/>
                <w:szCs w:val="21"/>
              </w:rPr>
              <w:t>减</w:t>
            </w:r>
          </w:p>
        </w:tc>
      </w:tr>
      <w:tr>
        <w:tblPrEx>
          <w:tblCellMar>
            <w:top w:w="15" w:type="dxa"/>
            <w:left w:w="15" w:type="dxa"/>
            <w:bottom w:w="15" w:type="dxa"/>
            <w:right w:w="15" w:type="dxa"/>
          </w:tblCellMar>
        </w:tblPrEx>
        <w:trPr>
          <w:trHeight w:val="495" w:hRule="atLeast"/>
          <w:jc w:val="center"/>
        </w:trPr>
        <w:tc>
          <w:tcPr>
            <w:tcW w:w="256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4"/>
                <w:szCs w:val="24"/>
              </w:rPr>
              <w:t>行政事业性收费</w:t>
            </w:r>
          </w:p>
        </w:tc>
        <w:tc>
          <w:tcPr>
            <w:tcW w:w="189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4"/>
                <w:szCs w:val="24"/>
              </w:rPr>
              <w:t>0</w:t>
            </w:r>
          </w:p>
        </w:tc>
        <w:tc>
          <w:tcPr>
            <w:tcW w:w="4053"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4"/>
                <w:szCs w:val="24"/>
              </w:rPr>
              <w:t>0</w:t>
            </w:r>
          </w:p>
        </w:tc>
      </w:tr>
      <w:tr>
        <w:tblPrEx>
          <w:tblCellMar>
            <w:top w:w="15" w:type="dxa"/>
            <w:left w:w="15" w:type="dxa"/>
            <w:bottom w:w="15" w:type="dxa"/>
            <w:right w:w="15" w:type="dxa"/>
          </w:tblCellMar>
        </w:tblPrEx>
        <w:trPr>
          <w:trHeight w:val="480" w:hRule="atLeast"/>
          <w:jc w:val="center"/>
        </w:trPr>
        <w:tc>
          <w:tcPr>
            <w:tcW w:w="8516" w:type="dxa"/>
            <w:gridSpan w:val="4"/>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4"/>
                <w:szCs w:val="24"/>
              </w:rPr>
              <w:t>第二十条第（九）项</w:t>
            </w:r>
          </w:p>
        </w:tc>
      </w:tr>
      <w:tr>
        <w:tblPrEx>
          <w:tblCellMar>
            <w:top w:w="15" w:type="dxa"/>
            <w:left w:w="15" w:type="dxa"/>
            <w:bottom w:w="15" w:type="dxa"/>
            <w:right w:w="15" w:type="dxa"/>
          </w:tblCellMar>
        </w:tblPrEx>
        <w:trPr>
          <w:trHeight w:val="405" w:hRule="atLeast"/>
          <w:jc w:val="center"/>
        </w:trPr>
        <w:tc>
          <w:tcPr>
            <w:tcW w:w="256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4"/>
                <w:szCs w:val="24"/>
              </w:rPr>
              <w:t>信息内容</w:t>
            </w:r>
          </w:p>
        </w:tc>
        <w:tc>
          <w:tcPr>
            <w:tcW w:w="189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4"/>
                <w:szCs w:val="24"/>
              </w:rPr>
              <w:t>采购项目数量</w:t>
            </w:r>
          </w:p>
        </w:tc>
        <w:tc>
          <w:tcPr>
            <w:tcW w:w="4053"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4"/>
                <w:szCs w:val="24"/>
              </w:rPr>
              <w:t>采购总金额</w:t>
            </w:r>
          </w:p>
        </w:tc>
      </w:tr>
      <w:tr>
        <w:tblPrEx>
          <w:tblCellMar>
            <w:top w:w="15" w:type="dxa"/>
            <w:left w:w="15" w:type="dxa"/>
            <w:bottom w:w="15" w:type="dxa"/>
            <w:right w:w="15" w:type="dxa"/>
          </w:tblCellMar>
        </w:tblPrEx>
        <w:trPr>
          <w:trHeight w:val="435" w:hRule="atLeast"/>
          <w:jc w:val="center"/>
        </w:trPr>
        <w:tc>
          <w:tcPr>
            <w:tcW w:w="256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4"/>
                <w:szCs w:val="24"/>
              </w:rPr>
              <w:t>政府集中采购</w:t>
            </w:r>
          </w:p>
        </w:tc>
        <w:tc>
          <w:tcPr>
            <w:tcW w:w="189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4"/>
                <w:szCs w:val="24"/>
              </w:rPr>
              <w:t>0</w:t>
            </w:r>
          </w:p>
        </w:tc>
        <w:tc>
          <w:tcPr>
            <w:tcW w:w="4053"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4"/>
                <w:szCs w:val="24"/>
              </w:rPr>
              <w:t>0</w:t>
            </w:r>
          </w:p>
        </w:tc>
      </w:tr>
    </w:tbl>
    <w:p>
      <w:pPr>
        <w:widowControl/>
        <w:rPr>
          <w:rFonts w:ascii="Arial" w:hAnsi="Arial" w:eastAsia="宋体" w:cs="Arial"/>
          <w:color w:val="000000"/>
          <w:kern w:val="0"/>
          <w:szCs w:val="21"/>
        </w:rPr>
      </w:pPr>
      <w:r>
        <w:rPr>
          <w:rFonts w:ascii="Arial" w:hAnsi="Arial" w:eastAsia="宋体" w:cs="Arial"/>
          <w:color w:val="000000"/>
          <w:kern w:val="0"/>
          <w:szCs w:val="21"/>
        </w:rPr>
        <w:t>                                                                                                                                  </w:t>
      </w:r>
      <w:r>
        <w:rPr>
          <w:rFonts w:ascii="Arial" w:hAnsi="Arial" w:eastAsia="宋体" w:cs="Arial"/>
          <w:color w:val="000000"/>
          <w:kern w:val="0"/>
          <w:szCs w:val="21"/>
        </w:rPr>
        <w:br w:type="textWrapping"/>
      </w:r>
      <w:r>
        <w:rPr>
          <w:rFonts w:ascii="Arial" w:hAnsi="Arial" w:eastAsia="宋体" w:cs="Arial"/>
          <w:color w:val="000000"/>
          <w:kern w:val="0"/>
          <w:szCs w:val="21"/>
        </w:rPr>
        <w:t> </w:t>
      </w:r>
    </w:p>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三、收到和处理政府信息公开申请情况</w:t>
      </w:r>
    </w:p>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2019年度，全县各级各部门各单位共收到政府信息公开申请2件，结转下年度继续办理0件，上年结转政府信息公开申请0件。</w:t>
      </w:r>
    </w:p>
    <w:tbl>
      <w:tblPr>
        <w:tblStyle w:val="6"/>
        <w:tblW w:w="0" w:type="auto"/>
        <w:jc w:val="center"/>
        <w:tblLayout w:type="autofit"/>
        <w:tblCellMar>
          <w:top w:w="15" w:type="dxa"/>
          <w:left w:w="15" w:type="dxa"/>
          <w:bottom w:w="15" w:type="dxa"/>
          <w:right w:w="15" w:type="dxa"/>
        </w:tblCellMar>
      </w:tblPr>
      <w:tblGrid>
        <w:gridCol w:w="610"/>
        <w:gridCol w:w="1346"/>
        <w:gridCol w:w="2137"/>
        <w:gridCol w:w="528"/>
        <w:gridCol w:w="627"/>
        <w:gridCol w:w="627"/>
        <w:gridCol w:w="627"/>
        <w:gridCol w:w="627"/>
        <w:gridCol w:w="638"/>
        <w:gridCol w:w="749"/>
      </w:tblGrid>
      <w:tr>
        <w:tblPrEx>
          <w:tblCellMar>
            <w:top w:w="15" w:type="dxa"/>
            <w:left w:w="15" w:type="dxa"/>
            <w:bottom w:w="15" w:type="dxa"/>
            <w:right w:w="15" w:type="dxa"/>
          </w:tblCellMar>
        </w:tblPrEx>
        <w:trPr>
          <w:trHeight w:val="450" w:hRule="atLeast"/>
          <w:jc w:val="center"/>
        </w:trPr>
        <w:tc>
          <w:tcPr>
            <w:tcW w:w="4815" w:type="dxa"/>
            <w:gridSpan w:val="3"/>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0"/>
                <w:szCs w:val="20"/>
              </w:rPr>
              <w:t>（本列数据的勾稽关系为：第一项加第二项之和，等于第三项加第四项之和）</w:t>
            </w:r>
          </w:p>
        </w:tc>
        <w:tc>
          <w:tcPr>
            <w:tcW w:w="4965" w:type="dxa"/>
            <w:gridSpan w:val="7"/>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申请人情况</w:t>
            </w:r>
          </w:p>
        </w:tc>
      </w:tr>
      <w:tr>
        <w:tblPrEx>
          <w:tblCellMar>
            <w:top w:w="15" w:type="dxa"/>
            <w:left w:w="15" w:type="dxa"/>
            <w:bottom w:w="15" w:type="dxa"/>
            <w:right w:w="15" w:type="dxa"/>
          </w:tblCellMar>
        </w:tblPrEx>
        <w:trPr>
          <w:trHeight w:val="525" w:hRule="atLeast"/>
          <w:jc w:val="center"/>
        </w:trPr>
        <w:tc>
          <w:tcPr>
            <w:tcW w:w="0" w:type="auto"/>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Arial" w:hAnsi="Arial" w:eastAsia="宋体" w:cs="Arial"/>
                <w:color w:val="000000"/>
                <w:kern w:val="0"/>
                <w:szCs w:val="21"/>
              </w:rPr>
            </w:pPr>
          </w:p>
        </w:tc>
        <w:tc>
          <w:tcPr>
            <w:tcW w:w="570"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自然人</w:t>
            </w:r>
          </w:p>
        </w:tc>
        <w:tc>
          <w:tcPr>
            <w:tcW w:w="3540" w:type="dxa"/>
            <w:gridSpan w:val="5"/>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法人或其他组织</w:t>
            </w:r>
          </w:p>
        </w:tc>
        <w:tc>
          <w:tcPr>
            <w:tcW w:w="855"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0"/>
                <w:szCs w:val="20"/>
              </w:rPr>
              <w:t>总计</w:t>
            </w:r>
          </w:p>
        </w:tc>
      </w:tr>
      <w:tr>
        <w:tblPrEx>
          <w:tblCellMar>
            <w:top w:w="15" w:type="dxa"/>
            <w:left w:w="15" w:type="dxa"/>
            <w:bottom w:w="15" w:type="dxa"/>
            <w:right w:w="15" w:type="dxa"/>
          </w:tblCellMar>
        </w:tblPrEx>
        <w:trPr>
          <w:trHeight w:val="1125" w:hRule="atLeast"/>
          <w:jc w:val="center"/>
        </w:trPr>
        <w:tc>
          <w:tcPr>
            <w:tcW w:w="0" w:type="auto"/>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0"/>
                <w:szCs w:val="20"/>
              </w:rPr>
              <w:t>商业企业</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0"/>
                <w:szCs w:val="20"/>
              </w:rPr>
              <w:t>科研机构</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0"/>
                <w:szCs w:val="20"/>
              </w:rPr>
              <w:t>社会公益组织</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0"/>
                <w:szCs w:val="20"/>
              </w:rPr>
              <w:t>法律服务机构</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0"/>
                <w:szCs w:val="20"/>
              </w:rPr>
              <w:t>其他</w:t>
            </w: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r>
      <w:tr>
        <w:tblPrEx>
          <w:tblCellMar>
            <w:top w:w="15" w:type="dxa"/>
            <w:left w:w="15" w:type="dxa"/>
            <w:bottom w:w="15" w:type="dxa"/>
            <w:right w:w="15" w:type="dxa"/>
          </w:tblCellMar>
        </w:tblPrEx>
        <w:trPr>
          <w:trHeight w:val="450" w:hRule="atLeast"/>
          <w:jc w:val="center"/>
        </w:trPr>
        <w:tc>
          <w:tcPr>
            <w:tcW w:w="4815"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Arial" w:hAnsi="Arial" w:eastAsia="宋体" w:cs="Arial"/>
                <w:color w:val="000000"/>
                <w:kern w:val="0"/>
                <w:szCs w:val="21"/>
              </w:rPr>
            </w:pPr>
            <w:r>
              <w:rPr>
                <w:rFonts w:hint="eastAsia" w:ascii="宋体" w:hAnsi="宋体" w:eastAsia="宋体" w:cs="Arial"/>
                <w:color w:val="000000"/>
                <w:kern w:val="0"/>
                <w:sz w:val="20"/>
                <w:szCs w:val="20"/>
              </w:rPr>
              <w:t>一、本年新收政府信息公开申请数量</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2</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2</w:t>
            </w:r>
          </w:p>
        </w:tc>
      </w:tr>
      <w:tr>
        <w:tblPrEx>
          <w:tblCellMar>
            <w:top w:w="15" w:type="dxa"/>
            <w:left w:w="15" w:type="dxa"/>
            <w:bottom w:w="15" w:type="dxa"/>
            <w:right w:w="15" w:type="dxa"/>
          </w:tblCellMar>
        </w:tblPrEx>
        <w:trPr>
          <w:trHeight w:val="405" w:hRule="atLeast"/>
          <w:jc w:val="center"/>
        </w:trPr>
        <w:tc>
          <w:tcPr>
            <w:tcW w:w="4815"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Arial" w:hAnsi="Arial" w:eastAsia="宋体" w:cs="Arial"/>
                <w:color w:val="000000"/>
                <w:kern w:val="0"/>
                <w:szCs w:val="21"/>
              </w:rPr>
            </w:pPr>
            <w:r>
              <w:rPr>
                <w:rFonts w:hint="eastAsia" w:ascii="宋体" w:hAnsi="宋体" w:eastAsia="宋体" w:cs="Arial"/>
                <w:color w:val="000000"/>
                <w:kern w:val="0"/>
                <w:sz w:val="20"/>
                <w:szCs w:val="20"/>
              </w:rPr>
              <w:t>二、上年结转政府信息公开申请数量</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r>
      <w:tr>
        <w:tblPrEx>
          <w:tblCellMar>
            <w:top w:w="15" w:type="dxa"/>
            <w:left w:w="15" w:type="dxa"/>
            <w:bottom w:w="15" w:type="dxa"/>
            <w:right w:w="15" w:type="dxa"/>
          </w:tblCellMar>
        </w:tblPrEx>
        <w:trPr>
          <w:trHeight w:val="420" w:hRule="atLeast"/>
          <w:jc w:val="center"/>
        </w:trPr>
        <w:tc>
          <w:tcPr>
            <w:tcW w:w="570"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0"/>
                <w:szCs w:val="20"/>
              </w:rPr>
              <w:t>三、本年度办理结果</w:t>
            </w:r>
          </w:p>
        </w:tc>
        <w:tc>
          <w:tcPr>
            <w:tcW w:w="4260"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Arial" w:hAnsi="Arial" w:eastAsia="宋体" w:cs="Arial"/>
                <w:color w:val="000000"/>
                <w:kern w:val="0"/>
                <w:szCs w:val="21"/>
              </w:rPr>
            </w:pPr>
            <w:r>
              <w:rPr>
                <w:rFonts w:hint="eastAsia" w:ascii="宋体" w:hAnsi="宋体" w:eastAsia="宋体" w:cs="Arial"/>
                <w:color w:val="000000"/>
                <w:kern w:val="0"/>
                <w:sz w:val="18"/>
                <w:szCs w:val="18"/>
              </w:rPr>
              <w:t>（一）予以公开</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2</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2</w:t>
            </w:r>
          </w:p>
        </w:tc>
      </w:tr>
      <w:tr>
        <w:tblPrEx>
          <w:tblCellMar>
            <w:top w:w="15" w:type="dxa"/>
            <w:left w:w="15" w:type="dxa"/>
            <w:bottom w:w="15" w:type="dxa"/>
            <w:right w:w="15"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4260"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Arial" w:hAnsi="Arial" w:eastAsia="宋体" w:cs="Arial"/>
                <w:color w:val="000000"/>
                <w:kern w:val="0"/>
                <w:szCs w:val="21"/>
              </w:rPr>
            </w:pPr>
            <w:r>
              <w:rPr>
                <w:rFonts w:hint="eastAsia" w:ascii="宋体" w:hAnsi="宋体" w:eastAsia="宋体" w:cs="Arial"/>
                <w:color w:val="000000"/>
                <w:kern w:val="0"/>
                <w:sz w:val="18"/>
                <w:szCs w:val="18"/>
              </w:rPr>
              <w:t>（二）部分公开（区分处理的，只计这一情形，不计其他情形）</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r>
      <w:tr>
        <w:tblPrEx>
          <w:tblCellMar>
            <w:top w:w="15" w:type="dxa"/>
            <w:left w:w="15" w:type="dxa"/>
            <w:bottom w:w="15" w:type="dxa"/>
            <w:right w:w="15" w:type="dxa"/>
          </w:tblCellMar>
        </w:tblPrEx>
        <w:trPr>
          <w:trHeight w:val="495"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1560"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18"/>
                <w:szCs w:val="18"/>
              </w:rPr>
              <w:t>（三）不予公开</w:t>
            </w: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Arial" w:hAnsi="Arial" w:eastAsia="宋体" w:cs="Arial"/>
                <w:color w:val="000000"/>
                <w:kern w:val="0"/>
                <w:szCs w:val="21"/>
              </w:rPr>
            </w:pPr>
            <w:r>
              <w:rPr>
                <w:rFonts w:hint="eastAsia" w:ascii="宋体" w:hAnsi="宋体" w:eastAsia="宋体" w:cs="Arial"/>
                <w:color w:val="000000"/>
                <w:kern w:val="0"/>
                <w:sz w:val="18"/>
                <w:szCs w:val="18"/>
              </w:rPr>
              <w:t>1．属于国家秘密</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r>
      <w:tr>
        <w:tblPrEx>
          <w:tblCellMar>
            <w:top w:w="15" w:type="dxa"/>
            <w:left w:w="15" w:type="dxa"/>
            <w:bottom w:w="15" w:type="dxa"/>
            <w:right w:w="15" w:type="dxa"/>
          </w:tblCellMar>
        </w:tblPrEx>
        <w:trPr>
          <w:trHeight w:val="420"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Arial" w:hAnsi="Arial" w:eastAsia="宋体" w:cs="Arial"/>
                <w:color w:val="000000"/>
                <w:kern w:val="0"/>
                <w:szCs w:val="21"/>
              </w:rPr>
            </w:pPr>
            <w:r>
              <w:rPr>
                <w:rFonts w:hint="eastAsia" w:ascii="宋体" w:hAnsi="宋体" w:eastAsia="宋体" w:cs="Arial"/>
                <w:color w:val="000000"/>
                <w:kern w:val="0"/>
                <w:sz w:val="18"/>
                <w:szCs w:val="18"/>
              </w:rPr>
              <w:t>2．其他法律行政法规禁止公开</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r>
      <w:tr>
        <w:tblPrEx>
          <w:tblCellMar>
            <w:top w:w="15" w:type="dxa"/>
            <w:left w:w="15" w:type="dxa"/>
            <w:bottom w:w="15" w:type="dxa"/>
            <w:right w:w="15" w:type="dxa"/>
          </w:tblCellMar>
        </w:tblPrEx>
        <w:trPr>
          <w:trHeight w:val="420"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Arial" w:hAnsi="Arial" w:eastAsia="宋体" w:cs="Arial"/>
                <w:color w:val="000000"/>
                <w:kern w:val="0"/>
                <w:szCs w:val="21"/>
              </w:rPr>
            </w:pPr>
            <w:r>
              <w:rPr>
                <w:rFonts w:hint="eastAsia" w:ascii="宋体" w:hAnsi="宋体" w:eastAsia="宋体" w:cs="Arial"/>
                <w:color w:val="000000"/>
                <w:kern w:val="0"/>
                <w:sz w:val="18"/>
                <w:szCs w:val="18"/>
              </w:rPr>
              <w:t>3．危及“三安全一稳定”</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r>
      <w:tr>
        <w:tblPrEx>
          <w:tblCellMar>
            <w:top w:w="15" w:type="dxa"/>
            <w:left w:w="15" w:type="dxa"/>
            <w:bottom w:w="15" w:type="dxa"/>
            <w:right w:w="15" w:type="dxa"/>
          </w:tblCellMar>
        </w:tblPrEx>
        <w:trPr>
          <w:trHeight w:val="390"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Arial" w:hAnsi="Arial" w:eastAsia="宋体" w:cs="Arial"/>
                <w:color w:val="000000"/>
                <w:kern w:val="0"/>
                <w:szCs w:val="21"/>
              </w:rPr>
            </w:pPr>
            <w:r>
              <w:rPr>
                <w:rFonts w:hint="eastAsia" w:ascii="宋体" w:hAnsi="宋体" w:eastAsia="宋体" w:cs="Arial"/>
                <w:color w:val="000000"/>
                <w:kern w:val="0"/>
                <w:sz w:val="18"/>
                <w:szCs w:val="18"/>
              </w:rPr>
              <w:t>4．保护第三方合法权益</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r>
      <w:tr>
        <w:tblPrEx>
          <w:tblCellMar>
            <w:top w:w="15" w:type="dxa"/>
            <w:left w:w="15" w:type="dxa"/>
            <w:bottom w:w="15" w:type="dxa"/>
            <w:right w:w="15" w:type="dxa"/>
          </w:tblCellMar>
        </w:tblPrEx>
        <w:trPr>
          <w:trHeight w:val="420"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Arial" w:hAnsi="Arial" w:eastAsia="宋体" w:cs="Arial"/>
                <w:color w:val="000000"/>
                <w:kern w:val="0"/>
                <w:szCs w:val="21"/>
              </w:rPr>
            </w:pPr>
            <w:r>
              <w:rPr>
                <w:rFonts w:hint="eastAsia" w:ascii="宋体" w:hAnsi="宋体" w:eastAsia="宋体" w:cs="Arial"/>
                <w:color w:val="000000"/>
                <w:kern w:val="0"/>
                <w:sz w:val="18"/>
                <w:szCs w:val="18"/>
              </w:rPr>
              <w:t>5．属于三类内部事务信息</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r>
      <w:tr>
        <w:tblPrEx>
          <w:tblCellMar>
            <w:top w:w="15" w:type="dxa"/>
            <w:left w:w="15" w:type="dxa"/>
            <w:bottom w:w="15" w:type="dxa"/>
            <w:right w:w="15" w:type="dxa"/>
          </w:tblCellMar>
        </w:tblPrEx>
        <w:trPr>
          <w:trHeight w:val="405"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Arial" w:hAnsi="Arial" w:eastAsia="宋体" w:cs="Arial"/>
                <w:color w:val="000000"/>
                <w:kern w:val="0"/>
                <w:szCs w:val="21"/>
              </w:rPr>
            </w:pPr>
            <w:r>
              <w:rPr>
                <w:rFonts w:hint="eastAsia" w:ascii="宋体" w:hAnsi="宋体" w:eastAsia="宋体" w:cs="Arial"/>
                <w:color w:val="000000"/>
                <w:kern w:val="0"/>
                <w:sz w:val="18"/>
                <w:szCs w:val="18"/>
              </w:rPr>
              <w:t>6．属于四类过程性信息</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r>
      <w:tr>
        <w:tblPrEx>
          <w:tblCellMar>
            <w:top w:w="15" w:type="dxa"/>
            <w:left w:w="15" w:type="dxa"/>
            <w:bottom w:w="15" w:type="dxa"/>
            <w:right w:w="15" w:type="dxa"/>
          </w:tblCellMar>
        </w:tblPrEx>
        <w:trPr>
          <w:trHeight w:val="420"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Arial" w:hAnsi="Arial" w:eastAsia="宋体" w:cs="Arial"/>
                <w:color w:val="000000"/>
                <w:kern w:val="0"/>
                <w:szCs w:val="21"/>
              </w:rPr>
            </w:pPr>
            <w:r>
              <w:rPr>
                <w:rFonts w:hint="eastAsia" w:ascii="宋体" w:hAnsi="宋体" w:eastAsia="宋体" w:cs="Arial"/>
                <w:color w:val="000000"/>
                <w:kern w:val="0"/>
                <w:sz w:val="18"/>
                <w:szCs w:val="18"/>
              </w:rPr>
              <w:t>7．属于行政执法案卷</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r>
      <w:tr>
        <w:tblPrEx>
          <w:tblCellMar>
            <w:top w:w="15" w:type="dxa"/>
            <w:left w:w="15" w:type="dxa"/>
            <w:bottom w:w="15" w:type="dxa"/>
            <w:right w:w="15" w:type="dxa"/>
          </w:tblCellMar>
        </w:tblPrEx>
        <w:trPr>
          <w:trHeight w:val="420"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Arial" w:hAnsi="Arial" w:eastAsia="宋体" w:cs="Arial"/>
                <w:color w:val="000000"/>
                <w:kern w:val="0"/>
                <w:szCs w:val="21"/>
              </w:rPr>
            </w:pPr>
            <w:r>
              <w:rPr>
                <w:rFonts w:hint="eastAsia" w:ascii="宋体" w:hAnsi="宋体" w:eastAsia="宋体" w:cs="Arial"/>
                <w:color w:val="000000"/>
                <w:kern w:val="0"/>
                <w:sz w:val="18"/>
                <w:szCs w:val="18"/>
              </w:rPr>
              <w:t>8．属于行政查询事项</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r>
      <w:tr>
        <w:tblPrEx>
          <w:tblCellMar>
            <w:top w:w="15" w:type="dxa"/>
            <w:left w:w="15" w:type="dxa"/>
            <w:bottom w:w="15" w:type="dxa"/>
            <w:right w:w="15" w:type="dxa"/>
          </w:tblCellMar>
        </w:tblPrEx>
        <w:trPr>
          <w:trHeight w:val="405"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1560"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18"/>
                <w:szCs w:val="18"/>
              </w:rPr>
              <w:t>（四）无法提供</w:t>
            </w: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Arial" w:hAnsi="Arial" w:eastAsia="宋体" w:cs="Arial"/>
                <w:color w:val="000000"/>
                <w:kern w:val="0"/>
                <w:szCs w:val="21"/>
              </w:rPr>
            </w:pPr>
            <w:r>
              <w:rPr>
                <w:rFonts w:hint="eastAsia" w:ascii="宋体" w:hAnsi="宋体" w:eastAsia="宋体" w:cs="Arial"/>
                <w:color w:val="000000"/>
                <w:kern w:val="0"/>
                <w:sz w:val="18"/>
                <w:szCs w:val="18"/>
              </w:rPr>
              <w:t>1．本机关不掌握相关政府信息</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r>
      <w:tr>
        <w:tblPrEx>
          <w:tblCellMar>
            <w:top w:w="15" w:type="dxa"/>
            <w:left w:w="15" w:type="dxa"/>
            <w:bottom w:w="15" w:type="dxa"/>
            <w:right w:w="15" w:type="dxa"/>
          </w:tblCellMar>
        </w:tblPrEx>
        <w:trPr>
          <w:trHeight w:val="420"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Arial" w:hAnsi="Arial" w:eastAsia="宋体" w:cs="Arial"/>
                <w:color w:val="000000"/>
                <w:kern w:val="0"/>
                <w:szCs w:val="21"/>
              </w:rPr>
            </w:pPr>
            <w:r>
              <w:rPr>
                <w:rFonts w:hint="eastAsia" w:ascii="宋体" w:hAnsi="宋体" w:eastAsia="宋体" w:cs="Arial"/>
                <w:color w:val="000000"/>
                <w:kern w:val="0"/>
                <w:sz w:val="18"/>
                <w:szCs w:val="18"/>
              </w:rPr>
              <w:t>2．没有现成信息需要另行制作</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Arial" w:hAnsi="Arial" w:eastAsia="宋体" w:cs="Arial"/>
                <w:color w:val="000000"/>
                <w:kern w:val="0"/>
                <w:szCs w:val="21"/>
              </w:rPr>
            </w:pPr>
            <w:r>
              <w:rPr>
                <w:rFonts w:hint="eastAsia" w:ascii="宋体" w:hAnsi="宋体" w:eastAsia="宋体" w:cs="Arial"/>
                <w:color w:val="000000"/>
                <w:kern w:val="0"/>
                <w:sz w:val="18"/>
                <w:szCs w:val="18"/>
              </w:rPr>
              <w:t>3．补正后申请内容仍不明确</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r>
      <w:tr>
        <w:tblPrEx>
          <w:tblCellMar>
            <w:top w:w="15" w:type="dxa"/>
            <w:left w:w="15" w:type="dxa"/>
            <w:bottom w:w="15" w:type="dxa"/>
            <w:right w:w="15" w:type="dxa"/>
          </w:tblCellMar>
        </w:tblPrEx>
        <w:trPr>
          <w:trHeight w:val="375"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1560"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18"/>
                <w:szCs w:val="18"/>
              </w:rPr>
              <w:t>（五）不予处理</w:t>
            </w: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Arial" w:hAnsi="Arial" w:eastAsia="宋体" w:cs="Arial"/>
                <w:color w:val="000000"/>
                <w:kern w:val="0"/>
                <w:szCs w:val="21"/>
              </w:rPr>
            </w:pPr>
            <w:r>
              <w:rPr>
                <w:rFonts w:hint="eastAsia" w:ascii="宋体" w:hAnsi="宋体" w:eastAsia="宋体" w:cs="Arial"/>
                <w:color w:val="000000"/>
                <w:kern w:val="0"/>
                <w:sz w:val="18"/>
                <w:szCs w:val="18"/>
              </w:rPr>
              <w:t>1．信访举报投诉类申请</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Arial" w:hAnsi="Arial" w:eastAsia="宋体" w:cs="Arial"/>
                <w:color w:val="000000"/>
                <w:kern w:val="0"/>
                <w:szCs w:val="21"/>
              </w:rPr>
            </w:pPr>
            <w:r>
              <w:rPr>
                <w:rFonts w:hint="eastAsia" w:ascii="宋体" w:hAnsi="宋体" w:eastAsia="宋体" w:cs="Arial"/>
                <w:color w:val="000000"/>
                <w:kern w:val="0"/>
                <w:sz w:val="18"/>
                <w:szCs w:val="18"/>
              </w:rPr>
              <w:t>2．重复申请</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r>
      <w:tr>
        <w:tblPrEx>
          <w:tblCellMar>
            <w:top w:w="15" w:type="dxa"/>
            <w:left w:w="15" w:type="dxa"/>
            <w:bottom w:w="15" w:type="dxa"/>
            <w:right w:w="15" w:type="dxa"/>
          </w:tblCellMar>
        </w:tblPrEx>
        <w:trPr>
          <w:trHeight w:val="390"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Arial" w:hAnsi="Arial" w:eastAsia="宋体" w:cs="Arial"/>
                <w:color w:val="000000"/>
                <w:kern w:val="0"/>
                <w:szCs w:val="21"/>
              </w:rPr>
            </w:pPr>
            <w:r>
              <w:rPr>
                <w:rFonts w:hint="eastAsia" w:ascii="宋体" w:hAnsi="宋体" w:eastAsia="宋体" w:cs="Arial"/>
                <w:color w:val="000000"/>
                <w:kern w:val="0"/>
                <w:sz w:val="18"/>
                <w:szCs w:val="18"/>
              </w:rPr>
              <w:t>3．要求提供公开出版物</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r>
      <w:tr>
        <w:tblPrEx>
          <w:tblCellMar>
            <w:top w:w="15" w:type="dxa"/>
            <w:left w:w="15" w:type="dxa"/>
            <w:bottom w:w="15" w:type="dxa"/>
            <w:right w:w="15" w:type="dxa"/>
          </w:tblCellMar>
        </w:tblPrEx>
        <w:trPr>
          <w:trHeight w:val="420"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Arial" w:hAnsi="Arial" w:eastAsia="宋体" w:cs="Arial"/>
                <w:color w:val="000000"/>
                <w:kern w:val="0"/>
                <w:szCs w:val="21"/>
              </w:rPr>
            </w:pPr>
            <w:r>
              <w:rPr>
                <w:rFonts w:hint="eastAsia" w:ascii="宋体" w:hAnsi="宋体" w:eastAsia="宋体" w:cs="Arial"/>
                <w:color w:val="000000"/>
                <w:kern w:val="0"/>
                <w:sz w:val="18"/>
                <w:szCs w:val="18"/>
              </w:rPr>
              <w:t>4．无正当理由大量反复申请</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ind w:left="180"/>
              <w:jc w:val="left"/>
              <w:rPr>
                <w:rFonts w:ascii="Arial" w:hAnsi="Arial" w:eastAsia="宋体" w:cs="Arial"/>
                <w:color w:val="000000"/>
                <w:kern w:val="0"/>
                <w:szCs w:val="21"/>
              </w:rPr>
            </w:pPr>
            <w:r>
              <w:rPr>
                <w:rFonts w:hint="eastAsia" w:ascii="宋体" w:hAnsi="宋体" w:eastAsia="宋体" w:cs="Arial"/>
                <w:color w:val="000000"/>
                <w:kern w:val="0"/>
                <w:sz w:val="18"/>
                <w:szCs w:val="18"/>
              </w:rPr>
              <w:t>5．要求行政机关确认或重新出具已获取信息</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r>
      <w:tr>
        <w:tblPrEx>
          <w:tblCellMar>
            <w:top w:w="15" w:type="dxa"/>
            <w:left w:w="15" w:type="dxa"/>
            <w:bottom w:w="15" w:type="dxa"/>
            <w:right w:w="15" w:type="dxa"/>
          </w:tblCellMar>
        </w:tblPrEx>
        <w:trPr>
          <w:trHeight w:val="465" w:hRule="atLeast"/>
          <w:jc w:val="center"/>
        </w:trPr>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Arial" w:hAnsi="Arial" w:eastAsia="宋体" w:cs="Arial"/>
                <w:color w:val="000000"/>
                <w:kern w:val="0"/>
                <w:szCs w:val="21"/>
              </w:rPr>
            </w:pPr>
          </w:p>
        </w:tc>
        <w:tc>
          <w:tcPr>
            <w:tcW w:w="4260"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18"/>
                <w:szCs w:val="18"/>
              </w:rPr>
              <w:t>（六）其他处理</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r>
      <w:tr>
        <w:tblPrEx>
          <w:tblCellMar>
            <w:top w:w="15" w:type="dxa"/>
            <w:left w:w="15" w:type="dxa"/>
            <w:bottom w:w="15" w:type="dxa"/>
            <w:right w:w="15" w:type="dxa"/>
          </w:tblCellMar>
        </w:tblPrEx>
        <w:trPr>
          <w:trHeight w:val="420" w:hRule="atLeast"/>
          <w:jc w:val="center"/>
        </w:trPr>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Arial" w:hAnsi="Arial" w:eastAsia="宋体" w:cs="Arial"/>
                <w:color w:val="000000"/>
                <w:kern w:val="0"/>
                <w:szCs w:val="21"/>
              </w:rPr>
            </w:pPr>
          </w:p>
        </w:tc>
        <w:tc>
          <w:tcPr>
            <w:tcW w:w="4260"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18"/>
                <w:szCs w:val="18"/>
              </w:rPr>
              <w:t>（七）总计</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2</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2</w:t>
            </w:r>
          </w:p>
        </w:tc>
      </w:tr>
      <w:tr>
        <w:tblPrEx>
          <w:tblCellMar>
            <w:top w:w="15" w:type="dxa"/>
            <w:left w:w="15" w:type="dxa"/>
            <w:bottom w:w="15" w:type="dxa"/>
            <w:right w:w="15" w:type="dxa"/>
          </w:tblCellMar>
        </w:tblPrEx>
        <w:trPr>
          <w:jc w:val="center"/>
        </w:trPr>
        <w:tc>
          <w:tcPr>
            <w:tcW w:w="4815"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Arial" w:hAnsi="Arial" w:eastAsia="宋体" w:cs="Arial"/>
                <w:color w:val="000000"/>
                <w:kern w:val="0"/>
                <w:szCs w:val="21"/>
              </w:rPr>
            </w:pPr>
            <w:r>
              <w:rPr>
                <w:rFonts w:hint="eastAsia" w:ascii="宋体" w:hAnsi="宋体" w:eastAsia="宋体" w:cs="Arial"/>
                <w:color w:val="000000"/>
                <w:kern w:val="0"/>
                <w:sz w:val="20"/>
                <w:szCs w:val="20"/>
              </w:rPr>
              <w:t>四、结转下年度继续办理</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r>
    </w:tbl>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四、政府信息公开行政复议、行政诉讼情况</w:t>
      </w:r>
    </w:p>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2019年，全县各级行政机关因政府信息公开引起的行政复议0件，行政诉讼0件。</w:t>
      </w:r>
    </w:p>
    <w:tbl>
      <w:tblPr>
        <w:tblStyle w:val="6"/>
        <w:tblW w:w="0" w:type="auto"/>
        <w:jc w:val="center"/>
        <w:tblLayout w:type="autofit"/>
        <w:tblCellMar>
          <w:top w:w="15" w:type="dxa"/>
          <w:left w:w="15" w:type="dxa"/>
          <w:bottom w:w="15" w:type="dxa"/>
          <w:right w:w="15" w:type="dxa"/>
        </w:tblCellMar>
      </w:tblPr>
      <w:tblGrid>
        <w:gridCol w:w="581"/>
        <w:gridCol w:w="581"/>
        <w:gridCol w:w="581"/>
        <w:gridCol w:w="564"/>
        <w:gridCol w:w="529"/>
        <w:gridCol w:w="582"/>
        <w:gridCol w:w="582"/>
        <w:gridCol w:w="582"/>
        <w:gridCol w:w="582"/>
        <w:gridCol w:w="512"/>
        <w:gridCol w:w="669"/>
        <w:gridCol w:w="547"/>
        <w:gridCol w:w="617"/>
        <w:gridCol w:w="582"/>
        <w:gridCol w:w="425"/>
      </w:tblGrid>
      <w:tr>
        <w:tblPrEx>
          <w:tblCellMar>
            <w:top w:w="15" w:type="dxa"/>
            <w:left w:w="15" w:type="dxa"/>
            <w:bottom w:w="15" w:type="dxa"/>
            <w:right w:w="15" w:type="dxa"/>
          </w:tblCellMar>
        </w:tblPrEx>
        <w:trPr>
          <w:trHeight w:val="465" w:hRule="atLeast"/>
          <w:jc w:val="center"/>
        </w:trPr>
        <w:tc>
          <w:tcPr>
            <w:tcW w:w="3405" w:type="dxa"/>
            <w:gridSpan w:val="5"/>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行政复议</w:t>
            </w:r>
          </w:p>
        </w:tc>
        <w:tc>
          <w:tcPr>
            <w:tcW w:w="6810" w:type="dxa"/>
            <w:gridSpan w:val="10"/>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行政诉讼</w:t>
            </w:r>
          </w:p>
        </w:tc>
      </w:tr>
      <w:tr>
        <w:tblPrEx>
          <w:tblCellMar>
            <w:top w:w="15" w:type="dxa"/>
            <w:left w:w="15" w:type="dxa"/>
            <w:bottom w:w="15" w:type="dxa"/>
            <w:right w:w="15" w:type="dxa"/>
          </w:tblCellMar>
        </w:tblPrEx>
        <w:trPr>
          <w:trHeight w:val="570" w:hRule="atLeast"/>
          <w:jc w:val="center"/>
        </w:trPr>
        <w:tc>
          <w:tcPr>
            <w:tcW w:w="705"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结果维持</w:t>
            </w:r>
          </w:p>
        </w:tc>
        <w:tc>
          <w:tcPr>
            <w:tcW w:w="705"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结果纠正</w:t>
            </w:r>
          </w:p>
        </w:tc>
        <w:tc>
          <w:tcPr>
            <w:tcW w:w="705"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其他结果</w:t>
            </w:r>
          </w:p>
        </w:tc>
        <w:tc>
          <w:tcPr>
            <w:tcW w:w="675"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尚未审结</w:t>
            </w:r>
          </w:p>
        </w:tc>
        <w:tc>
          <w:tcPr>
            <w:tcW w:w="600"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总计</w:t>
            </w:r>
          </w:p>
        </w:tc>
        <w:tc>
          <w:tcPr>
            <w:tcW w:w="3405" w:type="dxa"/>
            <w:gridSpan w:val="5"/>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未经复议直接起诉</w:t>
            </w:r>
          </w:p>
        </w:tc>
        <w:tc>
          <w:tcPr>
            <w:tcW w:w="3405" w:type="dxa"/>
            <w:gridSpan w:val="5"/>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复议后起诉</w:t>
            </w:r>
          </w:p>
        </w:tc>
      </w:tr>
      <w:tr>
        <w:tblPrEx>
          <w:tblCellMar>
            <w:top w:w="15" w:type="dxa"/>
            <w:left w:w="15" w:type="dxa"/>
            <w:bottom w:w="15" w:type="dxa"/>
            <w:right w:w="15" w:type="dxa"/>
          </w:tblCellMar>
        </w:tblPrEx>
        <w:trPr>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eastAsia="宋体" w:cs="Arial"/>
                <w:color w:val="000000"/>
                <w:kern w:val="0"/>
                <w:szCs w:val="21"/>
              </w:rPr>
            </w:pP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结果维持</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结果纠正</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其他结果</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尚未审结</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总计</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结果维持</w:t>
            </w:r>
          </w:p>
        </w:tc>
        <w:tc>
          <w:tcPr>
            <w:tcW w:w="64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结果纠正</w:t>
            </w:r>
          </w:p>
        </w:tc>
        <w:tc>
          <w:tcPr>
            <w:tcW w:w="76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其他结果</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尚未审结</w:t>
            </w:r>
          </w:p>
        </w:tc>
        <w:tc>
          <w:tcPr>
            <w:tcW w:w="4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总计</w:t>
            </w:r>
          </w:p>
        </w:tc>
      </w:tr>
      <w:tr>
        <w:tblPrEx>
          <w:tblCellMar>
            <w:top w:w="15" w:type="dxa"/>
            <w:left w:w="15" w:type="dxa"/>
            <w:bottom w:w="15" w:type="dxa"/>
            <w:right w:w="15" w:type="dxa"/>
          </w:tblCellMar>
        </w:tblPrEx>
        <w:trPr>
          <w:trHeight w:val="570" w:hRule="atLeast"/>
          <w:jc w:val="center"/>
        </w:trPr>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18"/>
                <w:szCs w:val="18"/>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18"/>
                <w:szCs w:val="18"/>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18"/>
                <w:szCs w:val="18"/>
              </w:rPr>
              <w:t>0</w:t>
            </w:r>
          </w:p>
        </w:tc>
        <w:tc>
          <w:tcPr>
            <w:tcW w:w="67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6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5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8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64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6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7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c>
          <w:tcPr>
            <w:tcW w:w="4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Arial" w:hAnsi="Arial" w:eastAsia="宋体" w:cs="Arial"/>
                <w:color w:val="000000"/>
                <w:kern w:val="0"/>
                <w:szCs w:val="21"/>
              </w:rPr>
            </w:pPr>
            <w:r>
              <w:rPr>
                <w:rFonts w:hint="eastAsia" w:ascii="宋体" w:hAnsi="宋体" w:eastAsia="宋体" w:cs="Arial"/>
                <w:color w:val="000000"/>
                <w:kern w:val="0"/>
                <w:sz w:val="20"/>
                <w:szCs w:val="20"/>
              </w:rPr>
              <w:t>0</w:t>
            </w:r>
          </w:p>
        </w:tc>
      </w:tr>
    </w:tbl>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五、存在的主要问题及改进情况</w:t>
      </w:r>
    </w:p>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政府信息公开工作虽然取得了一些成绩，但仍存在一些问题，主要表现在：一是政府信息公开内容结合工作需要进一步细化，公开信息的组织方面需进一步加强；二是政府信息公开工作质量需进一步提高，三是公开信息发布的渠道需进一步拓展。</w:t>
      </w:r>
    </w:p>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针对存在的问题，在今后的政府信息公开工作中主要采取以下改进措施：</w:t>
      </w:r>
    </w:p>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（一）健全工作机制。加强制度建设，对信息公开工作进行系统总结，根据工作实际和发展需要，适时修订完善相关制度，健全内部协作机制，加大培训力度，提升主动公开意识和工作水平。</w:t>
      </w:r>
    </w:p>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二）深化信息公开范围。坚持“以公开为原则，不公开为例外”的理念，严格按照有关条例、文件的要求，除了国家秘密、商业秘密和个人隐私以及法律、法规规定不得公开发布的其他政府信息外，我们将进一步加大政府信息公开力度，以确保政府信息公开的完整性、全面性和及时性。加快推进重点领域和与群众利益密切相关的政府信息公开，保障广大人民群众对政府工作的知情权、参与权和监督权。　</w:t>
      </w:r>
    </w:p>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（三）依法做好依申请公开工作。加强对依申请公开工作热点、难点问题研究，进一步健全完善依申请公开办理流程，在《条例》规定的时限内，准确答复公众申请，维护公众的合法权益。</w:t>
      </w:r>
    </w:p>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六、其他需要报告的事项</w:t>
      </w:r>
    </w:p>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无</w:t>
      </w:r>
    </w:p>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　　　　</w:t>
      </w:r>
    </w:p>
    <w:p>
      <w:pPr>
        <w:widowControl/>
        <w:spacing w:before="75" w:after="75"/>
        <w:jc w:val="left"/>
        <w:rPr>
          <w:rFonts w:ascii="Arial" w:hAnsi="Arial" w:eastAsia="宋体" w:cs="Arial"/>
          <w:color w:val="000000"/>
          <w:kern w:val="0"/>
          <w:szCs w:val="21"/>
        </w:rPr>
      </w:pPr>
    </w:p>
    <w:p>
      <w:pPr>
        <w:widowControl/>
        <w:spacing w:before="75" w:after="75"/>
        <w:ind w:firstLine="480"/>
        <w:jc w:val="right"/>
        <w:rPr>
          <w:rFonts w:ascii="Arial" w:hAnsi="Arial" w:eastAsia="宋体" w:cs="Arial"/>
          <w:color w:val="000000"/>
          <w:kern w:val="0"/>
          <w:szCs w:val="21"/>
        </w:rPr>
      </w:pPr>
      <w:r>
        <w:rPr>
          <w:rFonts w:ascii="Arial" w:hAnsi="Arial" w:eastAsia="宋体" w:cs="Arial"/>
          <w:color w:val="000000"/>
          <w:kern w:val="0"/>
          <w:szCs w:val="21"/>
        </w:rPr>
        <w:t>　　　　高青县发展和改革局</w:t>
      </w:r>
    </w:p>
    <w:p>
      <w:pPr>
        <w:widowControl/>
        <w:spacing w:before="75" w:after="75"/>
        <w:ind w:firstLine="480"/>
        <w:jc w:val="right"/>
        <w:rPr>
          <w:rFonts w:ascii="Arial" w:hAnsi="Arial" w:eastAsia="宋体" w:cs="Arial"/>
          <w:color w:val="000000"/>
          <w:kern w:val="0"/>
          <w:szCs w:val="21"/>
        </w:rPr>
      </w:pPr>
      <w:r>
        <w:rPr>
          <w:rFonts w:ascii="Arial" w:hAnsi="Arial" w:eastAsia="宋体" w:cs="Arial"/>
          <w:color w:val="000000"/>
          <w:kern w:val="0"/>
          <w:szCs w:val="21"/>
        </w:rPr>
        <w:t>　　　　2020年1月15日</w:t>
      </w:r>
    </w:p>
    <w:p>
      <w:pPr>
        <w:jc w:val="left"/>
        <w:rPr>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lOTc1ZmNmMzdjZWVjYzlmOTljYjY4OTY2NGYxNDgifQ=="/>
  </w:docVars>
  <w:rsids>
    <w:rsidRoot w:val="00976DED"/>
    <w:rsid w:val="00085C86"/>
    <w:rsid w:val="00094A03"/>
    <w:rsid w:val="00152BC2"/>
    <w:rsid w:val="001B5560"/>
    <w:rsid w:val="00274830"/>
    <w:rsid w:val="002972FC"/>
    <w:rsid w:val="004F256B"/>
    <w:rsid w:val="005F12C7"/>
    <w:rsid w:val="0061734D"/>
    <w:rsid w:val="00623550"/>
    <w:rsid w:val="006E6FBA"/>
    <w:rsid w:val="00976DED"/>
    <w:rsid w:val="009955F4"/>
    <w:rsid w:val="00C033E5"/>
    <w:rsid w:val="00F93044"/>
    <w:rsid w:val="2BCB4369"/>
    <w:rsid w:val="3A922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zibo.gov.cn/jcms/jcms_files/jcms1/web58/site/picture/0/46ed4a355f954f1f9d5c27c006443481.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hp-pc</Company>
  <Pages>6</Pages>
  <Words>755</Words>
  <Characters>4308</Characters>
  <Lines>35</Lines>
  <Paragraphs>10</Paragraphs>
  <TotalTime>54</TotalTime>
  <ScaleCrop>false</ScaleCrop>
  <LinksUpToDate>false</LinksUpToDate>
  <CharactersWithSpaces>5053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2020-06-29T02:16:00Z</dcterms:created>
  <dc:creator>hp-pc</dc:creator>
  <cp:lastModifiedBy>WPS_1649474049</cp:lastModifiedBy>
  <dcterms:modified xsi:type="dcterms:W3CDTF">2022-08-30T02:55:05Z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C179D89721964BFD93519055733FA374</vt:lpwstr>
  </property>
</Properties>
</file>