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36C" w:rsidRDefault="0001536C">
      <w:pPr>
        <w:spacing w:line="560" w:lineRule="exact"/>
        <w:rPr>
          <w:rFonts w:asciiTheme="majorEastAsia" w:eastAsiaTheme="majorEastAsia" w:hAnsiTheme="majorEastAsia"/>
          <w:b/>
          <w:sz w:val="44"/>
          <w:szCs w:val="44"/>
        </w:rPr>
      </w:pPr>
    </w:p>
    <w:p w:rsidR="0001536C" w:rsidRDefault="0001536C">
      <w:pPr>
        <w:spacing w:line="560" w:lineRule="exact"/>
        <w:jc w:val="center"/>
        <w:rPr>
          <w:rFonts w:asciiTheme="majorEastAsia" w:eastAsiaTheme="majorEastAsia" w:hAnsiTheme="majorEastAsia"/>
          <w:b/>
          <w:sz w:val="44"/>
          <w:szCs w:val="44"/>
        </w:rPr>
      </w:pPr>
    </w:p>
    <w:p w:rsidR="0001536C" w:rsidRDefault="00B16DE9">
      <w:pPr>
        <w:spacing w:line="560" w:lineRule="exact"/>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高青县发展和</w:t>
      </w:r>
      <w:proofErr w:type="gramStart"/>
      <w:r>
        <w:rPr>
          <w:rFonts w:asciiTheme="majorEastAsia" w:eastAsiaTheme="majorEastAsia" w:hAnsiTheme="majorEastAsia" w:hint="eastAsia"/>
          <w:b/>
          <w:sz w:val="36"/>
          <w:szCs w:val="36"/>
        </w:rPr>
        <w:t>改革局</w:t>
      </w:r>
      <w:proofErr w:type="gramEnd"/>
      <w:r>
        <w:rPr>
          <w:rFonts w:asciiTheme="majorEastAsia" w:eastAsiaTheme="majorEastAsia" w:hAnsiTheme="majorEastAsia" w:hint="eastAsia"/>
          <w:b/>
          <w:sz w:val="36"/>
          <w:szCs w:val="36"/>
        </w:rPr>
        <w:t>2020年政府信息公开工作年度报告</w:t>
      </w:r>
    </w:p>
    <w:p w:rsidR="0001536C" w:rsidRDefault="0001536C">
      <w:pPr>
        <w:spacing w:line="560" w:lineRule="exact"/>
        <w:ind w:firstLineChars="200" w:firstLine="640"/>
        <w:rPr>
          <w:rFonts w:ascii="仿宋_GB2312" w:eastAsia="仿宋_GB2312"/>
          <w:sz w:val="32"/>
          <w:szCs w:val="32"/>
        </w:rPr>
      </w:pPr>
    </w:p>
    <w:p w:rsidR="0001536C" w:rsidRDefault="00B16DE9">
      <w:pPr>
        <w:spacing w:line="560" w:lineRule="exact"/>
        <w:ind w:firstLineChars="200" w:firstLine="640"/>
        <w:rPr>
          <w:rFonts w:ascii="仿宋_GB2312" w:eastAsia="仿宋_GB2312"/>
          <w:sz w:val="32"/>
          <w:szCs w:val="32"/>
        </w:rPr>
      </w:pPr>
      <w:r>
        <w:rPr>
          <w:rFonts w:ascii="仿宋_GB2312" w:eastAsia="仿宋_GB2312" w:hint="eastAsia"/>
          <w:sz w:val="32"/>
          <w:szCs w:val="32"/>
        </w:rPr>
        <w:t>本报告根据《中华人民共和国政府信息公开条例》（国务院令第711号，以下简称《条例》）要求，由高青县发展和</w:t>
      </w:r>
      <w:proofErr w:type="gramStart"/>
      <w:r>
        <w:rPr>
          <w:rFonts w:ascii="仿宋_GB2312" w:eastAsia="仿宋_GB2312" w:hint="eastAsia"/>
          <w:sz w:val="32"/>
          <w:szCs w:val="32"/>
        </w:rPr>
        <w:t>改革局</w:t>
      </w:r>
      <w:proofErr w:type="gramEnd"/>
      <w:r>
        <w:rPr>
          <w:rFonts w:ascii="仿宋_GB2312" w:eastAsia="仿宋_GB2312" w:hint="eastAsia"/>
          <w:sz w:val="32"/>
          <w:szCs w:val="32"/>
        </w:rPr>
        <w:t>办公室综合本单位政府信息公开工作情况编制。</w:t>
      </w:r>
    </w:p>
    <w:p w:rsidR="0001536C" w:rsidRDefault="00B16DE9">
      <w:pPr>
        <w:spacing w:line="560" w:lineRule="exact"/>
        <w:ind w:firstLineChars="200" w:firstLine="640"/>
        <w:rPr>
          <w:rFonts w:ascii="仿宋_GB2312" w:eastAsia="仿宋_GB2312"/>
          <w:sz w:val="32"/>
          <w:szCs w:val="32"/>
        </w:rPr>
      </w:pPr>
      <w:r>
        <w:rPr>
          <w:rFonts w:ascii="仿宋_GB2312" w:eastAsia="仿宋_GB2312" w:hint="eastAsia"/>
          <w:sz w:val="32"/>
          <w:szCs w:val="32"/>
        </w:rPr>
        <w:t>报告全文由总体情况、主动公开政府信息情况、收到和处理政府信息公开申请情况、政府信息公开行政复议行政诉讼情况、存在的主要问题及改进情况、其他需要报告的事项6个部分组成。</w:t>
      </w:r>
    </w:p>
    <w:p w:rsidR="0001536C" w:rsidRDefault="00B16DE9">
      <w:pPr>
        <w:spacing w:line="560" w:lineRule="exact"/>
        <w:ind w:firstLineChars="200" w:firstLine="640"/>
        <w:rPr>
          <w:rFonts w:ascii="仿宋_GB2312" w:eastAsia="仿宋_GB2312"/>
          <w:sz w:val="32"/>
          <w:szCs w:val="32"/>
        </w:rPr>
      </w:pPr>
      <w:r>
        <w:rPr>
          <w:rFonts w:ascii="仿宋_GB2312" w:eastAsia="仿宋_GB2312" w:hint="eastAsia"/>
          <w:sz w:val="32"/>
          <w:szCs w:val="32"/>
        </w:rPr>
        <w:t>报告中所列数据统计期限自2020年1月1日始，至2020年12月31日止。报告电子版可在高青县人民政府门户网站（www.gaoqing.gov.cn）查阅和下载。如对报告内容有疑问，请与高青县发展和</w:t>
      </w:r>
      <w:proofErr w:type="gramStart"/>
      <w:r>
        <w:rPr>
          <w:rFonts w:ascii="仿宋_GB2312" w:eastAsia="仿宋_GB2312" w:hint="eastAsia"/>
          <w:sz w:val="32"/>
          <w:szCs w:val="32"/>
        </w:rPr>
        <w:t>改革局</w:t>
      </w:r>
      <w:proofErr w:type="gramEnd"/>
      <w:r>
        <w:rPr>
          <w:rFonts w:ascii="仿宋_GB2312" w:eastAsia="仿宋_GB2312" w:hint="eastAsia"/>
          <w:sz w:val="32"/>
          <w:szCs w:val="32"/>
        </w:rPr>
        <w:t>办公室联系（地址：高青县城黄河路99号；邮编：256300；电话：0533-6967153；传真：0533-6967153）。</w:t>
      </w:r>
    </w:p>
    <w:p w:rsidR="0001536C" w:rsidRDefault="00B16DE9">
      <w:pPr>
        <w:spacing w:line="560" w:lineRule="exact"/>
        <w:ind w:firstLineChars="200" w:firstLine="640"/>
        <w:rPr>
          <w:rFonts w:ascii="黑体" w:eastAsia="黑体" w:hAnsi="黑体"/>
          <w:sz w:val="32"/>
          <w:szCs w:val="32"/>
        </w:rPr>
      </w:pPr>
      <w:r>
        <w:rPr>
          <w:rFonts w:ascii="黑体" w:eastAsia="黑体" w:hAnsi="黑体" w:hint="eastAsia"/>
          <w:sz w:val="32"/>
          <w:szCs w:val="32"/>
        </w:rPr>
        <w:t>一、总体情况</w:t>
      </w:r>
    </w:p>
    <w:p w:rsidR="0001536C" w:rsidRDefault="00B16DE9">
      <w:pPr>
        <w:spacing w:line="560" w:lineRule="exact"/>
        <w:ind w:firstLineChars="200" w:firstLine="640"/>
        <w:rPr>
          <w:rFonts w:ascii="楷体_GB2312" w:eastAsia="楷体_GB2312" w:hAnsi="黑体"/>
          <w:sz w:val="32"/>
          <w:szCs w:val="32"/>
        </w:rPr>
      </w:pPr>
      <w:r>
        <w:rPr>
          <w:rFonts w:ascii="楷体_GB2312" w:eastAsia="楷体_GB2312" w:hAnsi="黑体" w:hint="eastAsia"/>
          <w:sz w:val="32"/>
          <w:szCs w:val="32"/>
        </w:rPr>
        <w:t>（一）体制机制建设</w:t>
      </w:r>
    </w:p>
    <w:p w:rsidR="0001536C" w:rsidRDefault="00B16DE9">
      <w:pPr>
        <w:spacing w:line="560" w:lineRule="exact"/>
        <w:ind w:firstLineChars="200" w:firstLine="640"/>
        <w:rPr>
          <w:rFonts w:ascii="仿宋" w:eastAsia="仿宋" w:hAnsi="仿宋" w:cs="仿宋"/>
          <w:sz w:val="32"/>
          <w:szCs w:val="32"/>
        </w:rPr>
      </w:pPr>
      <w:r>
        <w:rPr>
          <w:rFonts w:ascii="楷体" w:eastAsia="楷体" w:hAnsi="楷体" w:cs="楷体" w:hint="eastAsia"/>
          <w:sz w:val="32"/>
          <w:szCs w:val="32"/>
          <w:shd w:val="clear" w:color="auto" w:fill="FFFFFF"/>
        </w:rPr>
        <w:t>1、加强组织领导。</w:t>
      </w:r>
      <w:r>
        <w:rPr>
          <w:rFonts w:ascii="仿宋" w:eastAsia="仿宋" w:hAnsi="仿宋" w:cs="仿宋" w:hint="eastAsia"/>
          <w:sz w:val="32"/>
          <w:szCs w:val="32"/>
        </w:rPr>
        <w:t>我局高度重视政务公开工作，建立健全工作机制，进一步加强政府信息公开工作领导小组职能，由主要领导担任领导小组组长，班子其他成员为副组长，相关科室负责人为成员，并由一名分管领导兼任领导小组办公室主任，</w:t>
      </w:r>
      <w:proofErr w:type="gramStart"/>
      <w:r>
        <w:rPr>
          <w:rFonts w:ascii="仿宋" w:eastAsia="仿宋" w:hAnsi="仿宋" w:cs="仿宋" w:hint="eastAsia"/>
          <w:sz w:val="32"/>
          <w:szCs w:val="32"/>
        </w:rPr>
        <w:t>明确局</w:t>
      </w:r>
      <w:proofErr w:type="gramEnd"/>
      <w:r>
        <w:rPr>
          <w:rFonts w:ascii="仿宋" w:eastAsia="仿宋" w:hAnsi="仿宋" w:cs="仿宋" w:hint="eastAsia"/>
          <w:sz w:val="32"/>
          <w:szCs w:val="32"/>
        </w:rPr>
        <w:t>办公室为处理信息公开事务的牵头责任科室，为做好政府信息公开工作提供了组织保障，确保了我局</w:t>
      </w:r>
      <w:r>
        <w:rPr>
          <w:rFonts w:ascii="仿宋" w:eastAsia="仿宋" w:hAnsi="仿宋" w:cs="仿宋" w:hint="eastAsia"/>
          <w:sz w:val="32"/>
          <w:szCs w:val="32"/>
        </w:rPr>
        <w:lastRenderedPageBreak/>
        <w:t>信息公开工作的顺利开展。</w:t>
      </w:r>
    </w:p>
    <w:p w:rsidR="0001536C" w:rsidRDefault="00B16DE9">
      <w:pPr>
        <w:ind w:firstLineChars="200" w:firstLine="640"/>
        <w:rPr>
          <w:rFonts w:ascii="仿宋" w:eastAsia="仿宋" w:hAnsi="仿宋" w:cs="仿宋"/>
          <w:sz w:val="32"/>
          <w:szCs w:val="32"/>
        </w:rPr>
      </w:pPr>
      <w:r>
        <w:rPr>
          <w:rFonts w:ascii="仿宋" w:eastAsia="仿宋" w:hAnsi="仿宋" w:cs="仿宋" w:hint="eastAsia"/>
          <w:noProof/>
          <w:sz w:val="32"/>
          <w:szCs w:val="32"/>
        </w:rPr>
        <w:drawing>
          <wp:anchor distT="0" distB="0" distL="114300" distR="114300" simplePos="0" relativeHeight="251658240" behindDoc="0" locked="0" layoutInCell="1" allowOverlap="1">
            <wp:simplePos x="0" y="0"/>
            <wp:positionH relativeFrom="column">
              <wp:posOffset>78740</wp:posOffset>
            </wp:positionH>
            <wp:positionV relativeFrom="paragraph">
              <wp:posOffset>75565</wp:posOffset>
            </wp:positionV>
            <wp:extent cx="5265420" cy="3369310"/>
            <wp:effectExtent l="0" t="0" r="11430" b="2540"/>
            <wp:wrapTopAndBottom/>
            <wp:docPr id="1" name="图片 1" descr="组织机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组织机构"/>
                    <pic:cNvPicPr>
                      <a:picLocks noChangeAspect="1"/>
                    </pic:cNvPicPr>
                  </pic:nvPicPr>
                  <pic:blipFill>
                    <a:blip r:embed="rId7"/>
                    <a:stretch>
                      <a:fillRect/>
                    </a:stretch>
                  </pic:blipFill>
                  <pic:spPr>
                    <a:xfrm>
                      <a:off x="0" y="0"/>
                      <a:ext cx="5265420" cy="3369310"/>
                    </a:xfrm>
                    <a:prstGeom prst="rect">
                      <a:avLst/>
                    </a:prstGeom>
                  </pic:spPr>
                </pic:pic>
              </a:graphicData>
            </a:graphic>
          </wp:anchor>
        </w:drawing>
      </w:r>
    </w:p>
    <w:p w:rsidR="0001536C" w:rsidRDefault="00B16DE9">
      <w:pPr>
        <w:numPr>
          <w:ilvl w:val="0"/>
          <w:numId w:val="1"/>
        </w:numPr>
        <w:spacing w:line="560" w:lineRule="exact"/>
        <w:ind w:firstLineChars="200" w:firstLine="640"/>
        <w:rPr>
          <w:rFonts w:ascii="仿宋" w:eastAsia="仿宋" w:hAnsi="仿宋" w:cs="仿宋"/>
          <w:sz w:val="32"/>
          <w:szCs w:val="32"/>
        </w:rPr>
      </w:pPr>
      <w:r>
        <w:rPr>
          <w:rFonts w:ascii="楷体" w:eastAsia="楷体" w:hAnsi="楷体" w:cs="楷体" w:hint="eastAsia"/>
          <w:sz w:val="32"/>
          <w:szCs w:val="32"/>
        </w:rPr>
        <w:t>加强制度建设。</w:t>
      </w:r>
      <w:r>
        <w:rPr>
          <w:rFonts w:ascii="仿宋" w:eastAsia="仿宋" w:hAnsi="仿宋" w:cs="仿宋" w:hint="eastAsia"/>
          <w:sz w:val="32"/>
          <w:szCs w:val="32"/>
        </w:rPr>
        <w:t>2020年，高青县发展和</w:t>
      </w:r>
      <w:proofErr w:type="gramStart"/>
      <w:r>
        <w:rPr>
          <w:rFonts w:ascii="仿宋" w:eastAsia="仿宋" w:hAnsi="仿宋" w:cs="仿宋" w:hint="eastAsia"/>
          <w:sz w:val="32"/>
          <w:szCs w:val="32"/>
        </w:rPr>
        <w:t>改革局</w:t>
      </w:r>
      <w:proofErr w:type="gramEnd"/>
      <w:r>
        <w:rPr>
          <w:rFonts w:ascii="仿宋" w:eastAsia="仿宋" w:hAnsi="仿宋" w:cs="仿宋" w:hint="eastAsia"/>
          <w:sz w:val="32"/>
          <w:szCs w:val="32"/>
        </w:rPr>
        <w:t>继续深入贯彻落实党中央、国务院关于全面推进政务公开工作的决策部署和《中华人民共和国政府信息公开条例》（以下简称《条例》），认真落实《国务院办公厅关于印发2020年政务公开工作要点的通知》（国办发〔2020〕17号）、《山东省人民政府办公厅关于印发2020年山东省政务公开工作要点的通知》（鲁政办发〔2020〕78号）和《淄博市人民政府办公室关于印发2020年淄博市政务公开工作方案的通知》（</w:t>
      </w:r>
      <w:proofErr w:type="gramStart"/>
      <w:r>
        <w:rPr>
          <w:rFonts w:ascii="仿宋" w:eastAsia="仿宋" w:hAnsi="仿宋" w:cs="仿宋" w:hint="eastAsia"/>
          <w:sz w:val="32"/>
          <w:szCs w:val="32"/>
        </w:rPr>
        <w:t>淄</w:t>
      </w:r>
      <w:proofErr w:type="gramEnd"/>
      <w:r>
        <w:rPr>
          <w:rFonts w:ascii="仿宋" w:eastAsia="仿宋" w:hAnsi="仿宋" w:cs="仿宋" w:hint="eastAsia"/>
          <w:sz w:val="32"/>
          <w:szCs w:val="32"/>
        </w:rPr>
        <w:t>政办发〔2020〕67号）部署的各项任务，紧紧围绕县委、县政府中心工作及群众关注关切，坚持“以公开为常态、不公开为例外”的原则，深化</w:t>
      </w:r>
      <w:proofErr w:type="gramStart"/>
      <w:r>
        <w:rPr>
          <w:rFonts w:ascii="仿宋" w:eastAsia="仿宋" w:hAnsi="仿宋" w:cs="仿宋" w:hint="eastAsia"/>
          <w:sz w:val="32"/>
          <w:szCs w:val="32"/>
        </w:rPr>
        <w:t>发改重点</w:t>
      </w:r>
      <w:proofErr w:type="gramEnd"/>
      <w:r>
        <w:rPr>
          <w:rFonts w:ascii="仿宋" w:eastAsia="仿宋" w:hAnsi="仿宋" w:cs="仿宋" w:hint="eastAsia"/>
          <w:sz w:val="32"/>
          <w:szCs w:val="32"/>
        </w:rPr>
        <w:t>领域信息公开，加大主动公开力度，制定了高青县发展和</w:t>
      </w:r>
      <w:proofErr w:type="gramStart"/>
      <w:r>
        <w:rPr>
          <w:rFonts w:ascii="仿宋" w:eastAsia="仿宋" w:hAnsi="仿宋" w:cs="仿宋" w:hint="eastAsia"/>
          <w:sz w:val="32"/>
          <w:szCs w:val="32"/>
        </w:rPr>
        <w:t>改革局政务</w:t>
      </w:r>
      <w:proofErr w:type="gramEnd"/>
      <w:r>
        <w:rPr>
          <w:rFonts w:ascii="仿宋" w:eastAsia="仿宋" w:hAnsi="仿宋" w:cs="仿宋" w:hint="eastAsia"/>
          <w:sz w:val="32"/>
          <w:szCs w:val="32"/>
        </w:rPr>
        <w:t>公开工作实施方案。</w:t>
      </w:r>
    </w:p>
    <w:p w:rsidR="0001536C" w:rsidRDefault="00B16DE9">
      <w:pPr>
        <w:rPr>
          <w:rFonts w:ascii="仿宋" w:eastAsia="仿宋" w:hAnsi="仿宋" w:cs="仿宋"/>
          <w:sz w:val="32"/>
          <w:szCs w:val="32"/>
        </w:rPr>
      </w:pPr>
      <w:r>
        <w:rPr>
          <w:rFonts w:ascii="仿宋" w:eastAsia="仿宋" w:hAnsi="仿宋" w:cs="仿宋" w:hint="eastAsia"/>
          <w:noProof/>
          <w:sz w:val="32"/>
          <w:szCs w:val="32"/>
        </w:rPr>
        <w:lastRenderedPageBreak/>
        <w:drawing>
          <wp:inline distT="0" distB="0" distL="114300" distR="114300">
            <wp:extent cx="5265420" cy="4458970"/>
            <wp:effectExtent l="0" t="0" r="11430" b="17780"/>
            <wp:docPr id="2" name="图片 2" descr="政务公开实施方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政务公开实施方案"/>
                    <pic:cNvPicPr>
                      <a:picLocks noChangeAspect="1"/>
                    </pic:cNvPicPr>
                  </pic:nvPicPr>
                  <pic:blipFill>
                    <a:blip r:embed="rId8"/>
                    <a:stretch>
                      <a:fillRect/>
                    </a:stretch>
                  </pic:blipFill>
                  <pic:spPr>
                    <a:xfrm>
                      <a:off x="0" y="0"/>
                      <a:ext cx="5265420" cy="4458970"/>
                    </a:xfrm>
                    <a:prstGeom prst="rect">
                      <a:avLst/>
                    </a:prstGeom>
                  </pic:spPr>
                </pic:pic>
              </a:graphicData>
            </a:graphic>
          </wp:inline>
        </w:drawing>
      </w:r>
    </w:p>
    <w:p w:rsidR="0001536C" w:rsidRDefault="00B16DE9">
      <w:pPr>
        <w:numPr>
          <w:ilvl w:val="0"/>
          <w:numId w:val="2"/>
        </w:numPr>
        <w:spacing w:line="560" w:lineRule="exact"/>
        <w:ind w:firstLineChars="200" w:firstLine="640"/>
        <w:rPr>
          <w:rFonts w:ascii="楷体_GB2312" w:eastAsia="楷体_GB2312" w:hAnsi="黑体"/>
          <w:sz w:val="32"/>
          <w:szCs w:val="32"/>
        </w:rPr>
      </w:pPr>
      <w:r>
        <w:rPr>
          <w:rFonts w:ascii="楷体_GB2312" w:eastAsia="楷体_GB2312" w:hAnsi="黑体" w:hint="eastAsia"/>
          <w:sz w:val="32"/>
          <w:szCs w:val="32"/>
        </w:rPr>
        <w:t>主动公开</w:t>
      </w:r>
    </w:p>
    <w:p w:rsidR="0001536C" w:rsidRDefault="00B16DE9">
      <w:pPr>
        <w:numPr>
          <w:ilvl w:val="0"/>
          <w:numId w:val="3"/>
        </w:num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sz w:val="32"/>
          <w:szCs w:val="32"/>
        </w:rPr>
        <w:t>深入推进优化服务工作，</w:t>
      </w:r>
      <w:r>
        <w:rPr>
          <w:rFonts w:ascii="楷体" w:eastAsia="楷体" w:hAnsi="楷体" w:cs="楷体" w:hint="eastAsia"/>
          <w:color w:val="000000"/>
          <w:sz w:val="32"/>
          <w:szCs w:val="32"/>
        </w:rPr>
        <w:t>做好营商环境领域重点领域信息公开。</w:t>
      </w:r>
      <w:r>
        <w:rPr>
          <w:rFonts w:ascii="仿宋_GB2312" w:eastAsia="仿宋_GB2312" w:hAnsi="仿宋_GB2312" w:cs="仿宋_GB2312" w:hint="eastAsia"/>
          <w:color w:val="000000"/>
          <w:sz w:val="32"/>
          <w:szCs w:val="32"/>
        </w:rPr>
        <w:t>我单位严格按照《政府核准的投资项目目录》（2016年本）、《山东省政府核准的投资项目目录》（山东省2017年本）、《企业投资项目核准和备案管理办法》（</w:t>
      </w:r>
      <w:proofErr w:type="gramStart"/>
      <w:r>
        <w:rPr>
          <w:rFonts w:ascii="仿宋_GB2312" w:eastAsia="仿宋_GB2312" w:hAnsi="仿宋_GB2312" w:cs="仿宋_GB2312" w:hint="eastAsia"/>
          <w:color w:val="000000"/>
          <w:sz w:val="32"/>
          <w:szCs w:val="32"/>
        </w:rPr>
        <w:t>国家发改委</w:t>
      </w:r>
      <w:proofErr w:type="gramEnd"/>
      <w:r>
        <w:rPr>
          <w:rFonts w:ascii="仿宋_GB2312" w:eastAsia="仿宋_GB2312" w:hAnsi="仿宋_GB2312" w:cs="仿宋_GB2312" w:hint="eastAsia"/>
          <w:color w:val="000000"/>
          <w:sz w:val="32"/>
          <w:szCs w:val="32"/>
        </w:rPr>
        <w:t>2号令）、《企业投资项目核准和备案管理条例》等管理规定，2020年完成项目立项426件，其中政府投资项目审批145件，企业投资项目备案268件，企业投资项目核准13件。依据信息公开要求，项目立项信息在高青县</w:t>
      </w:r>
      <w:proofErr w:type="gramStart"/>
      <w:r>
        <w:rPr>
          <w:rFonts w:ascii="仿宋_GB2312" w:eastAsia="仿宋_GB2312" w:hAnsi="仿宋_GB2312" w:cs="仿宋_GB2312" w:hint="eastAsia"/>
          <w:color w:val="000000"/>
          <w:sz w:val="32"/>
          <w:szCs w:val="32"/>
        </w:rPr>
        <w:t>政务网</w:t>
      </w:r>
      <w:proofErr w:type="gramEnd"/>
      <w:r>
        <w:rPr>
          <w:rFonts w:ascii="仿宋_GB2312" w:eastAsia="仿宋_GB2312" w:hAnsi="仿宋_GB2312" w:cs="仿宋_GB2312" w:hint="eastAsia"/>
          <w:color w:val="000000"/>
          <w:sz w:val="32"/>
          <w:szCs w:val="32"/>
        </w:rPr>
        <w:t>进行了公开。</w:t>
      </w:r>
    </w:p>
    <w:p w:rsidR="0001536C" w:rsidRDefault="00B16DE9" w:rsidP="00B16DE9">
      <w:pPr>
        <w:ind w:leftChars="200" w:left="420"/>
        <w:rPr>
          <w:rFonts w:ascii="仿宋_GB2312" w:eastAsia="仿宋_GB2312" w:hAnsi="仿宋_GB2312" w:cs="仿宋_GB2312"/>
          <w:color w:val="000000"/>
          <w:sz w:val="32"/>
          <w:szCs w:val="32"/>
        </w:rPr>
      </w:pPr>
      <w:r>
        <w:rPr>
          <w:rFonts w:ascii="仿宋_GB2312" w:eastAsia="仿宋_GB2312" w:hAnsi="仿宋_GB2312" w:cs="仿宋_GB2312" w:hint="eastAsia"/>
          <w:noProof/>
          <w:color w:val="000000"/>
          <w:sz w:val="32"/>
          <w:szCs w:val="32"/>
        </w:rPr>
        <w:lastRenderedPageBreak/>
        <w:drawing>
          <wp:inline distT="0" distB="0" distL="114300" distR="114300">
            <wp:extent cx="5271135" cy="3006090"/>
            <wp:effectExtent l="0" t="0" r="5715" b="3810"/>
            <wp:docPr id="3" name="图片 3" descr="年报插图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年报插图新"/>
                    <pic:cNvPicPr>
                      <a:picLocks noChangeAspect="1"/>
                    </pic:cNvPicPr>
                  </pic:nvPicPr>
                  <pic:blipFill>
                    <a:blip r:embed="rId9"/>
                    <a:stretch>
                      <a:fillRect/>
                    </a:stretch>
                  </pic:blipFill>
                  <pic:spPr>
                    <a:xfrm>
                      <a:off x="0" y="0"/>
                      <a:ext cx="5271135" cy="3006090"/>
                    </a:xfrm>
                    <a:prstGeom prst="rect">
                      <a:avLst/>
                    </a:prstGeom>
                  </pic:spPr>
                </pic:pic>
              </a:graphicData>
            </a:graphic>
          </wp:inline>
        </w:drawing>
      </w:r>
    </w:p>
    <w:p w:rsidR="0001536C" w:rsidRDefault="00B16DE9">
      <w:pPr>
        <w:spacing w:line="560" w:lineRule="exact"/>
        <w:ind w:firstLineChars="200" w:firstLine="640"/>
        <w:rPr>
          <w:rFonts w:ascii="仿宋_GB2312" w:eastAsia="仿宋_GB2312"/>
          <w:sz w:val="32"/>
          <w:szCs w:val="32"/>
        </w:rPr>
      </w:pPr>
      <w:r>
        <w:rPr>
          <w:rFonts w:ascii="楷体" w:eastAsia="楷体" w:hAnsi="楷体" w:cs="楷体" w:hint="eastAsia"/>
          <w:sz w:val="32"/>
          <w:szCs w:val="32"/>
        </w:rPr>
        <w:t>2.做好行政权力运行公开，</w:t>
      </w:r>
      <w:r>
        <w:rPr>
          <w:rFonts w:ascii="仿宋_GB2312" w:eastAsia="仿宋_GB2312" w:hint="eastAsia"/>
          <w:sz w:val="32"/>
          <w:szCs w:val="32"/>
        </w:rPr>
        <w:t>通过“高青人民政府网”公开了本单位职责任务清单、职责边界事项清单、执法人员资格清单等。</w:t>
      </w:r>
    </w:p>
    <w:p w:rsidR="0001536C" w:rsidRDefault="00B16DE9">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3.认真处理政府信息公开申请。</w:t>
      </w:r>
      <w:r>
        <w:rPr>
          <w:rFonts w:ascii="仿宋_GB2312" w:eastAsia="仿宋_GB2312" w:hAnsi="仿宋_GB2312" w:cs="仿宋_GB2312" w:hint="eastAsia"/>
          <w:color w:val="000000"/>
          <w:sz w:val="32"/>
          <w:szCs w:val="32"/>
        </w:rPr>
        <w:t>2020年度，全县各级各部门各单位共收到政府信息公开申请11件，结转下年度继续办理0件，上年结转政府信息公开申请0件。</w:t>
      </w:r>
    </w:p>
    <w:p w:rsidR="0001536C" w:rsidRDefault="00B16DE9">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4.</w:t>
      </w:r>
      <w:r>
        <w:rPr>
          <w:rFonts w:ascii="仿宋_GB2312" w:eastAsia="仿宋_GB2312" w:hAnsi="仿宋_GB2312" w:cs="仿宋_GB2312"/>
          <w:color w:val="000000"/>
          <w:sz w:val="32"/>
          <w:szCs w:val="32"/>
        </w:rPr>
        <w:t>做好人大代表建议和政协委员提案办理结果公开。20</w:t>
      </w:r>
      <w:r>
        <w:rPr>
          <w:rFonts w:ascii="仿宋_GB2312" w:eastAsia="仿宋_GB2312" w:hAnsi="仿宋_GB2312" w:cs="仿宋_GB2312" w:hint="eastAsia"/>
          <w:color w:val="000000"/>
          <w:sz w:val="32"/>
          <w:szCs w:val="32"/>
        </w:rPr>
        <w:t>20</w:t>
      </w:r>
      <w:r>
        <w:rPr>
          <w:rFonts w:ascii="仿宋_GB2312" w:eastAsia="仿宋_GB2312" w:hAnsi="仿宋_GB2312" w:cs="仿宋_GB2312"/>
          <w:color w:val="000000"/>
          <w:sz w:val="32"/>
          <w:szCs w:val="32"/>
        </w:rPr>
        <w:t>年主动公开承办的县人大代表建议</w:t>
      </w:r>
      <w:r>
        <w:rPr>
          <w:rFonts w:ascii="仿宋_GB2312" w:eastAsia="仿宋_GB2312" w:hAnsi="仿宋_GB2312" w:cs="仿宋_GB2312" w:hint="eastAsia"/>
          <w:color w:val="000000"/>
          <w:sz w:val="32"/>
          <w:szCs w:val="32"/>
        </w:rPr>
        <w:t>1</w:t>
      </w:r>
      <w:r>
        <w:rPr>
          <w:rFonts w:ascii="仿宋_GB2312" w:eastAsia="仿宋_GB2312" w:hAnsi="仿宋_GB2312" w:cs="仿宋_GB2312"/>
          <w:color w:val="000000"/>
          <w:sz w:val="32"/>
          <w:szCs w:val="32"/>
        </w:rPr>
        <w:t>件、县政协委员提案</w:t>
      </w:r>
      <w:r>
        <w:rPr>
          <w:rFonts w:ascii="仿宋_GB2312" w:eastAsia="仿宋_GB2312" w:hAnsi="仿宋_GB2312" w:cs="仿宋_GB2312" w:hint="eastAsia"/>
          <w:color w:val="000000"/>
          <w:sz w:val="32"/>
          <w:szCs w:val="32"/>
        </w:rPr>
        <w:t>1</w:t>
      </w:r>
      <w:r>
        <w:rPr>
          <w:rFonts w:ascii="仿宋_GB2312" w:eastAsia="仿宋_GB2312" w:hAnsi="仿宋_GB2312" w:cs="仿宋_GB2312"/>
          <w:color w:val="000000"/>
          <w:sz w:val="32"/>
          <w:szCs w:val="32"/>
        </w:rPr>
        <w:t>件，对涉及公共利益、公众权益、社会关切及需要社会广泛知晓的建议和提案办理复文全文予以公开。</w:t>
      </w:r>
    </w:p>
    <w:p w:rsidR="0001536C" w:rsidRDefault="00B16DE9">
      <w:pPr>
        <w:spacing w:line="560" w:lineRule="exact"/>
        <w:ind w:firstLineChars="200" w:firstLine="640"/>
        <w:rPr>
          <w:rFonts w:ascii="楷体_GB2312" w:eastAsia="楷体_GB2312" w:hAnsi="黑体"/>
          <w:sz w:val="32"/>
          <w:szCs w:val="32"/>
        </w:rPr>
      </w:pPr>
      <w:r>
        <w:rPr>
          <w:rFonts w:ascii="楷体" w:eastAsia="楷体" w:hAnsi="楷体" w:cs="楷体" w:hint="eastAsia"/>
          <w:color w:val="000000"/>
          <w:sz w:val="32"/>
          <w:szCs w:val="32"/>
        </w:rPr>
        <w:t>5、聚焦重点领域扩大公开。</w:t>
      </w:r>
      <w:r>
        <w:rPr>
          <w:rFonts w:ascii="仿宋_GB2312" w:eastAsia="仿宋_GB2312" w:hAnsi="仿宋_GB2312" w:cs="仿宋_GB2312" w:hint="eastAsia"/>
          <w:color w:val="000000"/>
          <w:sz w:val="32"/>
          <w:szCs w:val="32"/>
        </w:rPr>
        <w:t>一是做好社会信用体系建设信息公开。将《关于进一步推动银行业金融机构和企业入驻全国中小企业融资综合信用服务平台的通知》《关于进一步加强市场主体信用承诺制度建设的通知》、《关于转发贯彻落实国办发（2019）35号文件加快推进全市社会信用体系建设构建新型监管机制的通知》等一系列信用建设工作文件在县政务网站公开，让更多的企业和个人了解社会信用体</w:t>
      </w:r>
      <w:r>
        <w:rPr>
          <w:rFonts w:ascii="仿宋_GB2312" w:eastAsia="仿宋_GB2312" w:hAnsi="仿宋_GB2312" w:cs="仿宋_GB2312" w:hint="eastAsia"/>
          <w:color w:val="000000"/>
          <w:sz w:val="32"/>
          <w:szCs w:val="32"/>
        </w:rPr>
        <w:lastRenderedPageBreak/>
        <w:t>系建设工作。积极归集行政审批服务局、税务局等15个单位行政许可和行政处罚信息，按照要求上传至市公共信用信息平台，上报“双公示”信息1.3万余条。二是做好民生保障重点领域信息公开。通过“高青政务网”公开发布《高青县行政事业性收费标准目录清单》、《高青县涉企行政事业性收费标准目录清单》、《高青县县级政府定价经营服务性收费目录清单》、《高青县县级政府定价涉企经营服务性收费目录清单》、《关于印发山东省黄河滩区迁建规划的通知》《关于成立高青县黄河滩区脱贫迁建工程指挥部的通知》等文件。三是加大对我县滩区迁建工作宣传力度，通过电视台、报社等新闻媒体及时公布工程进展情况，2020年10月，高青县在全省黄河滩区居民迁建工作视频会上作典型发言。2020年3月，我市黄河滩区迁建工程获省“工作突出区县奖”奖励资金200万元。2020年5月，“决战”滩区迁建，“梦圆”盛世安澜获2019年度全市创新性实事和制度创新重要成果评选区县创新性实事创新成果评价三等奖。截</w:t>
      </w:r>
      <w:r w:rsidR="00FF5E80">
        <w:rPr>
          <w:rFonts w:ascii="仿宋_GB2312" w:eastAsia="仿宋_GB2312" w:hAnsi="仿宋_GB2312" w:cs="仿宋_GB2312" w:hint="eastAsia"/>
          <w:color w:val="000000"/>
          <w:sz w:val="32"/>
          <w:szCs w:val="32"/>
        </w:rPr>
        <w:t>至</w:t>
      </w:r>
      <w:bookmarkStart w:id="0" w:name="_GoBack"/>
      <w:bookmarkEnd w:id="0"/>
      <w:r>
        <w:rPr>
          <w:rFonts w:ascii="仿宋_GB2312" w:eastAsia="仿宋_GB2312" w:hAnsi="仿宋_GB2312" w:cs="仿宋_GB2312" w:hint="eastAsia"/>
          <w:color w:val="000000"/>
          <w:sz w:val="32"/>
          <w:szCs w:val="32"/>
        </w:rPr>
        <w:t>目前，在省、市、县媒体累计发布新闻报道150余篇、淄博电视台专题系列报道2期、山东电视台“担当作为抓落实”专题报道1期。我县黄河滩区迁建方案编制、规划设计、房屋评估、施工监理等各环节均依法依规公开招投标，接受群众监督。</w:t>
      </w:r>
    </w:p>
    <w:p w:rsidR="0001536C" w:rsidRDefault="00B16DE9">
      <w:pPr>
        <w:spacing w:line="560" w:lineRule="exact"/>
        <w:ind w:firstLineChars="200" w:firstLine="640"/>
        <w:rPr>
          <w:rFonts w:ascii="楷体_GB2312" w:eastAsia="楷体_GB2312" w:hAnsi="黑体"/>
          <w:sz w:val="32"/>
          <w:szCs w:val="32"/>
        </w:rPr>
      </w:pPr>
      <w:r>
        <w:rPr>
          <w:rFonts w:ascii="楷体_GB2312" w:eastAsia="楷体_GB2312" w:hAnsi="黑体" w:hint="eastAsia"/>
          <w:sz w:val="32"/>
          <w:szCs w:val="32"/>
        </w:rPr>
        <w:t>（三）依申请公开</w:t>
      </w:r>
    </w:p>
    <w:p w:rsidR="0001536C" w:rsidRDefault="00B16DE9">
      <w:pPr>
        <w:spacing w:line="560" w:lineRule="exact"/>
        <w:ind w:firstLineChars="200" w:firstLine="640"/>
        <w:rPr>
          <w:rFonts w:ascii="仿宋_GB2312" w:eastAsia="仿宋_GB2312"/>
          <w:sz w:val="32"/>
          <w:szCs w:val="32"/>
        </w:rPr>
      </w:pPr>
      <w:r>
        <w:rPr>
          <w:rFonts w:ascii="仿宋_GB2312" w:eastAsia="仿宋_GB2312" w:hint="eastAsia"/>
          <w:sz w:val="32"/>
          <w:szCs w:val="32"/>
        </w:rPr>
        <w:t>1.收到和处理政府信息公开申请情况</w:t>
      </w:r>
    </w:p>
    <w:p w:rsidR="0001536C" w:rsidRDefault="00B16DE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2020年度，全县各级各部门各单位共收到政府信息公开申请11件，结转下年度继续办理0件，上年结转政府信息公开申请0件。</w:t>
      </w:r>
    </w:p>
    <w:p w:rsidR="0001536C" w:rsidRDefault="00B16DE9">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2.收费和减免情况</w:t>
      </w:r>
    </w:p>
    <w:p w:rsidR="0001536C" w:rsidRDefault="00B16DE9">
      <w:pPr>
        <w:spacing w:line="560" w:lineRule="exact"/>
        <w:ind w:firstLineChars="200" w:firstLine="640"/>
        <w:rPr>
          <w:rFonts w:ascii="仿宋_GB2312" w:eastAsia="仿宋_GB2312"/>
          <w:sz w:val="32"/>
          <w:szCs w:val="32"/>
        </w:rPr>
      </w:pPr>
      <w:r>
        <w:rPr>
          <w:rFonts w:ascii="仿宋_GB2312" w:eastAsia="仿宋_GB2312" w:hint="eastAsia"/>
          <w:sz w:val="32"/>
          <w:szCs w:val="32"/>
        </w:rPr>
        <w:t>2020年，我单位在政府信息公开申请办理过程中，未收取任何费用。</w:t>
      </w:r>
    </w:p>
    <w:p w:rsidR="0001536C" w:rsidRDefault="00B16DE9">
      <w:pPr>
        <w:spacing w:line="560" w:lineRule="exact"/>
        <w:ind w:firstLineChars="200" w:firstLine="640"/>
        <w:rPr>
          <w:rFonts w:ascii="仿宋_GB2312" w:eastAsia="仿宋_GB2312"/>
          <w:sz w:val="32"/>
          <w:szCs w:val="32"/>
        </w:rPr>
      </w:pPr>
      <w:r>
        <w:rPr>
          <w:rFonts w:ascii="仿宋_GB2312" w:eastAsia="仿宋_GB2312" w:hint="eastAsia"/>
          <w:sz w:val="32"/>
          <w:szCs w:val="32"/>
        </w:rPr>
        <w:t>3.政府信息公开行政复议、行政诉讼情况</w:t>
      </w:r>
    </w:p>
    <w:p w:rsidR="0001536C" w:rsidRDefault="00B16DE9">
      <w:pPr>
        <w:spacing w:line="560" w:lineRule="exact"/>
        <w:ind w:firstLineChars="200" w:firstLine="640"/>
        <w:rPr>
          <w:rFonts w:ascii="楷体_GB2312" w:eastAsia="楷体_GB2312" w:hAnsi="黑体"/>
          <w:sz w:val="32"/>
          <w:szCs w:val="32"/>
        </w:rPr>
      </w:pPr>
      <w:r>
        <w:rPr>
          <w:rFonts w:ascii="仿宋_GB2312" w:eastAsia="仿宋_GB2312" w:hint="eastAsia"/>
          <w:sz w:val="32"/>
          <w:szCs w:val="32"/>
        </w:rPr>
        <w:t>2020年，本单位因政府信息公开被申请行政复议0件。</w:t>
      </w:r>
    </w:p>
    <w:p w:rsidR="0001536C" w:rsidRDefault="00B16DE9">
      <w:pPr>
        <w:spacing w:line="560" w:lineRule="exact"/>
        <w:ind w:firstLineChars="200" w:firstLine="640"/>
        <w:rPr>
          <w:rFonts w:ascii="楷体_GB2312" w:eastAsia="楷体_GB2312" w:hAnsi="黑体"/>
          <w:sz w:val="32"/>
          <w:szCs w:val="32"/>
        </w:rPr>
      </w:pPr>
      <w:r>
        <w:rPr>
          <w:rFonts w:ascii="楷体_GB2312" w:eastAsia="楷体_GB2312" w:hAnsi="黑体" w:hint="eastAsia"/>
          <w:sz w:val="32"/>
          <w:szCs w:val="32"/>
        </w:rPr>
        <w:t>（四）政府信息管理</w:t>
      </w:r>
    </w:p>
    <w:p w:rsidR="0001536C" w:rsidRDefault="00B16DE9">
      <w:pPr>
        <w:spacing w:line="560" w:lineRule="exact"/>
        <w:ind w:firstLineChars="200" w:firstLine="640"/>
        <w:rPr>
          <w:rFonts w:ascii="楷体_GB2312" w:eastAsia="楷体_GB2312" w:hAnsi="黑体"/>
          <w:sz w:val="32"/>
          <w:szCs w:val="32"/>
        </w:rPr>
      </w:pPr>
      <w:r>
        <w:rPr>
          <w:rFonts w:ascii="仿宋" w:eastAsia="仿宋" w:hAnsi="仿宋" w:cs="仿宋" w:hint="eastAsia"/>
          <w:sz w:val="32"/>
          <w:szCs w:val="32"/>
        </w:rPr>
        <w:t>一是加强政务信息规范管理，及时清理废止、失效的政府信息。二是积极参加政府信息公开培训，对新修订的《中华人民共和国政府信息公开条例》以及省市政务公开方案进行系统学习，进一步提高了政务公开工作人员的业务能力。</w:t>
      </w:r>
    </w:p>
    <w:p w:rsidR="0001536C" w:rsidRDefault="00B16DE9">
      <w:pPr>
        <w:spacing w:line="560" w:lineRule="exact"/>
        <w:ind w:firstLineChars="200" w:firstLine="640"/>
        <w:rPr>
          <w:rFonts w:ascii="楷体_GB2312" w:eastAsia="楷体_GB2312" w:hAnsi="黑体"/>
          <w:sz w:val="32"/>
          <w:szCs w:val="32"/>
        </w:rPr>
      </w:pPr>
      <w:r>
        <w:rPr>
          <w:rFonts w:ascii="楷体_GB2312" w:eastAsia="楷体_GB2312" w:hAnsi="黑体" w:hint="eastAsia"/>
          <w:sz w:val="32"/>
          <w:szCs w:val="32"/>
        </w:rPr>
        <w:t>（五）平台建设</w:t>
      </w:r>
    </w:p>
    <w:p w:rsidR="0001536C" w:rsidRDefault="00B16DE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一是加强平台建设。强化县政府门户网站政务公开第一平台作用，完善政府信息公开目录，加大重点领域信息公开力度。利用县政府门户网站、</w:t>
      </w:r>
      <w:proofErr w:type="gramStart"/>
      <w:r>
        <w:rPr>
          <w:rFonts w:ascii="仿宋" w:eastAsia="仿宋" w:hAnsi="仿宋" w:cs="仿宋" w:hint="eastAsia"/>
          <w:sz w:val="32"/>
          <w:szCs w:val="32"/>
        </w:rPr>
        <w:t>微信公众号</w:t>
      </w:r>
      <w:proofErr w:type="gramEnd"/>
      <w:r>
        <w:rPr>
          <w:rFonts w:ascii="仿宋" w:eastAsia="仿宋" w:hAnsi="仿宋" w:cs="仿宋" w:hint="eastAsia"/>
          <w:sz w:val="32"/>
          <w:szCs w:val="32"/>
        </w:rPr>
        <w:t>、信息公开栏、电子屏等方式和途径，广泛开展政府信息公开工作。</w:t>
      </w:r>
    </w:p>
    <w:p w:rsidR="0001536C" w:rsidRDefault="00B16DE9">
      <w:pPr>
        <w:spacing w:line="560" w:lineRule="exact"/>
        <w:ind w:firstLineChars="200" w:firstLine="640"/>
        <w:rPr>
          <w:rFonts w:ascii="楷体_GB2312" w:eastAsia="楷体_GB2312" w:hAnsi="黑体"/>
          <w:sz w:val="32"/>
          <w:szCs w:val="32"/>
        </w:rPr>
      </w:pPr>
      <w:r>
        <w:rPr>
          <w:rFonts w:ascii="仿宋" w:eastAsia="仿宋" w:hAnsi="仿宋" w:cs="仿宋" w:hint="eastAsia"/>
          <w:sz w:val="32"/>
          <w:szCs w:val="32"/>
        </w:rPr>
        <w:t>二是强化机构建设。办公室作为单位政府信息公开工作部门，统筹负责单位信息公开组织协调、指导推进、监督检查等工作。2人负责政务公开工作，其中1人专职，1人兼职。</w:t>
      </w:r>
    </w:p>
    <w:p w:rsidR="0001536C" w:rsidRDefault="00B16DE9">
      <w:pPr>
        <w:spacing w:line="560" w:lineRule="exact"/>
        <w:ind w:firstLineChars="200" w:firstLine="640"/>
        <w:rPr>
          <w:rFonts w:ascii="楷体_GB2312" w:eastAsia="楷体_GB2312" w:hAnsi="黑体"/>
          <w:sz w:val="32"/>
          <w:szCs w:val="32"/>
        </w:rPr>
      </w:pPr>
      <w:r>
        <w:rPr>
          <w:rFonts w:ascii="楷体_GB2312" w:eastAsia="楷体_GB2312" w:hAnsi="黑体" w:hint="eastAsia"/>
          <w:sz w:val="32"/>
          <w:szCs w:val="32"/>
        </w:rPr>
        <w:t>（六）监督保障</w:t>
      </w:r>
    </w:p>
    <w:p w:rsidR="0001536C" w:rsidRDefault="00B16DE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强化政务公开工作组织保障，认真落实政府信息公开考核制度，严格遵循政府信息公开基本原则开展信息公开工作，做到“依法公开，真实公正，注重实效，有利监督”。</w:t>
      </w:r>
    </w:p>
    <w:p w:rsidR="0001536C" w:rsidRDefault="0001536C">
      <w:pPr>
        <w:spacing w:line="560" w:lineRule="exact"/>
        <w:ind w:firstLineChars="200" w:firstLine="640"/>
        <w:rPr>
          <w:rFonts w:ascii="仿宋" w:eastAsia="仿宋" w:hAnsi="仿宋" w:cs="仿宋"/>
          <w:sz w:val="32"/>
          <w:szCs w:val="32"/>
        </w:rPr>
      </w:pPr>
    </w:p>
    <w:p w:rsidR="0001536C" w:rsidRDefault="00B16DE9">
      <w:pPr>
        <w:numPr>
          <w:ilvl w:val="0"/>
          <w:numId w:val="4"/>
        </w:numPr>
        <w:spacing w:line="560" w:lineRule="exact"/>
        <w:ind w:firstLineChars="200" w:firstLine="640"/>
        <w:rPr>
          <w:rFonts w:ascii="黑体" w:eastAsia="黑体" w:hAnsi="黑体"/>
          <w:sz w:val="32"/>
          <w:szCs w:val="32"/>
        </w:rPr>
      </w:pPr>
      <w:r>
        <w:rPr>
          <w:rFonts w:ascii="黑体" w:eastAsia="黑体" w:hAnsi="黑体" w:hint="eastAsia"/>
          <w:sz w:val="32"/>
          <w:szCs w:val="32"/>
        </w:rPr>
        <w:t>主动公开政府信息情况</w:t>
      </w:r>
    </w:p>
    <w:p w:rsidR="0001536C" w:rsidRDefault="0001536C">
      <w:pPr>
        <w:spacing w:line="560" w:lineRule="exact"/>
        <w:ind w:firstLineChars="200" w:firstLine="640"/>
        <w:rPr>
          <w:rFonts w:ascii="黑体" w:eastAsia="黑体" w:hAnsi="黑体"/>
          <w:sz w:val="32"/>
          <w:szCs w:val="32"/>
        </w:rPr>
      </w:pPr>
    </w:p>
    <w:tbl>
      <w:tblPr>
        <w:tblW w:w="8705" w:type="dxa"/>
        <w:jc w:val="center"/>
        <w:tblLook w:val="04A0" w:firstRow="1" w:lastRow="0" w:firstColumn="1" w:lastColumn="0" w:noHBand="0" w:noVBand="1"/>
      </w:tblPr>
      <w:tblGrid>
        <w:gridCol w:w="2752"/>
        <w:gridCol w:w="1984"/>
        <w:gridCol w:w="1985"/>
        <w:gridCol w:w="1984"/>
      </w:tblGrid>
      <w:tr w:rsidR="0001536C">
        <w:trPr>
          <w:trHeight w:val="495"/>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1536C" w:rsidRDefault="00B16DE9">
            <w:pPr>
              <w:widowControl/>
              <w:spacing w:line="36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lastRenderedPageBreak/>
              <w:t>第二十条第（一）项</w:t>
            </w:r>
          </w:p>
        </w:tc>
      </w:tr>
      <w:tr w:rsidR="0001536C">
        <w:trPr>
          <w:trHeight w:val="882"/>
          <w:jc w:val="center"/>
        </w:trPr>
        <w:tc>
          <w:tcPr>
            <w:tcW w:w="2752" w:type="dxa"/>
            <w:tcBorders>
              <w:top w:val="nil"/>
              <w:left w:val="single" w:sz="4" w:space="0" w:color="auto"/>
              <w:bottom w:val="single" w:sz="4" w:space="0" w:color="auto"/>
              <w:right w:val="single" w:sz="4" w:space="0" w:color="auto"/>
            </w:tcBorders>
            <w:noWrap/>
            <w:vAlign w:val="center"/>
          </w:tcPr>
          <w:p w:rsidR="0001536C" w:rsidRDefault="00B16DE9">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信息内容</w:t>
            </w:r>
          </w:p>
        </w:tc>
        <w:tc>
          <w:tcPr>
            <w:tcW w:w="1984" w:type="dxa"/>
            <w:tcBorders>
              <w:top w:val="single" w:sz="4" w:space="0" w:color="auto"/>
              <w:left w:val="nil"/>
              <w:bottom w:val="single" w:sz="4" w:space="0" w:color="auto"/>
              <w:right w:val="single" w:sz="4" w:space="0" w:color="auto"/>
            </w:tcBorders>
            <w:noWrap/>
            <w:vAlign w:val="center"/>
          </w:tcPr>
          <w:p w:rsidR="0001536C" w:rsidRDefault="00B16DE9">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本年新</w:t>
            </w:r>
            <w:r>
              <w:rPr>
                <w:rFonts w:ascii="宋体" w:eastAsia="宋体" w:hAnsi="宋体" w:cs="宋体"/>
                <w:color w:val="333333"/>
                <w:kern w:val="0"/>
                <w:sz w:val="24"/>
                <w:szCs w:val="24"/>
              </w:rPr>
              <w:t>制作数量</w:t>
            </w:r>
          </w:p>
        </w:tc>
        <w:tc>
          <w:tcPr>
            <w:tcW w:w="1985" w:type="dxa"/>
            <w:tcBorders>
              <w:top w:val="single" w:sz="4" w:space="0" w:color="auto"/>
              <w:left w:val="nil"/>
              <w:bottom w:val="single" w:sz="4" w:space="0" w:color="auto"/>
              <w:right w:val="single" w:sz="4" w:space="0" w:color="auto"/>
            </w:tcBorders>
            <w:vAlign w:val="center"/>
          </w:tcPr>
          <w:p w:rsidR="0001536C" w:rsidRDefault="00B16DE9">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本年新</w:t>
            </w:r>
            <w:r>
              <w:rPr>
                <w:rFonts w:ascii="宋体" w:eastAsia="宋体" w:hAnsi="宋体" w:cs="宋体"/>
                <w:color w:val="333333"/>
                <w:kern w:val="0"/>
                <w:sz w:val="24"/>
                <w:szCs w:val="24"/>
              </w:rPr>
              <w:t>公开数量</w:t>
            </w:r>
          </w:p>
        </w:tc>
        <w:tc>
          <w:tcPr>
            <w:tcW w:w="1984" w:type="dxa"/>
            <w:tcBorders>
              <w:top w:val="nil"/>
              <w:left w:val="nil"/>
              <w:bottom w:val="single" w:sz="4" w:space="0" w:color="auto"/>
              <w:right w:val="single" w:sz="4" w:space="0" w:color="auto"/>
            </w:tcBorders>
            <w:noWrap/>
            <w:vAlign w:val="center"/>
          </w:tcPr>
          <w:p w:rsidR="0001536C" w:rsidRDefault="00B16DE9">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对外公开总数量</w:t>
            </w:r>
          </w:p>
        </w:tc>
      </w:tr>
      <w:tr w:rsidR="0001536C">
        <w:trPr>
          <w:trHeight w:val="692"/>
          <w:jc w:val="center"/>
        </w:trPr>
        <w:tc>
          <w:tcPr>
            <w:tcW w:w="2752" w:type="dxa"/>
            <w:tcBorders>
              <w:top w:val="nil"/>
              <w:left w:val="single" w:sz="4" w:space="0" w:color="auto"/>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规章</w:t>
            </w:r>
          </w:p>
        </w:tc>
        <w:tc>
          <w:tcPr>
            <w:tcW w:w="1984" w:type="dxa"/>
            <w:tcBorders>
              <w:top w:val="single" w:sz="4" w:space="0" w:color="auto"/>
              <w:left w:val="nil"/>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 xml:space="preserve">  0</w:t>
            </w:r>
          </w:p>
        </w:tc>
        <w:tc>
          <w:tcPr>
            <w:tcW w:w="1985" w:type="dxa"/>
            <w:tcBorders>
              <w:top w:val="single" w:sz="4" w:space="0" w:color="auto"/>
              <w:left w:val="nil"/>
              <w:bottom w:val="single" w:sz="4" w:space="0" w:color="auto"/>
              <w:right w:val="single" w:sz="4" w:space="0" w:color="auto"/>
            </w:tcBorders>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Calibri" w:cs="Times New Roman" w:hint="eastAsia"/>
                <w:color w:val="000000"/>
                <w:kern w:val="0"/>
                <w:sz w:val="24"/>
                <w:szCs w:val="24"/>
              </w:rPr>
              <w:t> </w:t>
            </w:r>
            <w:r>
              <w:rPr>
                <w:rFonts w:ascii="宋体" w:eastAsia="宋体" w:hAnsi="Calibri" w:cs="Times New Roman" w:hint="eastAsia"/>
                <w:color w:val="000000"/>
                <w:kern w:val="0"/>
                <w:sz w:val="24"/>
                <w:szCs w:val="24"/>
              </w:rPr>
              <w:t>0</w:t>
            </w:r>
          </w:p>
        </w:tc>
        <w:tc>
          <w:tcPr>
            <w:tcW w:w="1984" w:type="dxa"/>
            <w:tcBorders>
              <w:top w:val="nil"/>
              <w:left w:val="nil"/>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 xml:space="preserve">　0</w:t>
            </w:r>
          </w:p>
        </w:tc>
      </w:tr>
      <w:tr w:rsidR="0001536C">
        <w:trPr>
          <w:trHeight w:val="572"/>
          <w:jc w:val="center"/>
        </w:trPr>
        <w:tc>
          <w:tcPr>
            <w:tcW w:w="2752" w:type="dxa"/>
            <w:tcBorders>
              <w:top w:val="nil"/>
              <w:left w:val="single" w:sz="4" w:space="0" w:color="auto"/>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规范性文件</w:t>
            </w:r>
          </w:p>
        </w:tc>
        <w:tc>
          <w:tcPr>
            <w:tcW w:w="1984" w:type="dxa"/>
            <w:tcBorders>
              <w:top w:val="nil"/>
              <w:left w:val="nil"/>
              <w:bottom w:val="single" w:sz="4" w:space="0" w:color="auto"/>
              <w:right w:val="single" w:sz="4" w:space="0" w:color="auto"/>
            </w:tcBorders>
            <w:noWrap/>
            <w:vAlign w:val="center"/>
          </w:tcPr>
          <w:p w:rsidR="0001536C" w:rsidRDefault="00B16DE9" w:rsidP="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 xml:space="preserve">  4</w:t>
            </w:r>
          </w:p>
        </w:tc>
        <w:tc>
          <w:tcPr>
            <w:tcW w:w="1985" w:type="dxa"/>
            <w:tcBorders>
              <w:top w:val="nil"/>
              <w:left w:val="nil"/>
              <w:bottom w:val="single" w:sz="4" w:space="0" w:color="auto"/>
              <w:right w:val="single" w:sz="4" w:space="0" w:color="auto"/>
            </w:tcBorders>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Calibri" w:cs="Times New Roman" w:hint="eastAsia"/>
                <w:color w:val="000000"/>
                <w:kern w:val="0"/>
                <w:sz w:val="24"/>
                <w:szCs w:val="24"/>
              </w:rPr>
              <w:t>4</w:t>
            </w:r>
          </w:p>
        </w:tc>
        <w:tc>
          <w:tcPr>
            <w:tcW w:w="1984" w:type="dxa"/>
            <w:tcBorders>
              <w:top w:val="nil"/>
              <w:left w:val="nil"/>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4</w:t>
            </w:r>
          </w:p>
        </w:tc>
      </w:tr>
      <w:tr w:rsidR="0001536C">
        <w:trPr>
          <w:trHeight w:val="480"/>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1536C" w:rsidRDefault="00B16DE9">
            <w:pPr>
              <w:widowControl/>
              <w:spacing w:line="360" w:lineRule="auto"/>
              <w:jc w:val="center"/>
              <w:rPr>
                <w:rFonts w:ascii="宋体" w:eastAsia="宋体" w:hAnsi="宋体" w:cs="宋体"/>
                <w:color w:val="333333"/>
                <w:kern w:val="0"/>
                <w:sz w:val="24"/>
                <w:szCs w:val="24"/>
              </w:rPr>
            </w:pPr>
            <w:r>
              <w:rPr>
                <w:rFonts w:ascii="宋体" w:eastAsia="宋体" w:hAnsi="宋体" w:cs="宋体" w:hint="eastAsia"/>
                <w:b/>
                <w:color w:val="333333"/>
                <w:kern w:val="0"/>
                <w:sz w:val="24"/>
                <w:szCs w:val="24"/>
              </w:rPr>
              <w:t>第二十条第（五）项</w:t>
            </w:r>
          </w:p>
        </w:tc>
      </w:tr>
      <w:tr w:rsidR="0001536C">
        <w:trPr>
          <w:trHeight w:val="634"/>
          <w:jc w:val="center"/>
        </w:trPr>
        <w:tc>
          <w:tcPr>
            <w:tcW w:w="2752" w:type="dxa"/>
            <w:tcBorders>
              <w:top w:val="nil"/>
              <w:left w:val="single" w:sz="4" w:space="0" w:color="auto"/>
              <w:bottom w:val="single" w:sz="4" w:space="0" w:color="auto"/>
              <w:right w:val="single" w:sz="4" w:space="0" w:color="auto"/>
            </w:tcBorders>
            <w:noWrap/>
            <w:vAlign w:val="center"/>
          </w:tcPr>
          <w:p w:rsidR="0001536C" w:rsidRDefault="00B16DE9">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信息内容</w:t>
            </w:r>
          </w:p>
        </w:tc>
        <w:tc>
          <w:tcPr>
            <w:tcW w:w="1984" w:type="dxa"/>
            <w:tcBorders>
              <w:top w:val="single" w:sz="4" w:space="0" w:color="auto"/>
              <w:left w:val="nil"/>
              <w:bottom w:val="single" w:sz="4" w:space="0" w:color="auto"/>
              <w:right w:val="single" w:sz="4" w:space="0" w:color="auto"/>
            </w:tcBorders>
            <w:noWrap/>
            <w:vAlign w:val="center"/>
          </w:tcPr>
          <w:p w:rsidR="0001536C" w:rsidRDefault="00B16DE9">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上一年项目数量</w:t>
            </w:r>
          </w:p>
        </w:tc>
        <w:tc>
          <w:tcPr>
            <w:tcW w:w="1985" w:type="dxa"/>
            <w:tcBorders>
              <w:top w:val="single" w:sz="4" w:space="0" w:color="auto"/>
              <w:left w:val="nil"/>
              <w:bottom w:val="single" w:sz="4" w:space="0" w:color="auto"/>
              <w:right w:val="single" w:sz="4" w:space="0" w:color="auto"/>
            </w:tcBorders>
            <w:vAlign w:val="center"/>
          </w:tcPr>
          <w:p w:rsidR="0001536C" w:rsidRDefault="00B16DE9">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本年增/减</w:t>
            </w:r>
          </w:p>
        </w:tc>
        <w:tc>
          <w:tcPr>
            <w:tcW w:w="1984" w:type="dxa"/>
            <w:tcBorders>
              <w:top w:val="nil"/>
              <w:left w:val="nil"/>
              <w:bottom w:val="single" w:sz="4" w:space="0" w:color="auto"/>
              <w:right w:val="single" w:sz="4" w:space="0" w:color="auto"/>
            </w:tcBorders>
            <w:noWrap/>
            <w:vAlign w:val="center"/>
          </w:tcPr>
          <w:p w:rsidR="0001536C" w:rsidRDefault="00B16DE9">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处理决定数量</w:t>
            </w:r>
          </w:p>
        </w:tc>
      </w:tr>
      <w:tr w:rsidR="0001536C">
        <w:trPr>
          <w:trHeight w:val="670"/>
          <w:jc w:val="center"/>
        </w:trPr>
        <w:tc>
          <w:tcPr>
            <w:tcW w:w="2752" w:type="dxa"/>
            <w:tcBorders>
              <w:top w:val="nil"/>
              <w:left w:val="single" w:sz="4" w:space="0" w:color="auto"/>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行政许可</w:t>
            </w:r>
          </w:p>
        </w:tc>
        <w:tc>
          <w:tcPr>
            <w:tcW w:w="1984" w:type="dxa"/>
            <w:tcBorders>
              <w:top w:val="nil"/>
              <w:left w:val="nil"/>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 xml:space="preserve">　7</w:t>
            </w:r>
          </w:p>
        </w:tc>
        <w:tc>
          <w:tcPr>
            <w:tcW w:w="1985" w:type="dxa"/>
            <w:tcBorders>
              <w:top w:val="nil"/>
              <w:left w:val="nil"/>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 xml:space="preserve">　+12</w:t>
            </w:r>
          </w:p>
        </w:tc>
        <w:tc>
          <w:tcPr>
            <w:tcW w:w="1984" w:type="dxa"/>
            <w:tcBorders>
              <w:top w:val="nil"/>
              <w:left w:val="nil"/>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 xml:space="preserve">　19</w:t>
            </w:r>
          </w:p>
        </w:tc>
      </w:tr>
      <w:tr w:rsidR="0001536C">
        <w:trPr>
          <w:trHeight w:val="694"/>
          <w:jc w:val="center"/>
        </w:trPr>
        <w:tc>
          <w:tcPr>
            <w:tcW w:w="2752" w:type="dxa"/>
            <w:tcBorders>
              <w:top w:val="nil"/>
              <w:left w:val="single" w:sz="4" w:space="0" w:color="auto"/>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其他对外管理服务事项</w:t>
            </w:r>
          </w:p>
        </w:tc>
        <w:tc>
          <w:tcPr>
            <w:tcW w:w="1984" w:type="dxa"/>
            <w:tcBorders>
              <w:top w:val="nil"/>
              <w:left w:val="nil"/>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 xml:space="preserve">　266</w:t>
            </w:r>
          </w:p>
        </w:tc>
        <w:tc>
          <w:tcPr>
            <w:tcW w:w="1985" w:type="dxa"/>
            <w:tcBorders>
              <w:top w:val="nil"/>
              <w:left w:val="nil"/>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 xml:space="preserve">　0</w:t>
            </w:r>
          </w:p>
        </w:tc>
        <w:tc>
          <w:tcPr>
            <w:tcW w:w="1984" w:type="dxa"/>
            <w:tcBorders>
              <w:top w:val="nil"/>
              <w:left w:val="nil"/>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 xml:space="preserve">　0</w:t>
            </w:r>
          </w:p>
        </w:tc>
      </w:tr>
      <w:tr w:rsidR="0001536C">
        <w:trPr>
          <w:trHeight w:val="406"/>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1536C" w:rsidRDefault="00B16DE9">
            <w:pPr>
              <w:widowControl/>
              <w:spacing w:line="360" w:lineRule="auto"/>
              <w:jc w:val="center"/>
              <w:rPr>
                <w:rFonts w:ascii="宋体" w:eastAsia="宋体" w:hAnsi="宋体" w:cs="宋体"/>
                <w:color w:val="333333"/>
                <w:kern w:val="0"/>
                <w:sz w:val="24"/>
                <w:szCs w:val="24"/>
              </w:rPr>
            </w:pPr>
            <w:r>
              <w:rPr>
                <w:rFonts w:ascii="宋体" w:eastAsia="宋体" w:hAnsi="宋体" w:cs="宋体" w:hint="eastAsia"/>
                <w:b/>
                <w:color w:val="333333"/>
                <w:kern w:val="0"/>
                <w:sz w:val="24"/>
                <w:szCs w:val="24"/>
              </w:rPr>
              <w:t>第二十条第（六）项</w:t>
            </w:r>
          </w:p>
        </w:tc>
      </w:tr>
      <w:tr w:rsidR="0001536C">
        <w:trPr>
          <w:trHeight w:val="634"/>
          <w:jc w:val="center"/>
        </w:trPr>
        <w:tc>
          <w:tcPr>
            <w:tcW w:w="2752" w:type="dxa"/>
            <w:tcBorders>
              <w:top w:val="nil"/>
              <w:left w:val="single" w:sz="4" w:space="0" w:color="auto"/>
              <w:bottom w:val="single" w:sz="4" w:space="0" w:color="auto"/>
              <w:right w:val="single" w:sz="4" w:space="0" w:color="auto"/>
            </w:tcBorders>
            <w:noWrap/>
            <w:vAlign w:val="center"/>
          </w:tcPr>
          <w:p w:rsidR="0001536C" w:rsidRDefault="00B16DE9">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信息内容</w:t>
            </w:r>
          </w:p>
        </w:tc>
        <w:tc>
          <w:tcPr>
            <w:tcW w:w="1984" w:type="dxa"/>
            <w:tcBorders>
              <w:top w:val="single" w:sz="4" w:space="0" w:color="auto"/>
              <w:left w:val="nil"/>
              <w:bottom w:val="single" w:sz="4" w:space="0" w:color="auto"/>
              <w:right w:val="single" w:sz="4" w:space="0" w:color="auto"/>
            </w:tcBorders>
            <w:noWrap/>
            <w:vAlign w:val="center"/>
          </w:tcPr>
          <w:p w:rsidR="0001536C" w:rsidRDefault="00B16DE9">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上一年项目数量</w:t>
            </w:r>
          </w:p>
        </w:tc>
        <w:tc>
          <w:tcPr>
            <w:tcW w:w="1985" w:type="dxa"/>
            <w:tcBorders>
              <w:top w:val="single" w:sz="4" w:space="0" w:color="auto"/>
              <w:left w:val="nil"/>
              <w:bottom w:val="single" w:sz="4" w:space="0" w:color="auto"/>
              <w:right w:val="single" w:sz="4" w:space="0" w:color="auto"/>
            </w:tcBorders>
            <w:vAlign w:val="center"/>
          </w:tcPr>
          <w:p w:rsidR="0001536C" w:rsidRDefault="00B16DE9">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本年增/减</w:t>
            </w:r>
          </w:p>
        </w:tc>
        <w:tc>
          <w:tcPr>
            <w:tcW w:w="1984" w:type="dxa"/>
            <w:tcBorders>
              <w:top w:val="nil"/>
              <w:left w:val="nil"/>
              <w:bottom w:val="single" w:sz="4" w:space="0" w:color="auto"/>
              <w:right w:val="single" w:sz="4" w:space="0" w:color="auto"/>
            </w:tcBorders>
            <w:noWrap/>
            <w:vAlign w:val="center"/>
          </w:tcPr>
          <w:p w:rsidR="0001536C" w:rsidRDefault="00B16DE9">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处理决定数量</w:t>
            </w:r>
          </w:p>
        </w:tc>
      </w:tr>
      <w:tr w:rsidR="0001536C">
        <w:trPr>
          <w:trHeight w:val="564"/>
          <w:jc w:val="center"/>
        </w:trPr>
        <w:tc>
          <w:tcPr>
            <w:tcW w:w="2752" w:type="dxa"/>
            <w:tcBorders>
              <w:top w:val="nil"/>
              <w:left w:val="single" w:sz="4" w:space="0" w:color="auto"/>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行政处罚</w:t>
            </w:r>
          </w:p>
        </w:tc>
        <w:tc>
          <w:tcPr>
            <w:tcW w:w="1984" w:type="dxa"/>
            <w:tcBorders>
              <w:top w:val="single" w:sz="4" w:space="0" w:color="auto"/>
              <w:left w:val="nil"/>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 xml:space="preserve">　0</w:t>
            </w:r>
          </w:p>
        </w:tc>
        <w:tc>
          <w:tcPr>
            <w:tcW w:w="1985" w:type="dxa"/>
            <w:tcBorders>
              <w:top w:val="single" w:sz="4" w:space="0" w:color="auto"/>
              <w:left w:val="nil"/>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 xml:space="preserve">　0</w:t>
            </w:r>
          </w:p>
        </w:tc>
        <w:tc>
          <w:tcPr>
            <w:tcW w:w="1984" w:type="dxa"/>
            <w:tcBorders>
              <w:top w:val="nil"/>
              <w:left w:val="nil"/>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 xml:space="preserve">　0</w:t>
            </w:r>
          </w:p>
        </w:tc>
      </w:tr>
      <w:tr w:rsidR="0001536C">
        <w:trPr>
          <w:trHeight w:val="572"/>
          <w:jc w:val="center"/>
        </w:trPr>
        <w:tc>
          <w:tcPr>
            <w:tcW w:w="2752" w:type="dxa"/>
            <w:tcBorders>
              <w:top w:val="nil"/>
              <w:left w:val="single" w:sz="4" w:space="0" w:color="auto"/>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行政强制</w:t>
            </w:r>
          </w:p>
        </w:tc>
        <w:tc>
          <w:tcPr>
            <w:tcW w:w="1984" w:type="dxa"/>
            <w:tcBorders>
              <w:top w:val="nil"/>
              <w:left w:val="nil"/>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 xml:space="preserve">　0</w:t>
            </w:r>
          </w:p>
        </w:tc>
        <w:tc>
          <w:tcPr>
            <w:tcW w:w="1985" w:type="dxa"/>
            <w:tcBorders>
              <w:top w:val="nil"/>
              <w:left w:val="nil"/>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 xml:space="preserve">　0</w:t>
            </w:r>
          </w:p>
        </w:tc>
        <w:tc>
          <w:tcPr>
            <w:tcW w:w="1984" w:type="dxa"/>
            <w:tcBorders>
              <w:top w:val="nil"/>
              <w:left w:val="nil"/>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 xml:space="preserve">　0</w:t>
            </w:r>
          </w:p>
        </w:tc>
      </w:tr>
      <w:tr w:rsidR="0001536C">
        <w:trPr>
          <w:trHeight w:val="474"/>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1536C" w:rsidRDefault="00B16DE9">
            <w:pPr>
              <w:widowControl/>
              <w:spacing w:line="360" w:lineRule="auto"/>
              <w:jc w:val="center"/>
              <w:rPr>
                <w:rFonts w:ascii="宋体" w:eastAsia="宋体" w:hAnsi="宋体" w:cs="宋体"/>
                <w:color w:val="333333"/>
                <w:kern w:val="0"/>
                <w:sz w:val="24"/>
                <w:szCs w:val="24"/>
              </w:rPr>
            </w:pPr>
            <w:r>
              <w:rPr>
                <w:rFonts w:ascii="宋体" w:eastAsia="宋体" w:hAnsi="宋体" w:cs="宋体" w:hint="eastAsia"/>
                <w:b/>
                <w:color w:val="333333"/>
                <w:kern w:val="0"/>
                <w:sz w:val="24"/>
                <w:szCs w:val="24"/>
              </w:rPr>
              <w:t>第二十条第（八）项</w:t>
            </w:r>
          </w:p>
        </w:tc>
      </w:tr>
      <w:tr w:rsidR="0001536C">
        <w:trPr>
          <w:trHeight w:val="270"/>
          <w:jc w:val="center"/>
        </w:trPr>
        <w:tc>
          <w:tcPr>
            <w:tcW w:w="2752" w:type="dxa"/>
            <w:tcBorders>
              <w:top w:val="nil"/>
              <w:left w:val="single" w:sz="4" w:space="0" w:color="auto"/>
              <w:bottom w:val="single" w:sz="4" w:space="0" w:color="auto"/>
              <w:right w:val="single" w:sz="4" w:space="0" w:color="auto"/>
            </w:tcBorders>
            <w:noWrap/>
            <w:vAlign w:val="center"/>
          </w:tcPr>
          <w:p w:rsidR="0001536C" w:rsidRDefault="00B16DE9">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信息内容</w:t>
            </w:r>
          </w:p>
        </w:tc>
        <w:tc>
          <w:tcPr>
            <w:tcW w:w="1984" w:type="dxa"/>
            <w:tcBorders>
              <w:top w:val="nil"/>
              <w:left w:val="nil"/>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上一年项目数量</w:t>
            </w:r>
          </w:p>
        </w:tc>
        <w:tc>
          <w:tcPr>
            <w:tcW w:w="3969" w:type="dxa"/>
            <w:gridSpan w:val="2"/>
            <w:tcBorders>
              <w:top w:val="single" w:sz="4" w:space="0" w:color="auto"/>
              <w:left w:val="nil"/>
              <w:bottom w:val="single" w:sz="4" w:space="0" w:color="auto"/>
              <w:right w:val="single" w:sz="4" w:space="0" w:color="000000"/>
            </w:tcBorders>
            <w:noWrap/>
            <w:vAlign w:val="center"/>
          </w:tcPr>
          <w:p w:rsidR="0001536C" w:rsidRDefault="00B16DE9">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本年增/减</w:t>
            </w:r>
          </w:p>
        </w:tc>
      </w:tr>
      <w:tr w:rsidR="0001536C">
        <w:trPr>
          <w:trHeight w:val="722"/>
          <w:jc w:val="center"/>
        </w:trPr>
        <w:tc>
          <w:tcPr>
            <w:tcW w:w="2752" w:type="dxa"/>
            <w:tcBorders>
              <w:top w:val="nil"/>
              <w:left w:val="single" w:sz="4" w:space="0" w:color="auto"/>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行政事业性收费</w:t>
            </w:r>
          </w:p>
        </w:tc>
        <w:tc>
          <w:tcPr>
            <w:tcW w:w="1984" w:type="dxa"/>
            <w:tcBorders>
              <w:top w:val="nil"/>
              <w:left w:val="nil"/>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 xml:space="preserve">　0</w:t>
            </w:r>
          </w:p>
        </w:tc>
        <w:tc>
          <w:tcPr>
            <w:tcW w:w="3969" w:type="dxa"/>
            <w:gridSpan w:val="2"/>
            <w:tcBorders>
              <w:top w:val="single" w:sz="4" w:space="0" w:color="auto"/>
              <w:left w:val="nil"/>
              <w:bottom w:val="single" w:sz="4" w:space="0" w:color="auto"/>
              <w:right w:val="single" w:sz="4" w:space="0" w:color="000000"/>
            </w:tcBorders>
            <w:noWrap/>
            <w:vAlign w:val="center"/>
          </w:tcPr>
          <w:p w:rsidR="0001536C" w:rsidRDefault="00B16DE9">
            <w:pPr>
              <w:widowControl/>
              <w:spacing w:line="360" w:lineRule="auto"/>
              <w:jc w:val="center"/>
              <w:rPr>
                <w:rFonts w:ascii="宋体" w:eastAsia="宋体" w:hAnsi="宋体" w:cs="宋体"/>
                <w:color w:val="333333"/>
                <w:kern w:val="0"/>
                <w:sz w:val="24"/>
                <w:szCs w:val="24"/>
              </w:rPr>
            </w:pPr>
            <w:r>
              <w:rPr>
                <w:rFonts w:ascii="宋体" w:eastAsia="宋体" w:hAnsi="Calibri" w:cs="Times New Roman" w:hint="eastAsia"/>
                <w:color w:val="000000"/>
                <w:kern w:val="0"/>
                <w:sz w:val="24"/>
                <w:szCs w:val="24"/>
              </w:rPr>
              <w:t>0</w:t>
            </w:r>
            <w:r>
              <w:rPr>
                <w:rFonts w:ascii="宋体" w:eastAsia="宋体" w:hAnsi="Calibri" w:cs="Times New Roman" w:hint="eastAsia"/>
                <w:color w:val="000000"/>
                <w:kern w:val="0"/>
                <w:sz w:val="24"/>
                <w:szCs w:val="24"/>
              </w:rPr>
              <w:t> </w:t>
            </w:r>
          </w:p>
        </w:tc>
      </w:tr>
      <w:tr w:rsidR="0001536C">
        <w:trPr>
          <w:trHeight w:val="476"/>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1536C" w:rsidRDefault="00B16DE9">
            <w:pPr>
              <w:widowControl/>
              <w:spacing w:line="360" w:lineRule="auto"/>
              <w:jc w:val="center"/>
              <w:rPr>
                <w:rFonts w:ascii="宋体" w:eastAsia="宋体" w:hAnsi="宋体" w:cs="宋体"/>
                <w:color w:val="333333"/>
                <w:kern w:val="0"/>
                <w:sz w:val="24"/>
                <w:szCs w:val="24"/>
              </w:rPr>
            </w:pPr>
            <w:r>
              <w:rPr>
                <w:rFonts w:ascii="宋体" w:eastAsia="宋体" w:hAnsi="宋体" w:cs="宋体" w:hint="eastAsia"/>
                <w:b/>
                <w:color w:val="333333"/>
                <w:kern w:val="0"/>
                <w:sz w:val="24"/>
                <w:szCs w:val="24"/>
              </w:rPr>
              <w:t>第二十条第（九）项</w:t>
            </w:r>
          </w:p>
        </w:tc>
      </w:tr>
      <w:tr w:rsidR="0001536C">
        <w:trPr>
          <w:trHeight w:val="585"/>
          <w:jc w:val="center"/>
        </w:trPr>
        <w:tc>
          <w:tcPr>
            <w:tcW w:w="2752" w:type="dxa"/>
            <w:tcBorders>
              <w:top w:val="nil"/>
              <w:left w:val="single" w:sz="4" w:space="0" w:color="auto"/>
              <w:bottom w:val="single" w:sz="4" w:space="0" w:color="auto"/>
              <w:right w:val="single" w:sz="4" w:space="0" w:color="auto"/>
            </w:tcBorders>
            <w:noWrap/>
            <w:vAlign w:val="center"/>
          </w:tcPr>
          <w:p w:rsidR="0001536C" w:rsidRDefault="00B16DE9">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信息内容</w:t>
            </w:r>
          </w:p>
        </w:tc>
        <w:tc>
          <w:tcPr>
            <w:tcW w:w="1984" w:type="dxa"/>
            <w:tcBorders>
              <w:top w:val="nil"/>
              <w:left w:val="nil"/>
              <w:bottom w:val="single" w:sz="4" w:space="0" w:color="auto"/>
              <w:right w:val="single" w:sz="4" w:space="0" w:color="auto"/>
            </w:tcBorders>
            <w:noWrap/>
            <w:vAlign w:val="center"/>
          </w:tcPr>
          <w:p w:rsidR="0001536C" w:rsidRDefault="00B16DE9">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采购项目数量</w:t>
            </w:r>
          </w:p>
        </w:tc>
        <w:tc>
          <w:tcPr>
            <w:tcW w:w="3969" w:type="dxa"/>
            <w:gridSpan w:val="2"/>
            <w:tcBorders>
              <w:top w:val="single" w:sz="4" w:space="0" w:color="auto"/>
              <w:left w:val="nil"/>
              <w:bottom w:val="single" w:sz="4" w:space="0" w:color="auto"/>
              <w:right w:val="single" w:sz="4" w:space="0" w:color="000000"/>
            </w:tcBorders>
            <w:noWrap/>
            <w:vAlign w:val="center"/>
          </w:tcPr>
          <w:p w:rsidR="0001536C" w:rsidRDefault="00B16DE9">
            <w:pPr>
              <w:widowControl/>
              <w:spacing w:line="360" w:lineRule="auto"/>
              <w:jc w:val="center"/>
              <w:rPr>
                <w:rFonts w:ascii="宋体" w:eastAsia="宋体" w:hAnsi="宋体" w:cs="宋体"/>
                <w:color w:val="333333"/>
                <w:kern w:val="0"/>
                <w:sz w:val="24"/>
                <w:szCs w:val="24"/>
              </w:rPr>
            </w:pPr>
            <w:proofErr w:type="gramStart"/>
            <w:r>
              <w:rPr>
                <w:rFonts w:ascii="宋体" w:eastAsia="宋体" w:hAnsi="宋体" w:cs="宋体" w:hint="eastAsia"/>
                <w:color w:val="000000"/>
                <w:kern w:val="0"/>
                <w:sz w:val="24"/>
                <w:szCs w:val="24"/>
              </w:rPr>
              <w:t>采购总</w:t>
            </w:r>
            <w:proofErr w:type="gramEnd"/>
            <w:r>
              <w:rPr>
                <w:rFonts w:ascii="宋体" w:eastAsia="宋体" w:hAnsi="宋体" w:cs="宋体" w:hint="eastAsia"/>
                <w:color w:val="000000"/>
                <w:kern w:val="0"/>
                <w:sz w:val="24"/>
                <w:szCs w:val="24"/>
              </w:rPr>
              <w:t>金额</w:t>
            </w:r>
          </w:p>
        </w:tc>
      </w:tr>
      <w:tr w:rsidR="0001536C">
        <w:trPr>
          <w:trHeight w:val="748"/>
          <w:jc w:val="center"/>
        </w:trPr>
        <w:tc>
          <w:tcPr>
            <w:tcW w:w="2752" w:type="dxa"/>
            <w:tcBorders>
              <w:top w:val="nil"/>
              <w:left w:val="single" w:sz="4" w:space="0" w:color="auto"/>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政府集中采购</w:t>
            </w:r>
          </w:p>
        </w:tc>
        <w:tc>
          <w:tcPr>
            <w:tcW w:w="1984" w:type="dxa"/>
            <w:tcBorders>
              <w:top w:val="nil"/>
              <w:left w:val="nil"/>
              <w:bottom w:val="single" w:sz="4" w:space="0" w:color="auto"/>
              <w:right w:val="single" w:sz="4" w:space="0" w:color="auto"/>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 xml:space="preserve">　2</w:t>
            </w:r>
          </w:p>
        </w:tc>
        <w:tc>
          <w:tcPr>
            <w:tcW w:w="3969" w:type="dxa"/>
            <w:gridSpan w:val="2"/>
            <w:tcBorders>
              <w:top w:val="single" w:sz="4" w:space="0" w:color="auto"/>
              <w:left w:val="nil"/>
              <w:bottom w:val="single" w:sz="4" w:space="0" w:color="auto"/>
              <w:right w:val="single" w:sz="4" w:space="0" w:color="000000"/>
            </w:tcBorders>
            <w:noWrap/>
            <w:vAlign w:val="center"/>
          </w:tcPr>
          <w:p w:rsidR="0001536C" w:rsidRDefault="00B16DE9">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5.2万</w:t>
            </w:r>
          </w:p>
        </w:tc>
      </w:tr>
    </w:tbl>
    <w:p w:rsidR="0001536C" w:rsidRDefault="0001536C">
      <w:pPr>
        <w:spacing w:line="560" w:lineRule="exact"/>
        <w:ind w:firstLineChars="200" w:firstLine="640"/>
        <w:rPr>
          <w:rFonts w:ascii="仿宋_GB2312" w:eastAsia="仿宋_GB2312"/>
          <w:sz w:val="32"/>
          <w:szCs w:val="32"/>
        </w:rPr>
      </w:pPr>
    </w:p>
    <w:p w:rsidR="0001536C" w:rsidRDefault="00B16DE9">
      <w:pPr>
        <w:spacing w:line="560" w:lineRule="exact"/>
        <w:ind w:firstLineChars="200" w:firstLine="640"/>
        <w:rPr>
          <w:rFonts w:ascii="黑体" w:eastAsia="黑体" w:hAnsi="黑体"/>
          <w:sz w:val="32"/>
          <w:szCs w:val="32"/>
        </w:rPr>
      </w:pPr>
      <w:r>
        <w:rPr>
          <w:rFonts w:ascii="黑体" w:eastAsia="黑体" w:hAnsi="黑体" w:hint="eastAsia"/>
          <w:sz w:val="32"/>
          <w:szCs w:val="32"/>
        </w:rPr>
        <w:t>三、收到和处理政府信息公开申请情况</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855"/>
        <w:gridCol w:w="2130"/>
        <w:gridCol w:w="825"/>
        <w:gridCol w:w="765"/>
        <w:gridCol w:w="765"/>
        <w:gridCol w:w="825"/>
        <w:gridCol w:w="990"/>
        <w:gridCol w:w="720"/>
        <w:gridCol w:w="702"/>
      </w:tblGrid>
      <w:tr w:rsidR="0001536C">
        <w:trPr>
          <w:jc w:val="center"/>
        </w:trPr>
        <w:tc>
          <w:tcPr>
            <w:tcW w:w="3479" w:type="dxa"/>
            <w:gridSpan w:val="3"/>
            <w:vMerge w:val="restart"/>
            <w:tcBorders>
              <w:top w:val="single" w:sz="4" w:space="0" w:color="auto"/>
              <w:left w:val="single" w:sz="4" w:space="0" w:color="auto"/>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（本列数据的勾</w:t>
            </w:r>
            <w:proofErr w:type="gramStart"/>
            <w:r>
              <w:rPr>
                <w:rFonts w:ascii="Calibri" w:eastAsia="宋体" w:hAnsi="Calibri" w:cs="Times New Roman" w:hint="eastAsia"/>
                <w:color w:val="333333"/>
                <w:szCs w:val="21"/>
              </w:rPr>
              <w:t>稽</w:t>
            </w:r>
            <w:proofErr w:type="gramEnd"/>
            <w:r>
              <w:rPr>
                <w:rFonts w:ascii="Calibri" w:eastAsia="宋体" w:hAnsi="Calibri" w:cs="Times New Roman" w:hint="eastAsia"/>
                <w:color w:val="333333"/>
                <w:szCs w:val="21"/>
              </w:rPr>
              <w:t>关系为：第一项加第二项之和，等于第三项加第四项之和）</w:t>
            </w:r>
          </w:p>
        </w:tc>
        <w:tc>
          <w:tcPr>
            <w:tcW w:w="5592" w:type="dxa"/>
            <w:gridSpan w:val="7"/>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申请人情况</w:t>
            </w:r>
          </w:p>
        </w:tc>
      </w:tr>
      <w:tr w:rsidR="0001536C">
        <w:trPr>
          <w:jc w:val="center"/>
        </w:trPr>
        <w:tc>
          <w:tcPr>
            <w:tcW w:w="8594" w:type="dxa"/>
            <w:gridSpan w:val="3"/>
            <w:vMerge/>
            <w:tcBorders>
              <w:top w:val="single" w:sz="4" w:space="0" w:color="auto"/>
              <w:left w:val="single" w:sz="4" w:space="0" w:color="auto"/>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825" w:type="dxa"/>
            <w:vMerge w:val="restart"/>
            <w:tcBorders>
              <w:top w:val="nil"/>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自然人</w:t>
            </w:r>
          </w:p>
        </w:tc>
        <w:tc>
          <w:tcPr>
            <w:tcW w:w="4065" w:type="dxa"/>
            <w:gridSpan w:val="5"/>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法人或其他组织</w:t>
            </w:r>
          </w:p>
        </w:tc>
        <w:tc>
          <w:tcPr>
            <w:tcW w:w="702" w:type="dxa"/>
            <w:vMerge w:val="restart"/>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总计</w:t>
            </w:r>
          </w:p>
        </w:tc>
      </w:tr>
      <w:tr w:rsidR="0001536C">
        <w:trPr>
          <w:jc w:val="center"/>
        </w:trPr>
        <w:tc>
          <w:tcPr>
            <w:tcW w:w="8594" w:type="dxa"/>
            <w:gridSpan w:val="3"/>
            <w:vMerge/>
            <w:tcBorders>
              <w:top w:val="single" w:sz="4" w:space="0" w:color="auto"/>
              <w:left w:val="single" w:sz="4" w:space="0" w:color="auto"/>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5592" w:type="dxa"/>
            <w:vMerge/>
            <w:tcBorders>
              <w:top w:val="nil"/>
              <w:left w:val="nil"/>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商业企业</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科研机构</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社会公益组织</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法律服务机构</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其他</w:t>
            </w:r>
          </w:p>
        </w:tc>
        <w:tc>
          <w:tcPr>
            <w:tcW w:w="702" w:type="dxa"/>
            <w:vMerge/>
            <w:tcBorders>
              <w:top w:val="single" w:sz="4" w:space="0" w:color="auto"/>
              <w:left w:val="nil"/>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r>
      <w:tr w:rsidR="0001536C">
        <w:trPr>
          <w:trHeight w:val="473"/>
          <w:jc w:val="center"/>
        </w:trPr>
        <w:tc>
          <w:tcPr>
            <w:tcW w:w="3479" w:type="dxa"/>
            <w:gridSpan w:val="3"/>
            <w:tcBorders>
              <w:top w:val="single" w:sz="4" w:space="0" w:color="auto"/>
              <w:left w:val="single" w:sz="4" w:space="0" w:color="auto"/>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Calibri" w:eastAsia="宋体" w:hAnsi="Calibri" w:cs="Times New Roman" w:hint="eastAsia"/>
                <w:color w:val="333333"/>
                <w:szCs w:val="21"/>
              </w:rPr>
              <w:t>一、本年新收政府信息公开申请数量</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11</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11</w:t>
            </w:r>
          </w:p>
        </w:tc>
      </w:tr>
      <w:tr w:rsidR="0001536C">
        <w:trPr>
          <w:trHeight w:val="423"/>
          <w:jc w:val="center"/>
        </w:trPr>
        <w:tc>
          <w:tcPr>
            <w:tcW w:w="3479" w:type="dxa"/>
            <w:gridSpan w:val="3"/>
            <w:tcBorders>
              <w:top w:val="single" w:sz="4" w:space="0" w:color="auto"/>
              <w:left w:val="single" w:sz="4" w:space="0" w:color="auto"/>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Calibri" w:eastAsia="宋体" w:hAnsi="Calibri" w:cs="Times New Roman" w:hint="eastAsia"/>
                <w:color w:val="333333"/>
                <w:szCs w:val="21"/>
              </w:rPr>
              <w:lastRenderedPageBreak/>
              <w:t>二、上年结转政府信息公开申请数量</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r>
      <w:tr w:rsidR="0001536C">
        <w:trPr>
          <w:trHeight w:val="401"/>
          <w:jc w:val="center"/>
        </w:trPr>
        <w:tc>
          <w:tcPr>
            <w:tcW w:w="494" w:type="dxa"/>
            <w:vMerge w:val="restart"/>
            <w:tcBorders>
              <w:top w:val="nil"/>
              <w:left w:val="single" w:sz="4" w:space="0" w:color="auto"/>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三、本年度办理结果</w:t>
            </w:r>
          </w:p>
        </w:tc>
        <w:tc>
          <w:tcPr>
            <w:tcW w:w="2985" w:type="dxa"/>
            <w:gridSpan w:val="2"/>
            <w:tcBorders>
              <w:top w:val="single" w:sz="4" w:space="0" w:color="auto"/>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（一）予以公开</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6</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6</w:t>
            </w:r>
          </w:p>
        </w:tc>
      </w:tr>
      <w:tr w:rsidR="0001536C">
        <w:trPr>
          <w:jc w:val="center"/>
        </w:trPr>
        <w:tc>
          <w:tcPr>
            <w:tcW w:w="3479" w:type="dxa"/>
            <w:vMerge/>
            <w:tcBorders>
              <w:top w:val="nil"/>
              <w:left w:val="single" w:sz="4" w:space="0" w:color="auto"/>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985" w:type="dxa"/>
            <w:gridSpan w:val="2"/>
            <w:tcBorders>
              <w:top w:val="single" w:sz="4" w:space="0" w:color="auto"/>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（二）部分公开（区分处理的，只计这一情形，不计其他情形）</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r>
      <w:tr w:rsidR="0001536C">
        <w:trPr>
          <w:trHeight w:val="345"/>
          <w:jc w:val="center"/>
        </w:trPr>
        <w:tc>
          <w:tcPr>
            <w:tcW w:w="3479" w:type="dxa"/>
            <w:vMerge/>
            <w:tcBorders>
              <w:top w:val="nil"/>
              <w:left w:val="single" w:sz="4" w:space="0" w:color="auto"/>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855" w:type="dxa"/>
            <w:vMerge w:val="restart"/>
            <w:tcBorders>
              <w:top w:val="nil"/>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（三）不予公开</w:t>
            </w:r>
          </w:p>
        </w:tc>
        <w:tc>
          <w:tcPr>
            <w:tcW w:w="2130" w:type="dxa"/>
            <w:tcBorders>
              <w:top w:val="single" w:sz="4" w:space="0" w:color="auto"/>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1.属于国家秘密</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r>
      <w:tr w:rsidR="0001536C">
        <w:trPr>
          <w:jc w:val="center"/>
        </w:trPr>
        <w:tc>
          <w:tcPr>
            <w:tcW w:w="3479" w:type="dxa"/>
            <w:vMerge/>
            <w:tcBorders>
              <w:top w:val="nil"/>
              <w:left w:val="single" w:sz="4" w:space="0" w:color="auto"/>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2.其他法律行政法规禁止公开</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r>
      <w:tr w:rsidR="0001536C">
        <w:trPr>
          <w:jc w:val="center"/>
        </w:trPr>
        <w:tc>
          <w:tcPr>
            <w:tcW w:w="3479" w:type="dxa"/>
            <w:vMerge/>
            <w:tcBorders>
              <w:top w:val="nil"/>
              <w:left w:val="single" w:sz="4" w:space="0" w:color="auto"/>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3.危及“三安全</w:t>
            </w:r>
            <w:proofErr w:type="gramStart"/>
            <w:r>
              <w:rPr>
                <w:rFonts w:ascii="楷体" w:eastAsia="楷体" w:hAnsi="楷体" w:cs="宋体" w:hint="eastAsia"/>
                <w:color w:val="333333"/>
                <w:szCs w:val="21"/>
              </w:rPr>
              <w:t>一</w:t>
            </w:r>
            <w:proofErr w:type="gramEnd"/>
            <w:r>
              <w:rPr>
                <w:rFonts w:ascii="楷体" w:eastAsia="楷体" w:hAnsi="楷体" w:cs="宋体" w:hint="eastAsia"/>
                <w:color w:val="333333"/>
                <w:szCs w:val="21"/>
              </w:rPr>
              <w:t>稳定”</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r>
      <w:tr w:rsidR="0001536C">
        <w:trPr>
          <w:jc w:val="center"/>
        </w:trPr>
        <w:tc>
          <w:tcPr>
            <w:tcW w:w="3479" w:type="dxa"/>
            <w:vMerge/>
            <w:tcBorders>
              <w:top w:val="nil"/>
              <w:left w:val="single" w:sz="4" w:space="0" w:color="auto"/>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4.保护第三方合法权益</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r>
      <w:tr w:rsidR="0001536C">
        <w:trPr>
          <w:jc w:val="center"/>
        </w:trPr>
        <w:tc>
          <w:tcPr>
            <w:tcW w:w="3479" w:type="dxa"/>
            <w:vMerge/>
            <w:tcBorders>
              <w:top w:val="nil"/>
              <w:left w:val="single" w:sz="4" w:space="0" w:color="auto"/>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5.属于三类内部事务信息</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r>
      <w:tr w:rsidR="0001536C">
        <w:trPr>
          <w:jc w:val="center"/>
        </w:trPr>
        <w:tc>
          <w:tcPr>
            <w:tcW w:w="3479" w:type="dxa"/>
            <w:vMerge/>
            <w:tcBorders>
              <w:top w:val="nil"/>
              <w:left w:val="single" w:sz="4" w:space="0" w:color="auto"/>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6.属于四类过程性信息</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r>
      <w:tr w:rsidR="0001536C">
        <w:trPr>
          <w:jc w:val="center"/>
        </w:trPr>
        <w:tc>
          <w:tcPr>
            <w:tcW w:w="3479" w:type="dxa"/>
            <w:vMerge/>
            <w:tcBorders>
              <w:top w:val="nil"/>
              <w:left w:val="single" w:sz="4" w:space="0" w:color="auto"/>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7.属于行政执法案卷</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r>
      <w:tr w:rsidR="0001536C">
        <w:trPr>
          <w:trHeight w:val="344"/>
          <w:jc w:val="center"/>
        </w:trPr>
        <w:tc>
          <w:tcPr>
            <w:tcW w:w="3479" w:type="dxa"/>
            <w:vMerge/>
            <w:tcBorders>
              <w:top w:val="nil"/>
              <w:left w:val="single" w:sz="4" w:space="0" w:color="auto"/>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8.属于行政查询事项</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r>
      <w:tr w:rsidR="0001536C">
        <w:trPr>
          <w:jc w:val="center"/>
        </w:trPr>
        <w:tc>
          <w:tcPr>
            <w:tcW w:w="3479" w:type="dxa"/>
            <w:vMerge/>
            <w:tcBorders>
              <w:top w:val="nil"/>
              <w:left w:val="single" w:sz="4" w:space="0" w:color="auto"/>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855" w:type="dxa"/>
            <w:vMerge w:val="restart"/>
            <w:tcBorders>
              <w:top w:val="nil"/>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（四）无法提供</w:t>
            </w:r>
          </w:p>
        </w:tc>
        <w:tc>
          <w:tcPr>
            <w:tcW w:w="2130" w:type="dxa"/>
            <w:tcBorders>
              <w:top w:val="single" w:sz="4" w:space="0" w:color="auto"/>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1.本机关不掌握相关政府信息</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5</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5</w:t>
            </w:r>
          </w:p>
        </w:tc>
      </w:tr>
      <w:tr w:rsidR="0001536C">
        <w:trPr>
          <w:jc w:val="center"/>
        </w:trPr>
        <w:tc>
          <w:tcPr>
            <w:tcW w:w="3479" w:type="dxa"/>
            <w:vMerge/>
            <w:tcBorders>
              <w:top w:val="nil"/>
              <w:left w:val="single" w:sz="4" w:space="0" w:color="auto"/>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2.没有现成信息需要另行制作</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r>
      <w:tr w:rsidR="0001536C">
        <w:trPr>
          <w:jc w:val="center"/>
        </w:trPr>
        <w:tc>
          <w:tcPr>
            <w:tcW w:w="3479" w:type="dxa"/>
            <w:vMerge/>
            <w:tcBorders>
              <w:top w:val="nil"/>
              <w:left w:val="single" w:sz="4" w:space="0" w:color="auto"/>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3.补正后申请内容仍不明确</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r>
      <w:tr w:rsidR="0001536C">
        <w:trPr>
          <w:jc w:val="center"/>
        </w:trPr>
        <w:tc>
          <w:tcPr>
            <w:tcW w:w="3479" w:type="dxa"/>
            <w:vMerge/>
            <w:tcBorders>
              <w:top w:val="nil"/>
              <w:left w:val="single" w:sz="4" w:space="0" w:color="auto"/>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855" w:type="dxa"/>
            <w:vMerge w:val="restart"/>
            <w:tcBorders>
              <w:top w:val="nil"/>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（五）</w:t>
            </w:r>
            <w:proofErr w:type="gramStart"/>
            <w:r>
              <w:rPr>
                <w:rFonts w:ascii="楷体" w:eastAsia="楷体" w:hAnsi="楷体" w:cs="宋体" w:hint="eastAsia"/>
                <w:color w:val="333333"/>
                <w:szCs w:val="21"/>
              </w:rPr>
              <w:t>不予处理</w:t>
            </w:r>
            <w:proofErr w:type="gramEnd"/>
          </w:p>
        </w:tc>
        <w:tc>
          <w:tcPr>
            <w:tcW w:w="2130" w:type="dxa"/>
            <w:tcBorders>
              <w:top w:val="single" w:sz="4" w:space="0" w:color="auto"/>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1.信访举报投诉类申请</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r>
      <w:tr w:rsidR="0001536C">
        <w:trPr>
          <w:trHeight w:val="456"/>
          <w:jc w:val="center"/>
        </w:trPr>
        <w:tc>
          <w:tcPr>
            <w:tcW w:w="3479" w:type="dxa"/>
            <w:vMerge/>
            <w:tcBorders>
              <w:top w:val="nil"/>
              <w:left w:val="single" w:sz="4" w:space="0" w:color="auto"/>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2.重复申请</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r>
      <w:tr w:rsidR="0001536C">
        <w:trPr>
          <w:jc w:val="center"/>
        </w:trPr>
        <w:tc>
          <w:tcPr>
            <w:tcW w:w="3479" w:type="dxa"/>
            <w:vMerge/>
            <w:tcBorders>
              <w:top w:val="nil"/>
              <w:left w:val="single" w:sz="4" w:space="0" w:color="auto"/>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3.要求提供公开出版物</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r>
      <w:tr w:rsidR="0001536C">
        <w:trPr>
          <w:jc w:val="center"/>
        </w:trPr>
        <w:tc>
          <w:tcPr>
            <w:tcW w:w="3479" w:type="dxa"/>
            <w:vMerge/>
            <w:tcBorders>
              <w:top w:val="nil"/>
              <w:left w:val="single" w:sz="4" w:space="0" w:color="auto"/>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4.无正当理由大量反复申请</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r>
      <w:tr w:rsidR="0001536C">
        <w:trPr>
          <w:jc w:val="center"/>
        </w:trPr>
        <w:tc>
          <w:tcPr>
            <w:tcW w:w="3479" w:type="dxa"/>
            <w:vMerge/>
            <w:tcBorders>
              <w:top w:val="nil"/>
              <w:left w:val="single" w:sz="4" w:space="0" w:color="auto"/>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5.要求行政机关确认或重新出具已获取信息</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r>
      <w:tr w:rsidR="0001536C">
        <w:trPr>
          <w:jc w:val="center"/>
        </w:trPr>
        <w:tc>
          <w:tcPr>
            <w:tcW w:w="3479" w:type="dxa"/>
            <w:vMerge/>
            <w:tcBorders>
              <w:top w:val="nil"/>
              <w:left w:val="single" w:sz="4" w:space="0" w:color="auto"/>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985" w:type="dxa"/>
            <w:gridSpan w:val="2"/>
            <w:tcBorders>
              <w:top w:val="single" w:sz="4" w:space="0" w:color="auto"/>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（六）其他处理</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r>
      <w:tr w:rsidR="0001536C">
        <w:trPr>
          <w:jc w:val="center"/>
        </w:trPr>
        <w:tc>
          <w:tcPr>
            <w:tcW w:w="3479" w:type="dxa"/>
            <w:vMerge/>
            <w:tcBorders>
              <w:top w:val="nil"/>
              <w:left w:val="single" w:sz="4" w:space="0" w:color="auto"/>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Cs w:val="21"/>
              </w:rPr>
            </w:pPr>
          </w:p>
        </w:tc>
        <w:tc>
          <w:tcPr>
            <w:tcW w:w="2985" w:type="dxa"/>
            <w:gridSpan w:val="2"/>
            <w:tcBorders>
              <w:top w:val="single" w:sz="4" w:space="0" w:color="auto"/>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楷体" w:eastAsia="楷体" w:hAnsi="楷体" w:cs="宋体" w:hint="eastAsia"/>
                <w:color w:val="333333"/>
                <w:szCs w:val="21"/>
              </w:rPr>
              <w:t>（七）总计</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11</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11</w:t>
            </w:r>
            <w:r>
              <w:rPr>
                <w:rFonts w:ascii="Calibri" w:eastAsia="宋体" w:hAnsi="Calibri" w:cs="Times New Roman"/>
                <w:color w:val="333333"/>
                <w:szCs w:val="21"/>
              </w:rPr>
              <w:t> </w:t>
            </w:r>
          </w:p>
        </w:tc>
      </w:tr>
      <w:tr w:rsidR="0001536C">
        <w:trPr>
          <w:jc w:val="center"/>
        </w:trPr>
        <w:tc>
          <w:tcPr>
            <w:tcW w:w="3479" w:type="dxa"/>
            <w:gridSpan w:val="3"/>
            <w:tcBorders>
              <w:top w:val="single" w:sz="4" w:space="0" w:color="auto"/>
              <w:left w:val="single" w:sz="4" w:space="0" w:color="auto"/>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Calibri" w:eastAsia="宋体" w:hAnsi="Calibri" w:cs="Times New Roman" w:hint="eastAsia"/>
                <w:color w:val="333333"/>
                <w:szCs w:val="21"/>
              </w:rPr>
              <w:t>四、结转下年度继续办理</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01536C" w:rsidRDefault="00B16DE9">
            <w:pPr>
              <w:widowControl/>
              <w:jc w:val="left"/>
              <w:rPr>
                <w:rFonts w:ascii="宋体" w:eastAsia="宋体" w:hAnsi="宋体" w:cs="宋体"/>
                <w:color w:val="333333"/>
                <w:kern w:val="0"/>
                <w:szCs w:val="21"/>
              </w:rPr>
            </w:pPr>
            <w:r>
              <w:rPr>
                <w:rFonts w:ascii="宋体" w:eastAsia="宋体" w:hAnsi="宋体" w:cs="宋体" w:hint="eastAsia"/>
                <w:color w:val="333333"/>
                <w:kern w:val="0"/>
                <w:szCs w:val="21"/>
              </w:rPr>
              <w:t>0</w:t>
            </w:r>
          </w:p>
        </w:tc>
      </w:tr>
    </w:tbl>
    <w:p w:rsidR="0001536C" w:rsidRDefault="0001536C">
      <w:pPr>
        <w:spacing w:line="560" w:lineRule="exact"/>
        <w:ind w:firstLineChars="200" w:firstLine="640"/>
        <w:rPr>
          <w:rFonts w:ascii="黑体" w:eastAsia="黑体" w:hAnsi="黑体"/>
          <w:sz w:val="32"/>
          <w:szCs w:val="32"/>
        </w:rPr>
        <w:sectPr w:rsidR="0001536C">
          <w:pgSz w:w="11906" w:h="16838"/>
          <w:pgMar w:top="1134" w:right="1797" w:bottom="1134" w:left="1797" w:header="851" w:footer="992" w:gutter="0"/>
          <w:cols w:space="425"/>
          <w:docGrid w:type="linesAndChars" w:linePitch="312"/>
        </w:sectPr>
      </w:pPr>
    </w:p>
    <w:p w:rsidR="0001536C" w:rsidRDefault="00B16DE9">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四、政府信息公开行政复议、行政诉讼情况</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707"/>
        <w:gridCol w:w="707"/>
        <w:gridCol w:w="707"/>
        <w:gridCol w:w="566"/>
        <w:gridCol w:w="707"/>
        <w:gridCol w:w="706"/>
        <w:gridCol w:w="755"/>
        <w:gridCol w:w="659"/>
        <w:gridCol w:w="548"/>
        <w:gridCol w:w="725"/>
        <w:gridCol w:w="699"/>
        <w:gridCol w:w="714"/>
        <w:gridCol w:w="708"/>
        <w:gridCol w:w="417"/>
      </w:tblGrid>
      <w:tr w:rsidR="0001536C">
        <w:trPr>
          <w:jc w:val="center"/>
        </w:trPr>
        <w:tc>
          <w:tcPr>
            <w:tcW w:w="3418" w:type="dxa"/>
            <w:gridSpan w:val="5"/>
            <w:tcBorders>
              <w:top w:val="single" w:sz="4" w:space="0" w:color="auto"/>
              <w:left w:val="single" w:sz="4" w:space="0" w:color="auto"/>
              <w:bottom w:val="single" w:sz="4" w:space="0" w:color="auto"/>
              <w:right w:val="single" w:sz="4" w:space="0" w:color="auto"/>
            </w:tcBorders>
            <w:vAlign w:val="center"/>
          </w:tcPr>
          <w:p w:rsidR="0001536C" w:rsidRDefault="00B16DE9">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行政复议</w:t>
            </w:r>
          </w:p>
        </w:tc>
        <w:tc>
          <w:tcPr>
            <w:tcW w:w="6638" w:type="dxa"/>
            <w:gridSpan w:val="10"/>
            <w:tcBorders>
              <w:top w:val="single" w:sz="4" w:space="0" w:color="auto"/>
              <w:left w:val="nil"/>
              <w:bottom w:val="single" w:sz="4" w:space="0" w:color="auto"/>
              <w:right w:val="single" w:sz="4" w:space="0" w:color="auto"/>
            </w:tcBorders>
            <w:vAlign w:val="center"/>
          </w:tcPr>
          <w:p w:rsidR="0001536C" w:rsidRDefault="00B16DE9">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行政诉讼</w:t>
            </w:r>
          </w:p>
        </w:tc>
      </w:tr>
      <w:tr w:rsidR="0001536C">
        <w:trPr>
          <w:trHeight w:val="747"/>
          <w:jc w:val="center"/>
        </w:trPr>
        <w:tc>
          <w:tcPr>
            <w:tcW w:w="731" w:type="dxa"/>
            <w:vMerge w:val="restart"/>
            <w:tcBorders>
              <w:top w:val="nil"/>
              <w:left w:val="single" w:sz="4" w:space="0" w:color="auto"/>
              <w:bottom w:val="single" w:sz="4" w:space="0" w:color="auto"/>
              <w:right w:val="single" w:sz="4" w:space="0" w:color="auto"/>
            </w:tcBorders>
            <w:vAlign w:val="center"/>
          </w:tcPr>
          <w:p w:rsidR="0001536C" w:rsidRDefault="00B16DE9">
            <w:pPr>
              <w:widowControl/>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结果</w:t>
            </w:r>
          </w:p>
          <w:p w:rsidR="0001536C" w:rsidRDefault="00B16DE9">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维持</w:t>
            </w:r>
          </w:p>
        </w:tc>
        <w:tc>
          <w:tcPr>
            <w:tcW w:w="707" w:type="dxa"/>
            <w:vMerge w:val="restart"/>
            <w:tcBorders>
              <w:top w:val="nil"/>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结果纠正</w:t>
            </w:r>
          </w:p>
        </w:tc>
        <w:tc>
          <w:tcPr>
            <w:tcW w:w="707" w:type="dxa"/>
            <w:vMerge w:val="restart"/>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其他结果</w:t>
            </w:r>
          </w:p>
        </w:tc>
        <w:tc>
          <w:tcPr>
            <w:tcW w:w="707" w:type="dxa"/>
            <w:vMerge w:val="restart"/>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尚未审结</w:t>
            </w:r>
          </w:p>
        </w:tc>
        <w:tc>
          <w:tcPr>
            <w:tcW w:w="566" w:type="dxa"/>
            <w:vMerge w:val="restart"/>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总计</w:t>
            </w:r>
          </w:p>
        </w:tc>
        <w:tc>
          <w:tcPr>
            <w:tcW w:w="3375" w:type="dxa"/>
            <w:gridSpan w:val="5"/>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未经复议直接起诉</w:t>
            </w:r>
          </w:p>
        </w:tc>
        <w:tc>
          <w:tcPr>
            <w:tcW w:w="3263" w:type="dxa"/>
            <w:gridSpan w:val="5"/>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复议后起诉</w:t>
            </w:r>
          </w:p>
        </w:tc>
      </w:tr>
      <w:tr w:rsidR="0001536C">
        <w:trPr>
          <w:trHeight w:val="1551"/>
          <w:jc w:val="center"/>
        </w:trPr>
        <w:tc>
          <w:tcPr>
            <w:tcW w:w="731" w:type="dxa"/>
            <w:vMerge/>
            <w:tcBorders>
              <w:top w:val="nil"/>
              <w:left w:val="single" w:sz="4" w:space="0" w:color="auto"/>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 w:val="24"/>
                <w:szCs w:val="24"/>
              </w:rPr>
            </w:pPr>
          </w:p>
        </w:tc>
        <w:tc>
          <w:tcPr>
            <w:tcW w:w="707" w:type="dxa"/>
            <w:vMerge/>
            <w:tcBorders>
              <w:top w:val="nil"/>
              <w:left w:val="nil"/>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 w:val="24"/>
                <w:szCs w:val="24"/>
              </w:rPr>
            </w:pPr>
          </w:p>
        </w:tc>
        <w:tc>
          <w:tcPr>
            <w:tcW w:w="707" w:type="dxa"/>
            <w:vMerge/>
            <w:tcBorders>
              <w:top w:val="single" w:sz="4" w:space="0" w:color="auto"/>
              <w:left w:val="nil"/>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 w:val="24"/>
                <w:szCs w:val="24"/>
              </w:rPr>
            </w:pPr>
          </w:p>
        </w:tc>
        <w:tc>
          <w:tcPr>
            <w:tcW w:w="707" w:type="dxa"/>
            <w:vMerge/>
            <w:tcBorders>
              <w:top w:val="single" w:sz="4" w:space="0" w:color="auto"/>
              <w:left w:val="nil"/>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 w:val="24"/>
                <w:szCs w:val="24"/>
              </w:rPr>
            </w:pPr>
          </w:p>
        </w:tc>
        <w:tc>
          <w:tcPr>
            <w:tcW w:w="566" w:type="dxa"/>
            <w:vMerge/>
            <w:tcBorders>
              <w:top w:val="single" w:sz="4" w:space="0" w:color="auto"/>
              <w:left w:val="nil"/>
              <w:bottom w:val="single" w:sz="4" w:space="0" w:color="auto"/>
              <w:right w:val="single" w:sz="4" w:space="0" w:color="auto"/>
            </w:tcBorders>
            <w:vAlign w:val="center"/>
          </w:tcPr>
          <w:p w:rsidR="0001536C" w:rsidRDefault="0001536C">
            <w:pPr>
              <w:widowControl/>
              <w:jc w:val="left"/>
              <w:rPr>
                <w:rFonts w:ascii="宋体" w:eastAsia="宋体" w:hAnsi="宋体" w:cs="宋体"/>
                <w:color w:val="333333"/>
                <w:kern w:val="0"/>
                <w:sz w:val="24"/>
                <w:szCs w:val="24"/>
              </w:rPr>
            </w:pPr>
          </w:p>
        </w:tc>
        <w:tc>
          <w:tcPr>
            <w:tcW w:w="707"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结果维持</w:t>
            </w:r>
          </w:p>
        </w:tc>
        <w:tc>
          <w:tcPr>
            <w:tcW w:w="706"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结果纠正</w:t>
            </w:r>
          </w:p>
        </w:tc>
        <w:tc>
          <w:tcPr>
            <w:tcW w:w="75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其他结果</w:t>
            </w:r>
          </w:p>
        </w:tc>
        <w:tc>
          <w:tcPr>
            <w:tcW w:w="659"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尚未审结</w:t>
            </w:r>
          </w:p>
        </w:tc>
        <w:tc>
          <w:tcPr>
            <w:tcW w:w="548"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总计</w:t>
            </w:r>
          </w:p>
        </w:tc>
        <w:tc>
          <w:tcPr>
            <w:tcW w:w="725"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结果维持</w:t>
            </w:r>
          </w:p>
        </w:tc>
        <w:tc>
          <w:tcPr>
            <w:tcW w:w="699"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结果纠正</w:t>
            </w:r>
          </w:p>
        </w:tc>
        <w:tc>
          <w:tcPr>
            <w:tcW w:w="714"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其他结果</w:t>
            </w:r>
          </w:p>
        </w:tc>
        <w:tc>
          <w:tcPr>
            <w:tcW w:w="708"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尚未审结</w:t>
            </w:r>
          </w:p>
        </w:tc>
        <w:tc>
          <w:tcPr>
            <w:tcW w:w="417" w:type="dxa"/>
            <w:tcBorders>
              <w:top w:val="single" w:sz="4" w:space="0" w:color="auto"/>
              <w:left w:val="nil"/>
              <w:bottom w:val="single" w:sz="4" w:space="0" w:color="auto"/>
              <w:right w:val="single" w:sz="4" w:space="0" w:color="auto"/>
            </w:tcBorders>
            <w:vAlign w:val="center"/>
          </w:tcPr>
          <w:p w:rsidR="0001536C" w:rsidRDefault="00B16DE9">
            <w:pPr>
              <w:widowControl/>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总计</w:t>
            </w:r>
          </w:p>
        </w:tc>
      </w:tr>
      <w:tr w:rsidR="0001536C">
        <w:trPr>
          <w:trHeight w:val="1402"/>
          <w:jc w:val="center"/>
        </w:trPr>
        <w:tc>
          <w:tcPr>
            <w:tcW w:w="731" w:type="dxa"/>
            <w:tcBorders>
              <w:top w:val="single" w:sz="4" w:space="0" w:color="auto"/>
              <w:left w:val="single" w:sz="4" w:space="0" w:color="auto"/>
              <w:bottom w:val="single" w:sz="4" w:space="0" w:color="auto"/>
              <w:right w:val="single" w:sz="4" w:space="0" w:color="auto"/>
            </w:tcBorders>
            <w:vAlign w:val="center"/>
          </w:tcPr>
          <w:p w:rsidR="0001536C" w:rsidRDefault="00B16DE9">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707" w:type="dxa"/>
            <w:tcBorders>
              <w:top w:val="single" w:sz="4" w:space="0" w:color="auto"/>
              <w:left w:val="nil"/>
              <w:bottom w:val="single" w:sz="4" w:space="0" w:color="auto"/>
              <w:right w:val="single" w:sz="4" w:space="0" w:color="auto"/>
            </w:tcBorders>
            <w:vAlign w:val="center"/>
          </w:tcPr>
          <w:p w:rsidR="0001536C" w:rsidRDefault="00B16DE9">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r>
              <w:rPr>
                <w:rFonts w:ascii="Calibri" w:eastAsia="宋体" w:hAnsi="Calibri" w:cs="Times New Roman"/>
                <w:color w:val="333333"/>
                <w:sz w:val="20"/>
                <w:szCs w:val="20"/>
              </w:rPr>
              <w:t> </w:t>
            </w:r>
          </w:p>
        </w:tc>
        <w:tc>
          <w:tcPr>
            <w:tcW w:w="707" w:type="dxa"/>
            <w:tcBorders>
              <w:top w:val="single" w:sz="4" w:space="0" w:color="auto"/>
              <w:left w:val="nil"/>
              <w:bottom w:val="single" w:sz="4" w:space="0" w:color="auto"/>
              <w:right w:val="single" w:sz="4" w:space="0" w:color="auto"/>
            </w:tcBorders>
            <w:vAlign w:val="center"/>
          </w:tcPr>
          <w:p w:rsidR="0001536C" w:rsidRDefault="00B16DE9">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r>
              <w:rPr>
                <w:rFonts w:ascii="Calibri" w:eastAsia="宋体" w:hAnsi="Calibri" w:cs="Times New Roman"/>
                <w:color w:val="333333"/>
                <w:sz w:val="20"/>
                <w:szCs w:val="20"/>
              </w:rPr>
              <w:t> </w:t>
            </w:r>
          </w:p>
        </w:tc>
        <w:tc>
          <w:tcPr>
            <w:tcW w:w="707" w:type="dxa"/>
            <w:tcBorders>
              <w:top w:val="single" w:sz="4" w:space="0" w:color="auto"/>
              <w:left w:val="nil"/>
              <w:bottom w:val="single" w:sz="4" w:space="0" w:color="auto"/>
              <w:right w:val="single" w:sz="4" w:space="0" w:color="auto"/>
            </w:tcBorders>
            <w:vAlign w:val="center"/>
          </w:tcPr>
          <w:p w:rsidR="0001536C" w:rsidRDefault="00B16DE9">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color w:val="333333"/>
                <w:sz w:val="20"/>
                <w:szCs w:val="20"/>
              </w:rPr>
              <w:t> </w:t>
            </w:r>
            <w:r>
              <w:rPr>
                <w:rFonts w:ascii="Calibri" w:eastAsia="宋体" w:hAnsi="Calibri" w:cs="Times New Roman" w:hint="eastAsia"/>
                <w:color w:val="333333"/>
                <w:sz w:val="20"/>
                <w:szCs w:val="20"/>
              </w:rPr>
              <w:t>0</w:t>
            </w:r>
          </w:p>
        </w:tc>
        <w:tc>
          <w:tcPr>
            <w:tcW w:w="566" w:type="dxa"/>
            <w:tcBorders>
              <w:top w:val="single" w:sz="4" w:space="0" w:color="auto"/>
              <w:left w:val="nil"/>
              <w:bottom w:val="single" w:sz="4" w:space="0" w:color="auto"/>
              <w:right w:val="single" w:sz="4" w:space="0" w:color="auto"/>
            </w:tcBorders>
            <w:vAlign w:val="center"/>
          </w:tcPr>
          <w:p w:rsidR="0001536C" w:rsidRDefault="00B16DE9">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color w:val="333333"/>
                <w:sz w:val="20"/>
                <w:szCs w:val="20"/>
              </w:rPr>
              <w:t> </w:t>
            </w:r>
            <w:r>
              <w:rPr>
                <w:rFonts w:ascii="Calibri" w:eastAsia="宋体" w:hAnsi="Calibri" w:cs="Times New Roman" w:hint="eastAsia"/>
                <w:color w:val="333333"/>
                <w:sz w:val="20"/>
                <w:szCs w:val="20"/>
              </w:rPr>
              <w:t>0</w:t>
            </w:r>
          </w:p>
        </w:tc>
        <w:tc>
          <w:tcPr>
            <w:tcW w:w="707" w:type="dxa"/>
            <w:tcBorders>
              <w:top w:val="single" w:sz="4" w:space="0" w:color="auto"/>
              <w:left w:val="nil"/>
              <w:bottom w:val="single" w:sz="4" w:space="0" w:color="auto"/>
              <w:right w:val="single" w:sz="4" w:space="0" w:color="auto"/>
            </w:tcBorders>
            <w:vAlign w:val="center"/>
          </w:tcPr>
          <w:p w:rsidR="0001536C" w:rsidRDefault="00B16DE9">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0 </w:t>
            </w:r>
          </w:p>
        </w:tc>
        <w:tc>
          <w:tcPr>
            <w:tcW w:w="706" w:type="dxa"/>
            <w:tcBorders>
              <w:top w:val="single" w:sz="4" w:space="0" w:color="auto"/>
              <w:left w:val="nil"/>
              <w:bottom w:val="single" w:sz="4" w:space="0" w:color="auto"/>
              <w:right w:val="single" w:sz="4" w:space="0" w:color="auto"/>
            </w:tcBorders>
            <w:vAlign w:val="center"/>
          </w:tcPr>
          <w:p w:rsidR="0001536C" w:rsidRDefault="00B16DE9">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01536C" w:rsidRDefault="00B16DE9">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 0</w:t>
            </w:r>
          </w:p>
        </w:tc>
        <w:tc>
          <w:tcPr>
            <w:tcW w:w="659" w:type="dxa"/>
            <w:tcBorders>
              <w:top w:val="single" w:sz="4" w:space="0" w:color="auto"/>
              <w:left w:val="nil"/>
              <w:bottom w:val="single" w:sz="4" w:space="0" w:color="auto"/>
              <w:right w:val="single" w:sz="4" w:space="0" w:color="auto"/>
            </w:tcBorders>
            <w:vAlign w:val="center"/>
          </w:tcPr>
          <w:p w:rsidR="0001536C" w:rsidRDefault="00B16DE9">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 0</w:t>
            </w:r>
          </w:p>
        </w:tc>
        <w:tc>
          <w:tcPr>
            <w:tcW w:w="548" w:type="dxa"/>
            <w:tcBorders>
              <w:top w:val="single" w:sz="4" w:space="0" w:color="auto"/>
              <w:left w:val="nil"/>
              <w:bottom w:val="single" w:sz="4" w:space="0" w:color="auto"/>
              <w:right w:val="single" w:sz="4" w:space="0" w:color="auto"/>
            </w:tcBorders>
            <w:vAlign w:val="center"/>
          </w:tcPr>
          <w:p w:rsidR="0001536C" w:rsidRDefault="00B16DE9">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 0</w:t>
            </w:r>
          </w:p>
        </w:tc>
        <w:tc>
          <w:tcPr>
            <w:tcW w:w="725" w:type="dxa"/>
            <w:tcBorders>
              <w:top w:val="single" w:sz="4" w:space="0" w:color="auto"/>
              <w:left w:val="nil"/>
              <w:bottom w:val="single" w:sz="4" w:space="0" w:color="auto"/>
              <w:right w:val="single" w:sz="4" w:space="0" w:color="auto"/>
            </w:tcBorders>
            <w:vAlign w:val="center"/>
          </w:tcPr>
          <w:p w:rsidR="0001536C" w:rsidRDefault="00B16DE9">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 0</w:t>
            </w:r>
          </w:p>
        </w:tc>
        <w:tc>
          <w:tcPr>
            <w:tcW w:w="699" w:type="dxa"/>
            <w:tcBorders>
              <w:top w:val="single" w:sz="4" w:space="0" w:color="auto"/>
              <w:left w:val="nil"/>
              <w:bottom w:val="single" w:sz="4" w:space="0" w:color="auto"/>
              <w:right w:val="single" w:sz="4" w:space="0" w:color="auto"/>
            </w:tcBorders>
            <w:vAlign w:val="center"/>
          </w:tcPr>
          <w:p w:rsidR="0001536C" w:rsidRDefault="00B16DE9">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 0</w:t>
            </w:r>
          </w:p>
        </w:tc>
        <w:tc>
          <w:tcPr>
            <w:tcW w:w="714" w:type="dxa"/>
            <w:tcBorders>
              <w:top w:val="single" w:sz="4" w:space="0" w:color="auto"/>
              <w:left w:val="nil"/>
              <w:bottom w:val="single" w:sz="4" w:space="0" w:color="auto"/>
              <w:right w:val="single" w:sz="4" w:space="0" w:color="auto"/>
            </w:tcBorders>
            <w:vAlign w:val="center"/>
          </w:tcPr>
          <w:p w:rsidR="0001536C" w:rsidRDefault="00B16DE9">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 0</w:t>
            </w:r>
          </w:p>
        </w:tc>
        <w:tc>
          <w:tcPr>
            <w:tcW w:w="708" w:type="dxa"/>
            <w:tcBorders>
              <w:top w:val="single" w:sz="4" w:space="0" w:color="auto"/>
              <w:left w:val="nil"/>
              <w:bottom w:val="single" w:sz="4" w:space="0" w:color="auto"/>
              <w:right w:val="single" w:sz="4" w:space="0" w:color="auto"/>
            </w:tcBorders>
            <w:vAlign w:val="center"/>
          </w:tcPr>
          <w:p w:rsidR="0001536C" w:rsidRDefault="00B16DE9">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 0</w:t>
            </w:r>
          </w:p>
        </w:tc>
        <w:tc>
          <w:tcPr>
            <w:tcW w:w="417" w:type="dxa"/>
            <w:tcBorders>
              <w:top w:val="single" w:sz="4" w:space="0" w:color="auto"/>
              <w:left w:val="nil"/>
              <w:bottom w:val="single" w:sz="4" w:space="0" w:color="auto"/>
              <w:right w:val="single" w:sz="4" w:space="0" w:color="auto"/>
            </w:tcBorders>
            <w:vAlign w:val="center"/>
          </w:tcPr>
          <w:p w:rsidR="0001536C" w:rsidRDefault="00B16DE9">
            <w:pPr>
              <w:widowControl/>
              <w:spacing w:line="480" w:lineRule="auto"/>
              <w:jc w:val="left"/>
              <w:rPr>
                <w:rFonts w:ascii="宋体" w:eastAsia="宋体" w:hAnsi="宋体" w:cs="宋体"/>
                <w:color w:val="333333"/>
                <w:kern w:val="0"/>
                <w:szCs w:val="21"/>
              </w:rPr>
            </w:pPr>
            <w:r>
              <w:rPr>
                <w:rFonts w:ascii="宋体" w:eastAsia="宋体" w:hAnsi="宋体" w:cs="宋体" w:hint="eastAsia"/>
                <w:color w:val="333333"/>
                <w:kern w:val="0"/>
                <w:szCs w:val="21"/>
              </w:rPr>
              <w:t>0</w:t>
            </w:r>
          </w:p>
        </w:tc>
      </w:tr>
    </w:tbl>
    <w:p w:rsidR="0001536C" w:rsidRDefault="0001536C">
      <w:pPr>
        <w:spacing w:line="560" w:lineRule="exact"/>
        <w:ind w:firstLineChars="200" w:firstLine="640"/>
        <w:rPr>
          <w:rFonts w:ascii="黑体" w:eastAsia="黑体" w:hAnsi="黑体"/>
          <w:sz w:val="32"/>
          <w:szCs w:val="32"/>
        </w:rPr>
      </w:pPr>
    </w:p>
    <w:p w:rsidR="0001536C" w:rsidRDefault="00B16DE9">
      <w:pPr>
        <w:spacing w:line="560" w:lineRule="exact"/>
        <w:ind w:firstLineChars="200" w:firstLine="640"/>
        <w:rPr>
          <w:rFonts w:ascii="黑体" w:eastAsia="黑体" w:hAnsi="黑体"/>
          <w:sz w:val="32"/>
          <w:szCs w:val="32"/>
        </w:rPr>
      </w:pPr>
      <w:r>
        <w:rPr>
          <w:rFonts w:ascii="黑体" w:eastAsia="黑体" w:hAnsi="黑体" w:hint="eastAsia"/>
          <w:sz w:val="32"/>
          <w:szCs w:val="32"/>
        </w:rPr>
        <w:t>五、存在的主要问题及改进情况</w:t>
      </w:r>
    </w:p>
    <w:p w:rsidR="0001536C" w:rsidRDefault="00B16DE9">
      <w:pPr>
        <w:spacing w:line="560" w:lineRule="exact"/>
        <w:ind w:firstLineChars="200" w:firstLine="640"/>
        <w:rPr>
          <w:rFonts w:ascii="楷体_GB2312" w:eastAsia="楷体_GB2312" w:hAnsi="黑体"/>
          <w:sz w:val="32"/>
          <w:szCs w:val="32"/>
        </w:rPr>
      </w:pPr>
      <w:r>
        <w:rPr>
          <w:rFonts w:ascii="楷体_GB2312" w:eastAsia="楷体_GB2312" w:hAnsi="黑体" w:hint="eastAsia"/>
          <w:sz w:val="32"/>
          <w:szCs w:val="32"/>
        </w:rPr>
        <w:t>（一）主要问题</w:t>
      </w:r>
    </w:p>
    <w:p w:rsidR="0001536C" w:rsidRDefault="00B16DE9">
      <w:pPr>
        <w:spacing w:line="560" w:lineRule="exact"/>
        <w:ind w:firstLineChars="200" w:firstLine="640"/>
        <w:rPr>
          <w:rFonts w:ascii="仿宋_GB2312" w:eastAsia="仿宋_GB2312"/>
          <w:sz w:val="32"/>
          <w:szCs w:val="32"/>
        </w:rPr>
      </w:pPr>
      <w:r>
        <w:rPr>
          <w:rFonts w:ascii="仿宋_GB2312" w:eastAsia="仿宋_GB2312" w:hint="eastAsia"/>
          <w:sz w:val="32"/>
          <w:szCs w:val="32"/>
        </w:rPr>
        <w:t>2020年，我局政府信息公开工作主要存在以下问题：一是信息公开工作的主动性、积极性不足；二是信息公开的意识还有待提高；三是在信息公开相关工作的规范化管理方面还有待加强。</w:t>
      </w:r>
    </w:p>
    <w:p w:rsidR="0001536C" w:rsidRDefault="00B16DE9">
      <w:pPr>
        <w:spacing w:line="560" w:lineRule="exact"/>
        <w:ind w:firstLineChars="200" w:firstLine="640"/>
        <w:rPr>
          <w:rFonts w:ascii="仿宋_GB2312" w:eastAsia="仿宋_GB2312"/>
          <w:sz w:val="32"/>
          <w:szCs w:val="32"/>
        </w:rPr>
      </w:pPr>
      <w:r>
        <w:rPr>
          <w:rFonts w:ascii="楷体_GB2312" w:eastAsia="楷体_GB2312" w:hAnsi="黑体" w:hint="eastAsia"/>
          <w:sz w:val="32"/>
          <w:szCs w:val="32"/>
        </w:rPr>
        <w:t>（二）改进措施</w:t>
      </w:r>
    </w:p>
    <w:p w:rsidR="0001536C" w:rsidRDefault="00B16DE9">
      <w:pPr>
        <w:spacing w:line="560" w:lineRule="exact"/>
        <w:ind w:firstLineChars="200" w:firstLine="640"/>
        <w:rPr>
          <w:rFonts w:ascii="仿宋_GB2312" w:eastAsia="仿宋_GB2312"/>
          <w:sz w:val="32"/>
          <w:szCs w:val="32"/>
        </w:rPr>
      </w:pPr>
      <w:r>
        <w:rPr>
          <w:rFonts w:ascii="仿宋_GB2312" w:eastAsia="仿宋_GB2312" w:hint="eastAsia"/>
          <w:sz w:val="32"/>
          <w:szCs w:val="32"/>
        </w:rPr>
        <w:t>2021年，我局将从以下几个方面加强工作，抓好落实，推动我局信息公开工作深入开展：一是进一步增强信息公开意识，强化领导职责，责任落实到人，逐步加强信息公开的监督检查力度，将信息公开工作与业务工作同部署、同落实、同考核，充分调动机关干部参与信息公开工作的主动性；二是进一步提高信息公开工作培训力度，全面提高相关工作人员的信息公开工作水平，确保信息公开各项工作顺利开展；</w:t>
      </w:r>
      <w:r>
        <w:rPr>
          <w:rFonts w:ascii="仿宋_GB2312" w:eastAsia="仿宋_GB2312" w:hint="eastAsia"/>
          <w:sz w:val="32"/>
          <w:szCs w:val="32"/>
        </w:rPr>
        <w:lastRenderedPageBreak/>
        <w:t>三是进一步健全政务公开各项制度机制，逐步实现信息公开各项工作的制度化、规范化建设；四是进一步加强政府信息公开载体建设，创新政府信息公开形式，畅通信息公开渠道，使政府信息公开渠道和方式更加多样、便捷。</w:t>
      </w:r>
    </w:p>
    <w:p w:rsidR="0001536C" w:rsidRDefault="00B16DE9">
      <w:pPr>
        <w:spacing w:line="560" w:lineRule="exact"/>
        <w:ind w:firstLineChars="200" w:firstLine="640"/>
        <w:rPr>
          <w:rFonts w:ascii="黑体" w:eastAsia="黑体" w:hAnsi="黑体"/>
          <w:sz w:val="32"/>
          <w:szCs w:val="32"/>
        </w:rPr>
      </w:pPr>
      <w:r>
        <w:rPr>
          <w:rFonts w:ascii="黑体" w:eastAsia="黑体" w:hAnsi="黑体" w:hint="eastAsia"/>
          <w:sz w:val="32"/>
          <w:szCs w:val="32"/>
        </w:rPr>
        <w:t>六、其他需要报告的事项</w:t>
      </w:r>
    </w:p>
    <w:p w:rsidR="0001536C" w:rsidRDefault="00B16DE9">
      <w:pPr>
        <w:ind w:firstLineChars="200" w:firstLine="560"/>
        <w:rPr>
          <w:rFonts w:ascii="仿宋_GB2312" w:eastAsia="仿宋_GB2312"/>
          <w:sz w:val="28"/>
          <w:szCs w:val="28"/>
        </w:rPr>
      </w:pPr>
      <w:r>
        <w:rPr>
          <w:rFonts w:ascii="仿宋_GB2312" w:eastAsia="仿宋_GB2312" w:hint="eastAsia"/>
          <w:sz w:val="28"/>
          <w:szCs w:val="28"/>
        </w:rPr>
        <w:t>无。</w:t>
      </w:r>
    </w:p>
    <w:p w:rsidR="0001536C" w:rsidRDefault="0001536C">
      <w:pPr>
        <w:ind w:firstLineChars="200" w:firstLine="560"/>
        <w:rPr>
          <w:rFonts w:ascii="仿宋_GB2312" w:eastAsia="仿宋_GB2312"/>
          <w:sz w:val="28"/>
          <w:szCs w:val="28"/>
        </w:rPr>
      </w:pPr>
    </w:p>
    <w:p w:rsidR="0001536C" w:rsidRDefault="0001536C">
      <w:pPr>
        <w:ind w:firstLineChars="200" w:firstLine="560"/>
        <w:rPr>
          <w:rFonts w:ascii="仿宋_GB2312" w:eastAsia="仿宋_GB2312"/>
          <w:sz w:val="28"/>
          <w:szCs w:val="28"/>
        </w:rPr>
      </w:pPr>
    </w:p>
    <w:p w:rsidR="0001536C" w:rsidRDefault="0001536C">
      <w:pPr>
        <w:ind w:firstLineChars="200" w:firstLine="560"/>
        <w:rPr>
          <w:rFonts w:ascii="仿宋_GB2312" w:eastAsia="仿宋_GB2312"/>
          <w:sz w:val="28"/>
          <w:szCs w:val="28"/>
        </w:rPr>
      </w:pPr>
    </w:p>
    <w:p w:rsidR="0001536C" w:rsidRDefault="0001536C">
      <w:pPr>
        <w:ind w:firstLineChars="200" w:firstLine="560"/>
        <w:rPr>
          <w:rFonts w:ascii="仿宋_GB2312" w:eastAsia="仿宋_GB2312"/>
          <w:sz w:val="28"/>
          <w:szCs w:val="28"/>
        </w:rPr>
      </w:pPr>
    </w:p>
    <w:p w:rsidR="0001536C" w:rsidRDefault="0001536C">
      <w:pPr>
        <w:ind w:firstLineChars="200" w:firstLine="420"/>
      </w:pPr>
    </w:p>
    <w:sectPr w:rsidR="000153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64AFAB"/>
    <w:multiLevelType w:val="singleLevel"/>
    <w:tmpl w:val="9164AFAB"/>
    <w:lvl w:ilvl="0">
      <w:start w:val="1"/>
      <w:numFmt w:val="decimal"/>
      <w:lvlText w:val="%1."/>
      <w:lvlJc w:val="left"/>
      <w:pPr>
        <w:tabs>
          <w:tab w:val="left" w:pos="312"/>
        </w:tabs>
      </w:pPr>
    </w:lvl>
  </w:abstractNum>
  <w:abstractNum w:abstractNumId="1">
    <w:nsid w:val="AE86D200"/>
    <w:multiLevelType w:val="singleLevel"/>
    <w:tmpl w:val="AE86D200"/>
    <w:lvl w:ilvl="0">
      <w:start w:val="2"/>
      <w:numFmt w:val="decimal"/>
      <w:suff w:val="nothing"/>
      <w:lvlText w:val="%1、"/>
      <w:lvlJc w:val="left"/>
    </w:lvl>
  </w:abstractNum>
  <w:abstractNum w:abstractNumId="2">
    <w:nsid w:val="0D4DE65A"/>
    <w:multiLevelType w:val="singleLevel"/>
    <w:tmpl w:val="0D4DE65A"/>
    <w:lvl w:ilvl="0">
      <w:start w:val="2"/>
      <w:numFmt w:val="chineseCounting"/>
      <w:suff w:val="nothing"/>
      <w:lvlText w:val="%1、"/>
      <w:lvlJc w:val="left"/>
      <w:rPr>
        <w:rFonts w:hint="eastAsia"/>
      </w:rPr>
    </w:lvl>
  </w:abstractNum>
  <w:abstractNum w:abstractNumId="3">
    <w:nsid w:val="35272013"/>
    <w:multiLevelType w:val="singleLevel"/>
    <w:tmpl w:val="35272013"/>
    <w:lvl w:ilvl="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FF"/>
    <w:rsid w:val="00003766"/>
    <w:rsid w:val="00011351"/>
    <w:rsid w:val="0001536C"/>
    <w:rsid w:val="00033FFE"/>
    <w:rsid w:val="000406A0"/>
    <w:rsid w:val="00050F08"/>
    <w:rsid w:val="00067D0C"/>
    <w:rsid w:val="00097400"/>
    <w:rsid w:val="000B0330"/>
    <w:rsid w:val="000B0934"/>
    <w:rsid w:val="000E4BD9"/>
    <w:rsid w:val="000E69DA"/>
    <w:rsid w:val="000E6B32"/>
    <w:rsid w:val="000F2D8A"/>
    <w:rsid w:val="001010D4"/>
    <w:rsid w:val="00117B4D"/>
    <w:rsid w:val="00123B08"/>
    <w:rsid w:val="001245D4"/>
    <w:rsid w:val="00124A11"/>
    <w:rsid w:val="001366B4"/>
    <w:rsid w:val="00151924"/>
    <w:rsid w:val="00154708"/>
    <w:rsid w:val="00161940"/>
    <w:rsid w:val="00164480"/>
    <w:rsid w:val="0016467B"/>
    <w:rsid w:val="00186A62"/>
    <w:rsid w:val="001A6BB5"/>
    <w:rsid w:val="001B7C65"/>
    <w:rsid w:val="001E217A"/>
    <w:rsid w:val="001E5229"/>
    <w:rsid w:val="001E6FDD"/>
    <w:rsid w:val="00206BB2"/>
    <w:rsid w:val="00214DF2"/>
    <w:rsid w:val="00216242"/>
    <w:rsid w:val="00234030"/>
    <w:rsid w:val="00241314"/>
    <w:rsid w:val="00251CC7"/>
    <w:rsid w:val="00256608"/>
    <w:rsid w:val="00266C64"/>
    <w:rsid w:val="002710D2"/>
    <w:rsid w:val="00286935"/>
    <w:rsid w:val="0029082F"/>
    <w:rsid w:val="0029284C"/>
    <w:rsid w:val="0029383C"/>
    <w:rsid w:val="002942DD"/>
    <w:rsid w:val="002A7F25"/>
    <w:rsid w:val="002B5369"/>
    <w:rsid w:val="002D09A1"/>
    <w:rsid w:val="002E3859"/>
    <w:rsid w:val="00310B91"/>
    <w:rsid w:val="00317F8F"/>
    <w:rsid w:val="003336C5"/>
    <w:rsid w:val="003343A1"/>
    <w:rsid w:val="00342B75"/>
    <w:rsid w:val="00361769"/>
    <w:rsid w:val="003A551A"/>
    <w:rsid w:val="003B7614"/>
    <w:rsid w:val="003C1CCB"/>
    <w:rsid w:val="003C66CF"/>
    <w:rsid w:val="003D1317"/>
    <w:rsid w:val="003F3C5A"/>
    <w:rsid w:val="004020BC"/>
    <w:rsid w:val="00417E4F"/>
    <w:rsid w:val="00431DC0"/>
    <w:rsid w:val="0044469E"/>
    <w:rsid w:val="0044565B"/>
    <w:rsid w:val="004622B9"/>
    <w:rsid w:val="00465EE7"/>
    <w:rsid w:val="00474F8C"/>
    <w:rsid w:val="004A3770"/>
    <w:rsid w:val="004A61D9"/>
    <w:rsid w:val="004B1E38"/>
    <w:rsid w:val="004D692C"/>
    <w:rsid w:val="004F225D"/>
    <w:rsid w:val="00503DC2"/>
    <w:rsid w:val="00506018"/>
    <w:rsid w:val="0052384C"/>
    <w:rsid w:val="00530FAE"/>
    <w:rsid w:val="005357E0"/>
    <w:rsid w:val="00561095"/>
    <w:rsid w:val="00565E58"/>
    <w:rsid w:val="00572EE9"/>
    <w:rsid w:val="00575039"/>
    <w:rsid w:val="0058410F"/>
    <w:rsid w:val="005A2D30"/>
    <w:rsid w:val="005A679F"/>
    <w:rsid w:val="005A6855"/>
    <w:rsid w:val="005B2C9D"/>
    <w:rsid w:val="005B60B9"/>
    <w:rsid w:val="005C4E55"/>
    <w:rsid w:val="005C6267"/>
    <w:rsid w:val="005D2717"/>
    <w:rsid w:val="005E176C"/>
    <w:rsid w:val="006437E8"/>
    <w:rsid w:val="0067385D"/>
    <w:rsid w:val="00684540"/>
    <w:rsid w:val="00685243"/>
    <w:rsid w:val="00685FD6"/>
    <w:rsid w:val="0069145A"/>
    <w:rsid w:val="006A5602"/>
    <w:rsid w:val="006C1D61"/>
    <w:rsid w:val="006C61E3"/>
    <w:rsid w:val="006D2B9E"/>
    <w:rsid w:val="006F2052"/>
    <w:rsid w:val="006F32A9"/>
    <w:rsid w:val="0070575A"/>
    <w:rsid w:val="00706842"/>
    <w:rsid w:val="00707521"/>
    <w:rsid w:val="00710874"/>
    <w:rsid w:val="0072048C"/>
    <w:rsid w:val="00746ECD"/>
    <w:rsid w:val="00747284"/>
    <w:rsid w:val="0075282D"/>
    <w:rsid w:val="00754F25"/>
    <w:rsid w:val="00776012"/>
    <w:rsid w:val="0077715A"/>
    <w:rsid w:val="007D6C57"/>
    <w:rsid w:val="007E4180"/>
    <w:rsid w:val="00807CC0"/>
    <w:rsid w:val="00816B92"/>
    <w:rsid w:val="00825613"/>
    <w:rsid w:val="00835FA9"/>
    <w:rsid w:val="00852C30"/>
    <w:rsid w:val="00867D9F"/>
    <w:rsid w:val="0087437C"/>
    <w:rsid w:val="00874582"/>
    <w:rsid w:val="0087509A"/>
    <w:rsid w:val="00885D12"/>
    <w:rsid w:val="008A46AC"/>
    <w:rsid w:val="008D4B35"/>
    <w:rsid w:val="008D62E4"/>
    <w:rsid w:val="008E6862"/>
    <w:rsid w:val="008F0C7F"/>
    <w:rsid w:val="00902E17"/>
    <w:rsid w:val="00937389"/>
    <w:rsid w:val="00971010"/>
    <w:rsid w:val="0099580A"/>
    <w:rsid w:val="009C36DF"/>
    <w:rsid w:val="009D2A19"/>
    <w:rsid w:val="009D5915"/>
    <w:rsid w:val="009F4207"/>
    <w:rsid w:val="009F435B"/>
    <w:rsid w:val="009F4D5A"/>
    <w:rsid w:val="009F5FE5"/>
    <w:rsid w:val="009F6DCB"/>
    <w:rsid w:val="00A16507"/>
    <w:rsid w:val="00A304B2"/>
    <w:rsid w:val="00A427EB"/>
    <w:rsid w:val="00A52A9C"/>
    <w:rsid w:val="00A6389A"/>
    <w:rsid w:val="00A7136A"/>
    <w:rsid w:val="00A858D2"/>
    <w:rsid w:val="00A9750E"/>
    <w:rsid w:val="00AD32E2"/>
    <w:rsid w:val="00AD7912"/>
    <w:rsid w:val="00AE68F1"/>
    <w:rsid w:val="00AE6F46"/>
    <w:rsid w:val="00AF6C2E"/>
    <w:rsid w:val="00B0527D"/>
    <w:rsid w:val="00B10618"/>
    <w:rsid w:val="00B16DE9"/>
    <w:rsid w:val="00B209C0"/>
    <w:rsid w:val="00B222E6"/>
    <w:rsid w:val="00B2447E"/>
    <w:rsid w:val="00B52FB0"/>
    <w:rsid w:val="00B6207B"/>
    <w:rsid w:val="00B70AA5"/>
    <w:rsid w:val="00B72BE8"/>
    <w:rsid w:val="00B905A0"/>
    <w:rsid w:val="00B95A40"/>
    <w:rsid w:val="00BA1D87"/>
    <w:rsid w:val="00BA408A"/>
    <w:rsid w:val="00BB0CB9"/>
    <w:rsid w:val="00BD15C4"/>
    <w:rsid w:val="00BE34C2"/>
    <w:rsid w:val="00BF33DF"/>
    <w:rsid w:val="00BF78AB"/>
    <w:rsid w:val="00C01B55"/>
    <w:rsid w:val="00C01FA7"/>
    <w:rsid w:val="00C0203D"/>
    <w:rsid w:val="00C24D73"/>
    <w:rsid w:val="00C421DB"/>
    <w:rsid w:val="00C53C40"/>
    <w:rsid w:val="00C615D5"/>
    <w:rsid w:val="00CB0401"/>
    <w:rsid w:val="00CB2F48"/>
    <w:rsid w:val="00CC6D06"/>
    <w:rsid w:val="00CF7A58"/>
    <w:rsid w:val="00D00DA1"/>
    <w:rsid w:val="00D11086"/>
    <w:rsid w:val="00D36A59"/>
    <w:rsid w:val="00D41DCE"/>
    <w:rsid w:val="00D47806"/>
    <w:rsid w:val="00D53DFE"/>
    <w:rsid w:val="00D601F0"/>
    <w:rsid w:val="00D628BA"/>
    <w:rsid w:val="00D72CD5"/>
    <w:rsid w:val="00D847D8"/>
    <w:rsid w:val="00DA5B47"/>
    <w:rsid w:val="00DB1A24"/>
    <w:rsid w:val="00DD1EFA"/>
    <w:rsid w:val="00DE0F65"/>
    <w:rsid w:val="00DE7653"/>
    <w:rsid w:val="00DF152D"/>
    <w:rsid w:val="00E0243C"/>
    <w:rsid w:val="00E2313C"/>
    <w:rsid w:val="00E271FF"/>
    <w:rsid w:val="00E44D4C"/>
    <w:rsid w:val="00E66D92"/>
    <w:rsid w:val="00E76CEC"/>
    <w:rsid w:val="00E8666D"/>
    <w:rsid w:val="00EA56A0"/>
    <w:rsid w:val="00EC4878"/>
    <w:rsid w:val="00F07DF7"/>
    <w:rsid w:val="00F227DD"/>
    <w:rsid w:val="00F241FE"/>
    <w:rsid w:val="00F250FA"/>
    <w:rsid w:val="00F33CEA"/>
    <w:rsid w:val="00F43078"/>
    <w:rsid w:val="00F53375"/>
    <w:rsid w:val="00F63D59"/>
    <w:rsid w:val="00F7222E"/>
    <w:rsid w:val="00F81217"/>
    <w:rsid w:val="00F84A56"/>
    <w:rsid w:val="00F85382"/>
    <w:rsid w:val="00F85A95"/>
    <w:rsid w:val="00F86849"/>
    <w:rsid w:val="00F97C97"/>
    <w:rsid w:val="00FD6BCF"/>
    <w:rsid w:val="00FE7C2B"/>
    <w:rsid w:val="00FF5E80"/>
    <w:rsid w:val="1A727108"/>
    <w:rsid w:val="1D5B6D27"/>
    <w:rsid w:val="2240395A"/>
    <w:rsid w:val="2B5D5259"/>
    <w:rsid w:val="4D173E4D"/>
    <w:rsid w:val="713B7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0" w:unhideWhenUsed="0" w:qFormat="1"/>
    <w:lsdException w:name="Emphasis" w:semiHidden="0" w:uiPriority="20" w:unhideWhenUsed="0" w:qFormat="1"/>
    <w:lsdException w:name="Normal (Web)" w:semiHidden="0" w:uiPriority="0" w:unhideWhenUsed="0"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rPr>
      <w:b/>
      <w:color w:val="FF000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qFormat/>
    <w:rPr>
      <w:rFonts w:ascii="Verdana" w:eastAsia="仿宋_GB2312" w:hAnsi="Verdana" w:cs="Verdana"/>
      <w:b/>
      <w:bCs/>
      <w:kern w:val="0"/>
      <w:sz w:val="28"/>
      <w:szCs w:val="28"/>
      <w:lang w:eastAsia="en-US"/>
    </w:rPr>
  </w:style>
  <w:style w:type="character" w:styleId="a9">
    <w:name w:val="FollowedHyperlink"/>
    <w:basedOn w:val="a0"/>
    <w:uiPriority w:val="99"/>
    <w:semiHidden/>
    <w:unhideWhenUsed/>
    <w:qFormat/>
    <w:rPr>
      <w:color w:val="800080"/>
      <w:u w:val="none"/>
    </w:rPr>
  </w:style>
  <w:style w:type="character" w:styleId="aa">
    <w:name w:val="Emphasis"/>
    <w:basedOn w:val="a0"/>
    <w:uiPriority w:val="20"/>
    <w:qFormat/>
    <w:rPr>
      <w:b/>
    </w:rPr>
  </w:style>
  <w:style w:type="character" w:styleId="HTML">
    <w:name w:val="HTML Definition"/>
    <w:basedOn w:val="a0"/>
    <w:uiPriority w:val="99"/>
    <w:semiHidden/>
    <w:unhideWhenUsed/>
    <w:qFormat/>
  </w:style>
  <w:style w:type="character" w:styleId="HTML0">
    <w:name w:val="HTML Variable"/>
    <w:basedOn w:val="a0"/>
    <w:uiPriority w:val="99"/>
    <w:semiHidden/>
    <w:unhideWhenUsed/>
    <w:qFormat/>
  </w:style>
  <w:style w:type="character" w:styleId="ab">
    <w:name w:val="Hyperlink"/>
    <w:basedOn w:val="a0"/>
    <w:uiPriority w:val="99"/>
    <w:semiHidden/>
    <w:unhideWhenUsed/>
    <w:qFormat/>
    <w:rPr>
      <w:color w:val="0000FF"/>
      <w:u w:val="none"/>
    </w:rPr>
  </w:style>
  <w:style w:type="character" w:styleId="HTML1">
    <w:name w:val="HTML Code"/>
    <w:basedOn w:val="a0"/>
    <w:uiPriority w:val="99"/>
    <w:semiHidden/>
    <w:unhideWhenUsed/>
    <w:qFormat/>
    <w:rPr>
      <w:rFonts w:ascii="Courier New" w:hAnsi="Courier New"/>
      <w:sz w:val="20"/>
    </w:rPr>
  </w:style>
  <w:style w:type="character" w:styleId="HTML2">
    <w:name w:val="HTML Cite"/>
    <w:basedOn w:val="a0"/>
    <w:uiPriority w:val="99"/>
    <w:semiHidden/>
    <w:unhideWhenUsed/>
    <w:qFormat/>
  </w:style>
  <w:style w:type="character" w:styleId="HTML3">
    <w:name w:val="HTML Keyboard"/>
    <w:basedOn w:val="a0"/>
    <w:uiPriority w:val="99"/>
    <w:semiHidden/>
    <w:unhideWhenUsed/>
    <w:qFormat/>
    <w:rPr>
      <w:rFonts w:ascii="Courier New" w:hAnsi="Courier New"/>
      <w:sz w:val="20"/>
    </w:rPr>
  </w:style>
  <w:style w:type="character" w:styleId="HTML4">
    <w:name w:val="HTML Sample"/>
    <w:basedOn w:val="a0"/>
    <w:uiPriority w:val="99"/>
    <w:semiHidden/>
    <w:unhideWhenUsed/>
    <w:qFormat/>
    <w:rPr>
      <w:rFonts w:ascii="Courier New" w:hAnsi="Courier New"/>
      <w:sz w:val="24"/>
      <w:szCs w:val="24"/>
    </w:rPr>
  </w:style>
  <w:style w:type="character" w:customStyle="1" w:styleId="Char">
    <w:name w:val="批注框文本 Char"/>
    <w:basedOn w:val="a0"/>
    <w:link w:val="a4"/>
    <w:uiPriority w:val="99"/>
    <w:semiHidden/>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0" w:unhideWhenUsed="0" w:qFormat="1"/>
    <w:lsdException w:name="Emphasis" w:semiHidden="0" w:uiPriority="20" w:unhideWhenUsed="0" w:qFormat="1"/>
    <w:lsdException w:name="Normal (Web)" w:semiHidden="0" w:uiPriority="0" w:unhideWhenUsed="0"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rPr>
      <w:b/>
      <w:color w:val="FF000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qFormat/>
    <w:rPr>
      <w:rFonts w:ascii="Verdana" w:eastAsia="仿宋_GB2312" w:hAnsi="Verdana" w:cs="Verdana"/>
      <w:b/>
      <w:bCs/>
      <w:kern w:val="0"/>
      <w:sz w:val="28"/>
      <w:szCs w:val="28"/>
      <w:lang w:eastAsia="en-US"/>
    </w:rPr>
  </w:style>
  <w:style w:type="character" w:styleId="a9">
    <w:name w:val="FollowedHyperlink"/>
    <w:basedOn w:val="a0"/>
    <w:uiPriority w:val="99"/>
    <w:semiHidden/>
    <w:unhideWhenUsed/>
    <w:qFormat/>
    <w:rPr>
      <w:color w:val="800080"/>
      <w:u w:val="none"/>
    </w:rPr>
  </w:style>
  <w:style w:type="character" w:styleId="aa">
    <w:name w:val="Emphasis"/>
    <w:basedOn w:val="a0"/>
    <w:uiPriority w:val="20"/>
    <w:qFormat/>
    <w:rPr>
      <w:b/>
    </w:rPr>
  </w:style>
  <w:style w:type="character" w:styleId="HTML">
    <w:name w:val="HTML Definition"/>
    <w:basedOn w:val="a0"/>
    <w:uiPriority w:val="99"/>
    <w:semiHidden/>
    <w:unhideWhenUsed/>
    <w:qFormat/>
  </w:style>
  <w:style w:type="character" w:styleId="HTML0">
    <w:name w:val="HTML Variable"/>
    <w:basedOn w:val="a0"/>
    <w:uiPriority w:val="99"/>
    <w:semiHidden/>
    <w:unhideWhenUsed/>
    <w:qFormat/>
  </w:style>
  <w:style w:type="character" w:styleId="ab">
    <w:name w:val="Hyperlink"/>
    <w:basedOn w:val="a0"/>
    <w:uiPriority w:val="99"/>
    <w:semiHidden/>
    <w:unhideWhenUsed/>
    <w:qFormat/>
    <w:rPr>
      <w:color w:val="0000FF"/>
      <w:u w:val="none"/>
    </w:rPr>
  </w:style>
  <w:style w:type="character" w:styleId="HTML1">
    <w:name w:val="HTML Code"/>
    <w:basedOn w:val="a0"/>
    <w:uiPriority w:val="99"/>
    <w:semiHidden/>
    <w:unhideWhenUsed/>
    <w:qFormat/>
    <w:rPr>
      <w:rFonts w:ascii="Courier New" w:hAnsi="Courier New"/>
      <w:sz w:val="20"/>
    </w:rPr>
  </w:style>
  <w:style w:type="character" w:styleId="HTML2">
    <w:name w:val="HTML Cite"/>
    <w:basedOn w:val="a0"/>
    <w:uiPriority w:val="99"/>
    <w:semiHidden/>
    <w:unhideWhenUsed/>
    <w:qFormat/>
  </w:style>
  <w:style w:type="character" w:styleId="HTML3">
    <w:name w:val="HTML Keyboard"/>
    <w:basedOn w:val="a0"/>
    <w:uiPriority w:val="99"/>
    <w:semiHidden/>
    <w:unhideWhenUsed/>
    <w:qFormat/>
    <w:rPr>
      <w:rFonts w:ascii="Courier New" w:hAnsi="Courier New"/>
      <w:sz w:val="20"/>
    </w:rPr>
  </w:style>
  <w:style w:type="character" w:styleId="HTML4">
    <w:name w:val="HTML Sample"/>
    <w:basedOn w:val="a0"/>
    <w:uiPriority w:val="99"/>
    <w:semiHidden/>
    <w:unhideWhenUsed/>
    <w:qFormat/>
    <w:rPr>
      <w:rFonts w:ascii="Courier New" w:hAnsi="Courier New"/>
      <w:sz w:val="24"/>
      <w:szCs w:val="24"/>
    </w:rPr>
  </w:style>
  <w:style w:type="character" w:customStyle="1" w:styleId="Char">
    <w:name w:val="批注框文本 Char"/>
    <w:basedOn w:val="a0"/>
    <w:link w:val="a4"/>
    <w:uiPriority w:val="99"/>
    <w:semiHidden/>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10</Pages>
  <Words>671</Words>
  <Characters>3830</Characters>
  <Application>Microsoft Office Word</Application>
  <DocSecurity>0</DocSecurity>
  <Lines>31</Lines>
  <Paragraphs>8</Paragraphs>
  <ScaleCrop>false</ScaleCrop>
  <Company>gq</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186</cp:revision>
  <cp:lastPrinted>2022-03-24T06:12:00Z</cp:lastPrinted>
  <dcterms:created xsi:type="dcterms:W3CDTF">2021-01-08T09:26:00Z</dcterms:created>
  <dcterms:modified xsi:type="dcterms:W3CDTF">2022-03-24T06:12:00Z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