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A2689">
      <w:pPr>
        <w:spacing w:line="560" w:lineRule="exact"/>
        <w:ind w:firstLine="0"/>
        <w:jc w:val="center"/>
        <w:rPr>
          <w:rFonts w:hint="eastAsia" w:eastAsia="方正小标宋简体"/>
          <w:sz w:val="44"/>
          <w:szCs w:val="44"/>
        </w:rPr>
      </w:pPr>
      <w:r>
        <w:rPr>
          <w:rFonts w:hint="eastAsia" w:eastAsia="方正小标宋简体"/>
          <w:sz w:val="44"/>
          <w:szCs w:val="44"/>
        </w:rPr>
        <w:t>高青县</w:t>
      </w:r>
      <w:r>
        <w:rPr>
          <w:rFonts w:hint="eastAsia" w:eastAsia="方正小标宋简体"/>
          <w:sz w:val="44"/>
          <w:szCs w:val="44"/>
          <w:lang w:val="en-US" w:eastAsia="zh-CN"/>
        </w:rPr>
        <w:t>发展和改革</w:t>
      </w:r>
      <w:r>
        <w:rPr>
          <w:rFonts w:hint="eastAsia" w:eastAsia="方正小标宋简体"/>
          <w:sz w:val="44"/>
          <w:szCs w:val="44"/>
        </w:rPr>
        <w:t>局</w:t>
      </w:r>
    </w:p>
    <w:p w14:paraId="0763809C">
      <w:pPr>
        <w:spacing w:line="560" w:lineRule="exact"/>
        <w:ind w:firstLine="0"/>
        <w:jc w:val="center"/>
        <w:rPr>
          <w:rFonts w:hint="eastAsia" w:eastAsia="方正小标宋简体"/>
          <w:sz w:val="44"/>
          <w:szCs w:val="44"/>
        </w:rPr>
      </w:pPr>
      <w:r>
        <w:rPr>
          <w:rFonts w:hint="eastAsia" w:eastAsia="方正小标宋简体"/>
          <w:sz w:val="44"/>
          <w:szCs w:val="44"/>
        </w:rPr>
        <w:t>202</w:t>
      </w:r>
      <w:r>
        <w:rPr>
          <w:rFonts w:hint="eastAsia" w:eastAsia="方正小标宋简体"/>
          <w:sz w:val="44"/>
          <w:szCs w:val="44"/>
          <w:lang w:val="en-US" w:eastAsia="zh-CN"/>
        </w:rPr>
        <w:t>5</w:t>
      </w:r>
      <w:r>
        <w:rPr>
          <w:rFonts w:hint="eastAsia" w:eastAsia="方正小标宋简体"/>
          <w:sz w:val="44"/>
          <w:szCs w:val="44"/>
        </w:rPr>
        <w:t>年政府信息公开工作年度报告</w:t>
      </w:r>
    </w:p>
    <w:p w14:paraId="45D766FD">
      <w:pPr>
        <w:spacing w:line="560" w:lineRule="exact"/>
        <w:ind w:firstLine="0"/>
        <w:jc w:val="center"/>
        <w:rPr>
          <w:rFonts w:hint="eastAsia" w:eastAsia="方正小标宋简体"/>
          <w:sz w:val="44"/>
          <w:szCs w:val="44"/>
        </w:rPr>
      </w:pPr>
    </w:p>
    <w:p w14:paraId="5DBA3227">
      <w:pPr>
        <w:spacing w:line="560" w:lineRule="exact"/>
        <w:ind w:firstLine="640" w:firstLineChars="200"/>
        <w:rPr>
          <w:rFonts w:eastAsia="仿宋_GB2312"/>
        </w:rPr>
      </w:pPr>
      <w:r>
        <w:rPr>
          <w:rFonts w:hint="eastAsia" w:eastAsia="仿宋_GB2312"/>
        </w:rPr>
        <w:t>本报告根据《中华人民共和国政府信息公开条例》（国务院令第711号，以下简称《条例》）和《国务院办公厅政府信息与政务公开办公室关于印发&lt;中华人民共和国政府信息公开工作年度报告格式&gt;的通知》（国办公开办函〔</w:t>
      </w:r>
      <w:r>
        <w:rPr>
          <w:rFonts w:eastAsia="仿宋_GB2312"/>
        </w:rPr>
        <w:t>2021〕30号</w:t>
      </w:r>
      <w:r>
        <w:rPr>
          <w:rFonts w:hint="eastAsia" w:eastAsia="仿宋_GB2312"/>
        </w:rPr>
        <w:t>）相关要求编制。报告全文分总体情况、主动公开政府信息情况、收到和处理政府信息公开申请情况、政府信息公开行政复议和行政诉讼情况、存在的主要问题及改进情况、其他需要报告的事项六个部分。</w:t>
      </w:r>
    </w:p>
    <w:p w14:paraId="5259FB31">
      <w:pPr>
        <w:spacing w:line="560" w:lineRule="exact"/>
        <w:ind w:firstLine="640" w:firstLineChars="200"/>
        <w:rPr>
          <w:rFonts w:hint="eastAsia" w:eastAsia="仿宋_GB2312"/>
          <w:lang w:val="en-US" w:eastAsia="zh-CN"/>
        </w:rPr>
      </w:pPr>
      <w:r>
        <w:rPr>
          <w:rFonts w:hint="eastAsia" w:eastAsia="仿宋_GB2312"/>
        </w:rPr>
        <w:t>报告中所列数据统计期限自202</w:t>
      </w:r>
      <w:r>
        <w:rPr>
          <w:rFonts w:hint="eastAsia" w:eastAsia="仿宋_GB2312"/>
          <w:lang w:val="en-US" w:eastAsia="zh-CN"/>
        </w:rPr>
        <w:t>5</w:t>
      </w:r>
      <w:r>
        <w:rPr>
          <w:rFonts w:hint="eastAsia" w:eastAsia="仿宋_GB2312"/>
        </w:rPr>
        <w:t>年1月1日始，至202</w:t>
      </w:r>
      <w:r>
        <w:rPr>
          <w:rFonts w:hint="eastAsia" w:eastAsia="仿宋_GB2312"/>
          <w:lang w:val="en-US" w:eastAsia="zh-CN"/>
        </w:rPr>
        <w:t>5</w:t>
      </w:r>
      <w:r>
        <w:rPr>
          <w:rFonts w:hint="eastAsia" w:eastAsia="仿宋_GB2312"/>
        </w:rPr>
        <w:t>年12月31日止。报告电子版可在高青县人民政府门户网站（www.gaoqing.gov.cn）查阅和下载。如对报告内容有疑问，请与高青县XX局办公室联系（地址：山东省淄博市高青县</w:t>
      </w:r>
      <w:r>
        <w:rPr>
          <w:rFonts w:hint="eastAsia" w:eastAsia="仿宋_GB2312"/>
          <w:lang w:val="en-US" w:eastAsia="zh-CN"/>
        </w:rPr>
        <w:t>黄河</w:t>
      </w:r>
      <w:r>
        <w:rPr>
          <w:rFonts w:hint="eastAsia" w:eastAsia="仿宋_GB2312"/>
        </w:rPr>
        <w:t>路</w:t>
      </w:r>
      <w:r>
        <w:rPr>
          <w:rFonts w:hint="eastAsia" w:eastAsia="仿宋_GB2312"/>
          <w:lang w:val="en-US" w:eastAsia="zh-CN"/>
        </w:rPr>
        <w:t>99</w:t>
      </w:r>
      <w:r>
        <w:rPr>
          <w:rFonts w:hint="eastAsia" w:eastAsia="仿宋_GB2312"/>
        </w:rPr>
        <w:t>号；邮编：</w:t>
      </w:r>
      <w:r>
        <w:rPr>
          <w:rFonts w:hint="eastAsia" w:eastAsia="仿宋_GB2312"/>
          <w:lang w:val="en-US" w:eastAsia="zh-CN"/>
        </w:rPr>
        <w:t>256300</w:t>
      </w:r>
      <w:r>
        <w:rPr>
          <w:rFonts w:hint="eastAsia" w:eastAsia="仿宋_GB2312"/>
        </w:rPr>
        <w:t>；电话：0533-</w:t>
      </w:r>
      <w:r>
        <w:rPr>
          <w:rFonts w:hint="eastAsia" w:eastAsia="仿宋_GB2312"/>
          <w:lang w:val="en-US" w:eastAsia="zh-CN"/>
        </w:rPr>
        <w:t>6967153</w:t>
      </w:r>
      <w:r>
        <w:rPr>
          <w:rFonts w:hint="eastAsia" w:eastAsia="仿宋_GB2312"/>
        </w:rPr>
        <w:t>；邮箱：gqxfgjbgs1@zb.shandong.cn）。</w:t>
      </w:r>
      <w:r>
        <w:rPr>
          <w:rFonts w:hint="eastAsia" w:eastAsia="仿宋_GB2312"/>
          <w:lang w:val="en-US" w:eastAsia="zh-CN"/>
        </w:rPr>
        <w:t xml:space="preserve"> </w:t>
      </w:r>
    </w:p>
    <w:p w14:paraId="51C988CB">
      <w:pPr>
        <w:spacing w:line="560" w:lineRule="exact"/>
        <w:ind w:firstLine="640" w:firstLineChars="200"/>
        <w:rPr>
          <w:rFonts w:eastAsia="黑体"/>
          <w:szCs w:val="32"/>
        </w:rPr>
      </w:pPr>
      <w:r>
        <w:rPr>
          <w:rFonts w:hint="eastAsia" w:eastAsia="黑体"/>
          <w:szCs w:val="32"/>
        </w:rPr>
        <w:t>一、总体情况</w:t>
      </w:r>
    </w:p>
    <w:p w14:paraId="0E311AFF">
      <w:pPr>
        <w:spacing w:line="560" w:lineRule="exact"/>
        <w:ind w:firstLine="640" w:firstLineChars="200"/>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eastAsia="仿宋_GB2312"/>
        </w:rPr>
        <w:t>2025年，高青县发展和改革局深入落实国家及省市县关于政务公开的部署要求，持续完善公开机制，拓宽公开渠道，致力于提升政策解读精准性与政府工作透明度，为全县发展营造了更加开放、规范的政务环境。</w:t>
      </w:r>
    </w:p>
    <w:p w14:paraId="6FDB0E74">
      <w:pPr>
        <w:spacing w:line="600" w:lineRule="exact"/>
        <w:ind w:firstLine="640" w:firstLineChars="200"/>
        <w:rPr>
          <w:rFonts w:ascii="仿宋_GB2312" w:eastAsia="仿宋_GB2312"/>
          <w:szCs w:val="32"/>
        </w:rPr>
      </w:pPr>
    </w:p>
    <w:p w14:paraId="3F2D7827">
      <w:pPr>
        <w:spacing w:line="560" w:lineRule="exact"/>
        <w:ind w:firstLine="640" w:firstLineChars="200"/>
        <w:rPr>
          <w:rFonts w:hint="eastAsia" w:ascii="楷体_GB2312" w:eastAsia="楷体_GB2312"/>
          <w:szCs w:val="32"/>
        </w:rPr>
      </w:pPr>
      <w:r>
        <w:rPr>
          <w:rFonts w:hint="eastAsia" w:ascii="楷体_GB2312" w:eastAsia="楷体_GB2312"/>
          <w:szCs w:val="32"/>
        </w:rPr>
        <w:t>（一）主动公开</w:t>
      </w:r>
    </w:p>
    <w:p w14:paraId="6402DBED">
      <w:pPr>
        <w:spacing w:line="560" w:lineRule="exact"/>
        <w:ind w:firstLine="640" w:firstLineChars="200"/>
        <w:rPr>
          <w:rFonts w:hint="eastAsia" w:eastAsia="仿宋_GB2312"/>
        </w:rPr>
      </w:pPr>
      <w:r>
        <w:rPr>
          <w:rFonts w:hint="eastAsia" w:eastAsia="仿宋_GB2312"/>
        </w:rPr>
        <w:t>2025年，</w:t>
      </w:r>
      <w:r>
        <w:rPr>
          <w:rFonts w:hint="eastAsia" w:eastAsia="仿宋_GB2312"/>
          <w:lang w:val="en-US" w:eastAsia="zh-CN"/>
        </w:rPr>
        <w:t>高青县发展和改革局</w:t>
      </w:r>
      <w:r>
        <w:rPr>
          <w:rFonts w:hint="eastAsia" w:eastAsia="仿宋_GB2312"/>
        </w:rPr>
        <w:t>修订《政府信息公开管理办法》，完善工作机制。依托县政府网站主动公开信息，全年通过网站发布信息</w:t>
      </w:r>
      <w:r>
        <w:rPr>
          <w:rFonts w:hint="eastAsia" w:eastAsia="仿宋_GB2312"/>
          <w:lang w:val="en-US" w:eastAsia="zh-CN"/>
        </w:rPr>
        <w:t>100余</w:t>
      </w:r>
      <w:r>
        <w:rPr>
          <w:rFonts w:hint="eastAsia" w:eastAsia="仿宋_GB2312"/>
        </w:rPr>
        <w:t>条。围绕重大建设项目</w:t>
      </w:r>
      <w:r>
        <w:rPr>
          <w:rFonts w:hint="eastAsia" w:eastAsia="仿宋_GB2312"/>
          <w:lang w:eastAsia="zh-CN"/>
        </w:rPr>
        <w:t>、</w:t>
      </w:r>
      <w:r>
        <w:rPr>
          <w:rFonts w:hint="eastAsia" w:eastAsia="仿宋_GB2312"/>
          <w:lang w:val="en-US" w:eastAsia="zh-CN"/>
        </w:rPr>
        <w:t>价格收费、粮食应急保障企业</w:t>
      </w:r>
      <w:r>
        <w:rPr>
          <w:rFonts w:hint="eastAsia" w:eastAsia="仿宋_GB2312"/>
        </w:rPr>
        <w:t>等重点领域，集中公开</w:t>
      </w:r>
      <w:r>
        <w:rPr>
          <w:rFonts w:hint="eastAsia" w:eastAsia="仿宋_GB2312"/>
          <w:lang w:val="en-US" w:eastAsia="zh-CN"/>
        </w:rPr>
        <w:t>老旧小区改造、中小学学生装收费、粮食流通市场监督检查等信息</w:t>
      </w:r>
      <w:r>
        <w:rPr>
          <w:rFonts w:hint="eastAsia" w:eastAsia="仿宋_GB2312"/>
        </w:rPr>
        <w:t>。加强政策解读，发布图文、负责人解读等材料</w:t>
      </w:r>
      <w:r>
        <w:rPr>
          <w:rFonts w:hint="eastAsia" w:eastAsia="仿宋_GB2312"/>
          <w:lang w:val="en-US" w:eastAsia="zh-CN"/>
        </w:rPr>
        <w:t>4</w:t>
      </w:r>
      <w:r>
        <w:rPr>
          <w:rFonts w:hint="eastAsia" w:eastAsia="仿宋_GB2312"/>
        </w:rPr>
        <w:t>份。积极回应群众关切，办结12345热线等诉求</w:t>
      </w:r>
      <w:r>
        <w:rPr>
          <w:rFonts w:hint="eastAsia" w:eastAsia="仿宋_GB2312"/>
          <w:lang w:val="en-US" w:eastAsia="zh-CN"/>
        </w:rPr>
        <w:t>30</w:t>
      </w:r>
      <w:r>
        <w:rPr>
          <w:rFonts w:hint="eastAsia" w:eastAsia="仿宋_GB2312"/>
        </w:rPr>
        <w:t>件，答复率100%，并开展政策征求意见、“政府开放日”等活动，提升政务公开实效。</w:t>
      </w:r>
    </w:p>
    <w:p w14:paraId="2F8D992F">
      <w:pPr>
        <w:spacing w:line="600" w:lineRule="exact"/>
        <w:ind w:left="0" w:leftChars="0" w:firstLine="0" w:firstLineChars="0"/>
        <w:jc w:val="left"/>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drawing>
          <wp:anchor distT="0" distB="0" distL="114300" distR="114300" simplePos="0" relativeHeight="251659264" behindDoc="0" locked="0" layoutInCell="1" allowOverlap="1">
            <wp:simplePos x="0" y="0"/>
            <wp:positionH relativeFrom="column">
              <wp:posOffset>39370</wp:posOffset>
            </wp:positionH>
            <wp:positionV relativeFrom="paragraph">
              <wp:posOffset>115570</wp:posOffset>
            </wp:positionV>
            <wp:extent cx="5256530" cy="2988310"/>
            <wp:effectExtent l="5080" t="4445" r="15240" b="1714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2ACA1081">
      <w:pPr>
        <w:spacing w:line="560" w:lineRule="exact"/>
        <w:ind w:firstLine="640" w:firstLineChars="200"/>
        <w:rPr>
          <w:rFonts w:hint="eastAsia" w:ascii="楷体_GB2312" w:eastAsia="楷体_GB2312"/>
          <w:szCs w:val="32"/>
        </w:rPr>
      </w:pPr>
      <w:r>
        <w:rPr>
          <w:rFonts w:hint="eastAsia" w:ascii="楷体_GB2312" w:eastAsia="楷体_GB2312"/>
          <w:szCs w:val="32"/>
        </w:rPr>
        <w:t>（二）依申请公开</w:t>
      </w:r>
    </w:p>
    <w:p w14:paraId="559ED44F">
      <w:pPr>
        <w:spacing w:line="560" w:lineRule="exact"/>
        <w:ind w:firstLine="640" w:firstLineChars="200"/>
        <w:rPr>
          <w:rFonts w:hint="eastAsia" w:eastAsia="仿宋_GB2312"/>
        </w:rPr>
      </w:pPr>
      <w:r>
        <w:rPr>
          <w:rFonts w:hint="eastAsia" w:eastAsia="仿宋_GB2312"/>
        </w:rPr>
        <w:t>2025年，我局优化依申请公开办理流程，实行“线上+线下”统一受理、专人负责、限时办结机制</w:t>
      </w:r>
      <w:r>
        <w:rPr>
          <w:rFonts w:hint="eastAsia" w:eastAsia="仿宋_GB2312"/>
          <w:lang w:eastAsia="zh-CN"/>
        </w:rPr>
        <w:t>，</w:t>
      </w:r>
      <w:r>
        <w:rPr>
          <w:rFonts w:hint="eastAsia" w:eastAsia="仿宋_GB2312"/>
        </w:rPr>
        <w:t>有效提升了申请精准度与办理效率，保障公众知情权。</w:t>
      </w:r>
    </w:p>
    <w:p w14:paraId="0B1092BA">
      <w:pPr>
        <w:spacing w:line="560" w:lineRule="exact"/>
        <w:ind w:firstLine="640" w:firstLineChars="200"/>
        <w:rPr>
          <w:rFonts w:hint="eastAsia" w:eastAsia="仿宋_GB2312"/>
        </w:rPr>
      </w:pPr>
      <w:r>
        <w:rPr>
          <w:rFonts w:hint="eastAsia" w:eastAsia="仿宋_GB2312"/>
        </w:rPr>
        <w:t>202</w:t>
      </w:r>
      <w:r>
        <w:rPr>
          <w:rFonts w:hint="eastAsia" w:eastAsia="仿宋_GB2312"/>
          <w:lang w:val="en-US" w:eastAsia="zh-CN"/>
        </w:rPr>
        <w:t>5</w:t>
      </w:r>
      <w:r>
        <w:rPr>
          <w:rFonts w:hint="eastAsia" w:eastAsia="仿宋_GB2312"/>
        </w:rPr>
        <w:t>年共收到政府信息公开申请</w:t>
      </w:r>
      <w:r>
        <w:rPr>
          <w:rFonts w:hint="eastAsia" w:eastAsia="仿宋_GB2312"/>
          <w:lang w:val="en-US" w:eastAsia="zh-CN"/>
        </w:rPr>
        <w:t>13</w:t>
      </w:r>
      <w:r>
        <w:rPr>
          <w:rFonts w:hint="eastAsia" w:eastAsia="仿宋_GB2312"/>
        </w:rPr>
        <w:t>件，比上年度增加</w:t>
      </w:r>
      <w:r>
        <w:rPr>
          <w:rFonts w:hint="eastAsia" w:eastAsia="仿宋_GB2312"/>
          <w:lang w:val="en-US" w:eastAsia="zh-CN"/>
        </w:rPr>
        <w:t>7</w:t>
      </w:r>
      <w:r>
        <w:rPr>
          <w:rFonts w:hint="eastAsia" w:eastAsia="仿宋_GB2312"/>
        </w:rPr>
        <w:t>件，申请内容主要涉及</w:t>
      </w:r>
      <w:r>
        <w:rPr>
          <w:rFonts w:hint="eastAsia" w:eastAsia="仿宋_GB2312"/>
          <w:lang w:val="en-US" w:eastAsia="zh-CN"/>
        </w:rPr>
        <w:t>项目审批</w:t>
      </w:r>
      <w:r>
        <w:rPr>
          <w:rFonts w:hint="eastAsia" w:eastAsia="仿宋_GB2312"/>
        </w:rPr>
        <w:t>领域。作出政府信息公开申请答复</w:t>
      </w:r>
      <w:r>
        <w:rPr>
          <w:rFonts w:hint="eastAsia" w:eastAsia="仿宋_GB2312"/>
          <w:lang w:val="en-US" w:eastAsia="zh-CN"/>
        </w:rPr>
        <w:t>13</w:t>
      </w:r>
      <w:r>
        <w:rPr>
          <w:rFonts w:hint="eastAsia" w:eastAsia="仿宋_GB2312"/>
        </w:rPr>
        <w:t>件，其中予以公开</w:t>
      </w:r>
      <w:r>
        <w:rPr>
          <w:rFonts w:hint="eastAsia" w:eastAsia="仿宋_GB2312"/>
          <w:lang w:val="en-US" w:eastAsia="zh-CN"/>
        </w:rPr>
        <w:t>2</w:t>
      </w:r>
      <w:r>
        <w:rPr>
          <w:rFonts w:hint="eastAsia" w:eastAsia="仿宋_GB2312"/>
        </w:rPr>
        <w:t>件、部分公开</w:t>
      </w:r>
      <w:r>
        <w:rPr>
          <w:rFonts w:hint="eastAsia" w:eastAsia="仿宋_GB2312"/>
          <w:lang w:val="en-US" w:eastAsia="zh-CN"/>
        </w:rPr>
        <w:t>4</w:t>
      </w:r>
      <w:r>
        <w:rPr>
          <w:rFonts w:hint="eastAsia" w:eastAsia="仿宋_GB2312"/>
        </w:rPr>
        <w:t>件、无法提供</w:t>
      </w:r>
      <w:r>
        <w:rPr>
          <w:rFonts w:hint="eastAsia" w:eastAsia="仿宋_GB2312"/>
          <w:lang w:val="en-US" w:eastAsia="zh-CN"/>
        </w:rPr>
        <w:t>6</w:t>
      </w:r>
      <w:r>
        <w:rPr>
          <w:rFonts w:hint="eastAsia" w:eastAsia="仿宋_GB2312"/>
        </w:rPr>
        <w:t>件</w:t>
      </w:r>
      <w:r>
        <w:rPr>
          <w:rFonts w:hint="eastAsia" w:eastAsia="仿宋_GB2312"/>
          <w:lang w:eastAsia="zh-CN"/>
        </w:rPr>
        <w:t>，</w:t>
      </w:r>
      <w:r>
        <w:rPr>
          <w:rFonts w:hint="eastAsia" w:eastAsia="仿宋_GB2312"/>
          <w:lang w:val="en-US" w:eastAsia="zh-CN"/>
        </w:rPr>
        <w:t>结转下年度继续办理1件</w:t>
      </w:r>
      <w:r>
        <w:rPr>
          <w:rFonts w:hint="eastAsia" w:eastAsia="仿宋_GB2312"/>
          <w:lang w:eastAsia="zh-CN"/>
        </w:rPr>
        <w:t>。</w:t>
      </w:r>
      <w:r>
        <w:rPr>
          <w:rFonts w:hint="eastAsia" w:eastAsia="仿宋_GB2312"/>
        </w:rPr>
        <w:t>依申请公开政府信息未收取任何费用。未因政府信息公开被申请行政复议、提起行政诉讼。</w:t>
      </w:r>
    </w:p>
    <w:p w14:paraId="0C695295">
      <w:pPr>
        <w:spacing w:line="560" w:lineRule="exact"/>
        <w:ind w:firstLine="640" w:firstLineChars="200"/>
        <w:rPr>
          <w:rFonts w:hint="eastAsia" w:ascii="楷体_GB2312" w:eastAsia="楷体_GB2312"/>
          <w:szCs w:val="32"/>
        </w:rPr>
      </w:pPr>
      <w:r>
        <w:rPr>
          <w:rFonts w:hint="eastAsia" w:ascii="楷体_GB2312" w:eastAsia="楷体_GB2312"/>
          <w:szCs w:val="32"/>
        </w:rPr>
        <w:t>（三）政府信息管理</w:t>
      </w:r>
    </w:p>
    <w:p w14:paraId="70E4E5A6">
      <w:pPr>
        <w:spacing w:line="560" w:lineRule="exact"/>
        <w:ind w:firstLine="640" w:firstLineChars="200"/>
        <w:rPr>
          <w:rFonts w:hint="eastAsia" w:eastAsia="仿宋_GB2312"/>
        </w:rPr>
      </w:pPr>
      <w:r>
        <w:rPr>
          <w:rFonts w:hint="eastAsia" w:eastAsia="仿宋_GB2312"/>
        </w:rPr>
        <w:t>2025年，我局持续规范政府信息全周期管理。一方面，严格落实信息动态更新机制，定期核查已公开信息，及时更新机构职能、领导分工等内容，对公示期满或失效信息予以及时清理下线。严格执行信息公开前“三审”制度，并在政策文件起草环节同步明确公开属性，确保应公开信息及时准确发布。另一方面，健全保密审查机制，执行“先审查、后公开”和“谁公开、谁负责”原则，层层压实保密责任，全年未发生失泄密事件。</w:t>
      </w:r>
    </w:p>
    <w:p w14:paraId="2D3A2BA4">
      <w:pPr>
        <w:spacing w:line="560" w:lineRule="exact"/>
        <w:ind w:firstLine="640" w:firstLineChars="200"/>
        <w:rPr>
          <w:rFonts w:hint="eastAsia" w:ascii="楷体_GB2312" w:eastAsia="楷体_GB2312"/>
          <w:szCs w:val="32"/>
        </w:rPr>
      </w:pPr>
      <w:r>
        <w:rPr>
          <w:rFonts w:hint="eastAsia" w:ascii="楷体_GB2312" w:eastAsia="楷体_GB2312"/>
          <w:szCs w:val="32"/>
        </w:rPr>
        <w:t>（四）政府信息公开平台建设</w:t>
      </w:r>
    </w:p>
    <w:p w14:paraId="67DA7013">
      <w:pPr>
        <w:spacing w:line="560" w:lineRule="exact"/>
        <w:ind w:firstLine="640" w:firstLineChars="200"/>
        <w:rPr>
          <w:rFonts w:hint="eastAsia" w:eastAsia="仿宋_GB2312"/>
        </w:rPr>
      </w:pPr>
      <w:r>
        <w:rPr>
          <w:rFonts w:hint="eastAsia" w:eastAsia="仿宋_GB2312"/>
        </w:rPr>
        <w:t>2025年，我局持续加强政府信息公开平台建设。一是进一步规范网站栏目管理，确保信息动态更新，及时发布涉及项目审批、价格政策等重点领域信息，便利公众查阅与监督。二是强化政务新媒体日常运维，严格内容审核发布机制，不断提升平台服务效能。</w:t>
      </w:r>
    </w:p>
    <w:p w14:paraId="25DA4E23">
      <w:pPr>
        <w:spacing w:line="560" w:lineRule="exact"/>
        <w:ind w:firstLine="640" w:firstLineChars="200"/>
        <w:rPr>
          <w:rFonts w:hint="eastAsia" w:ascii="楷体_GB2312" w:eastAsia="楷体_GB2312"/>
          <w:szCs w:val="32"/>
        </w:rPr>
      </w:pPr>
      <w:r>
        <w:rPr>
          <w:rFonts w:hint="eastAsia" w:ascii="楷体_GB2312" w:eastAsia="楷体_GB2312"/>
          <w:szCs w:val="32"/>
        </w:rPr>
        <w:t>（五）监督保障</w:t>
      </w:r>
    </w:p>
    <w:p w14:paraId="3DEA3C1C">
      <w:pPr>
        <w:spacing w:line="560" w:lineRule="exact"/>
        <w:ind w:firstLine="640" w:firstLineChars="200"/>
        <w:rPr>
          <w:rFonts w:eastAsia="仿宋_GB2312"/>
        </w:rPr>
      </w:pPr>
      <w:r>
        <w:rPr>
          <w:rFonts w:hint="eastAsia" w:eastAsia="仿宋_GB2312"/>
        </w:rPr>
        <w:t>2025年，我局持续强化政务公开监督保障。一是加强组织领导，局党组定期研究部署，主要负责人亲自抓，分管负责人直接管，全年召开专题会议2次协调解决重点问题。二是健全工作机构，明确由局办公室牵头负责，配备1名专职人员，各科室指定联络员协同，确保责任到人、运转有序。三是深化能力建设，制定年度培训计划，围绕平台操作、依申请答复、保密审查等内容开展专题培训2次，有效提升工作人员专业素养和业务水平。</w:t>
      </w:r>
    </w:p>
    <w:p w14:paraId="738AEEDC">
      <w:pPr>
        <w:spacing w:after="156" w:afterLines="50" w:line="240" w:lineRule="auto"/>
        <w:ind w:left="0" w:leftChars="0" w:firstLine="0" w:firstLineChars="0"/>
        <w:rPr>
          <w:rFonts w:ascii="黑体" w:hAnsi="黑体" w:eastAsia="黑体"/>
          <w:szCs w:val="32"/>
        </w:rPr>
      </w:pPr>
    </w:p>
    <w:p w14:paraId="052F25F9">
      <w:pPr>
        <w:spacing w:after="156" w:afterLines="50" w:line="240" w:lineRule="auto"/>
        <w:ind w:left="0" w:leftChars="0" w:firstLine="0" w:firstLineChars="0"/>
        <w:rPr>
          <w:rFonts w:ascii="黑体" w:hAnsi="黑体" w:eastAsia="黑体"/>
          <w:szCs w:val="32"/>
        </w:rPr>
      </w:pPr>
    </w:p>
    <w:p w14:paraId="58C8A07D">
      <w:pPr>
        <w:spacing w:after="156" w:afterLines="50" w:line="240" w:lineRule="auto"/>
        <w:ind w:left="0" w:leftChars="0" w:firstLine="0" w:firstLineChars="0"/>
        <w:rPr>
          <w:rFonts w:ascii="黑体" w:hAnsi="黑体" w:eastAsia="黑体"/>
          <w:szCs w:val="32"/>
        </w:rPr>
      </w:pPr>
    </w:p>
    <w:p w14:paraId="221DA923">
      <w:pPr>
        <w:spacing w:after="156" w:afterLines="50" w:line="240" w:lineRule="auto"/>
        <w:ind w:left="0" w:leftChars="0" w:firstLine="0" w:firstLineChars="0"/>
        <w:rPr>
          <w:rFonts w:ascii="黑体" w:hAnsi="黑体" w:eastAsia="黑体"/>
          <w:szCs w:val="32"/>
        </w:rPr>
      </w:pPr>
    </w:p>
    <w:p w14:paraId="3DBF326D">
      <w:pPr>
        <w:spacing w:after="156" w:afterLines="50" w:line="240" w:lineRule="auto"/>
        <w:ind w:left="0" w:leftChars="0" w:firstLine="0" w:firstLineChars="0"/>
        <w:rPr>
          <w:rFonts w:ascii="黑体" w:hAnsi="黑体" w:eastAsia="黑体"/>
          <w:szCs w:val="32"/>
        </w:rPr>
      </w:pPr>
    </w:p>
    <w:p w14:paraId="33FDFC3E">
      <w:pPr>
        <w:spacing w:after="156" w:afterLines="50" w:line="240" w:lineRule="auto"/>
        <w:ind w:left="0" w:leftChars="0" w:firstLine="0" w:firstLineChars="0"/>
        <w:rPr>
          <w:rFonts w:ascii="黑体" w:hAnsi="黑体" w:eastAsia="黑体"/>
          <w:szCs w:val="32"/>
        </w:rPr>
      </w:pPr>
    </w:p>
    <w:p w14:paraId="11EF1D86">
      <w:pPr>
        <w:spacing w:after="156" w:afterLines="50" w:line="240" w:lineRule="auto"/>
        <w:ind w:left="0" w:leftChars="0" w:firstLine="0" w:firstLineChars="0"/>
        <w:rPr>
          <w:rFonts w:ascii="黑体" w:hAnsi="黑体" w:eastAsia="黑体"/>
          <w:szCs w:val="32"/>
        </w:rPr>
      </w:pPr>
    </w:p>
    <w:p w14:paraId="24B0AEA3">
      <w:pPr>
        <w:spacing w:after="156" w:afterLines="50" w:line="240" w:lineRule="auto"/>
        <w:ind w:left="0" w:leftChars="0" w:firstLine="0" w:firstLineChars="0"/>
        <w:rPr>
          <w:rFonts w:ascii="黑体" w:hAnsi="黑体" w:eastAsia="黑体"/>
          <w:szCs w:val="32"/>
        </w:rPr>
      </w:pPr>
    </w:p>
    <w:p w14:paraId="11ACB0A9">
      <w:pPr>
        <w:spacing w:line="560" w:lineRule="exact"/>
        <w:ind w:firstLine="640" w:firstLineChars="200"/>
        <w:rPr>
          <w:rFonts w:ascii="黑体" w:hAnsi="黑体" w:eastAsia="黑体"/>
          <w:szCs w:val="32"/>
        </w:rPr>
      </w:pPr>
    </w:p>
    <w:p w14:paraId="5098A7D4">
      <w:pPr>
        <w:spacing w:line="560" w:lineRule="exact"/>
        <w:ind w:firstLine="640" w:firstLineChars="200"/>
        <w:rPr>
          <w:rFonts w:ascii="黑体" w:hAnsi="黑体" w:eastAsia="黑体"/>
          <w:szCs w:val="32"/>
        </w:rPr>
      </w:pPr>
    </w:p>
    <w:p w14:paraId="6C19FF49">
      <w:pPr>
        <w:spacing w:after="156" w:afterLines="50" w:line="240" w:lineRule="auto"/>
        <w:ind w:left="0" w:leftChars="0" w:firstLine="0" w:firstLineChars="0"/>
        <w:rPr>
          <w:rFonts w:ascii="黑体" w:hAnsi="黑体" w:eastAsia="黑体"/>
          <w:szCs w:val="32"/>
        </w:rPr>
      </w:pPr>
    </w:p>
    <w:p w14:paraId="3658C7AD">
      <w:pPr>
        <w:spacing w:after="156" w:afterLines="50" w:line="240" w:lineRule="auto"/>
        <w:ind w:left="0" w:leftChars="0" w:firstLine="0" w:firstLineChars="0"/>
        <w:rPr>
          <w:rFonts w:ascii="黑体" w:hAnsi="黑体" w:eastAsia="黑体"/>
          <w:szCs w:val="32"/>
        </w:rPr>
      </w:pPr>
    </w:p>
    <w:p w14:paraId="753F7E56">
      <w:pPr>
        <w:spacing w:after="156" w:afterLines="50" w:line="240" w:lineRule="auto"/>
        <w:ind w:left="0" w:leftChars="0" w:firstLine="0" w:firstLineChars="0"/>
        <w:rPr>
          <w:rFonts w:ascii="黑体" w:hAnsi="黑体" w:eastAsia="黑体"/>
          <w:szCs w:val="32"/>
        </w:rPr>
      </w:pPr>
    </w:p>
    <w:p w14:paraId="28B2C383">
      <w:pPr>
        <w:spacing w:after="156" w:afterLines="50" w:line="240" w:lineRule="auto"/>
        <w:ind w:left="0" w:leftChars="0" w:firstLine="0" w:firstLineChars="0"/>
        <w:rPr>
          <w:rFonts w:ascii="黑体" w:hAnsi="黑体" w:eastAsia="黑体"/>
          <w:szCs w:val="32"/>
        </w:rPr>
      </w:pPr>
    </w:p>
    <w:p w14:paraId="60798D53">
      <w:pPr>
        <w:spacing w:after="156" w:afterLines="50" w:line="240" w:lineRule="auto"/>
        <w:ind w:left="0" w:leftChars="0" w:firstLine="0" w:firstLineChars="0"/>
        <w:rPr>
          <w:rFonts w:ascii="黑体" w:hAnsi="黑体" w:eastAsia="黑体"/>
          <w:szCs w:val="32"/>
        </w:rPr>
      </w:pPr>
    </w:p>
    <w:p w14:paraId="44C983C1">
      <w:pPr>
        <w:spacing w:after="156" w:afterLines="50" w:line="240" w:lineRule="auto"/>
        <w:ind w:left="0" w:leftChars="0" w:firstLine="0" w:firstLineChars="0"/>
        <w:rPr>
          <w:rFonts w:ascii="黑体" w:hAnsi="黑体" w:eastAsia="黑体"/>
          <w:szCs w:val="32"/>
        </w:rPr>
      </w:pPr>
    </w:p>
    <w:p w14:paraId="6DE01972">
      <w:pPr>
        <w:spacing w:line="560" w:lineRule="exact"/>
        <w:ind w:firstLine="640" w:firstLineChars="200"/>
        <w:rPr>
          <w:rFonts w:eastAsia="黑体"/>
          <w:szCs w:val="32"/>
        </w:rPr>
      </w:pPr>
      <w:r>
        <w:rPr>
          <w:rFonts w:hint="eastAsia"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C16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21A2FFB">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40B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A04DB09">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1A04681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238CB7F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3974AB6C">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4CA0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5B9402F">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13279E9B">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6F7B732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3384188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19F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B3AADEE">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6BA80943">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2</w:t>
            </w:r>
          </w:p>
        </w:tc>
        <w:tc>
          <w:tcPr>
            <w:tcW w:w="2131" w:type="dxa"/>
            <w:vAlign w:val="center"/>
          </w:tcPr>
          <w:p w14:paraId="558D3044">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AA36B2E">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3</w:t>
            </w:r>
            <w:bookmarkStart w:id="0" w:name="_GoBack"/>
            <w:bookmarkEnd w:id="0"/>
          </w:p>
        </w:tc>
      </w:tr>
      <w:tr w14:paraId="18E1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FA6DFA1">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3F7F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88E61C8">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3E210816">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3D7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FCBC86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5A146B91">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664C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560E57E">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4B24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C2F96D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05BF8E3C">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7DCF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05F82A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102C8EB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637D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DF5FBD4">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415412C5">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2726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C52C80F">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187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DCB354">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7A86CBF4">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55D9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F49292C">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002E0E86">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008D7418">
      <w:pPr>
        <w:spacing w:line="240" w:lineRule="auto"/>
        <w:ind w:firstLine="0"/>
        <w:rPr>
          <w:rFonts w:ascii="黑体" w:hAnsi="黑体" w:eastAsia="黑体"/>
          <w:sz w:val="30"/>
          <w:szCs w:val="30"/>
        </w:rPr>
      </w:pPr>
    </w:p>
    <w:p w14:paraId="384ABF1F">
      <w:pPr>
        <w:spacing w:line="240" w:lineRule="auto"/>
        <w:ind w:firstLine="0"/>
        <w:rPr>
          <w:rFonts w:ascii="黑体" w:hAnsi="黑体" w:eastAsia="黑体"/>
          <w:sz w:val="30"/>
          <w:szCs w:val="30"/>
        </w:rPr>
      </w:pPr>
    </w:p>
    <w:p w14:paraId="54E89863">
      <w:pPr>
        <w:spacing w:line="240" w:lineRule="auto"/>
        <w:ind w:firstLine="0"/>
        <w:rPr>
          <w:rFonts w:ascii="黑体" w:hAnsi="黑体" w:eastAsia="黑体"/>
          <w:sz w:val="30"/>
          <w:szCs w:val="30"/>
        </w:rPr>
      </w:pPr>
    </w:p>
    <w:p w14:paraId="02CE2A85">
      <w:pPr>
        <w:spacing w:line="240" w:lineRule="auto"/>
        <w:ind w:firstLine="0"/>
        <w:rPr>
          <w:rFonts w:ascii="黑体" w:hAnsi="黑体" w:eastAsia="黑体"/>
          <w:sz w:val="30"/>
          <w:szCs w:val="30"/>
        </w:rPr>
      </w:pPr>
    </w:p>
    <w:p w14:paraId="273F2B24">
      <w:pPr>
        <w:spacing w:line="240" w:lineRule="auto"/>
        <w:ind w:firstLine="0"/>
        <w:rPr>
          <w:rFonts w:ascii="黑体" w:hAnsi="黑体" w:eastAsia="黑体"/>
          <w:sz w:val="30"/>
          <w:szCs w:val="30"/>
        </w:rPr>
      </w:pPr>
    </w:p>
    <w:p w14:paraId="318DBABF">
      <w:pPr>
        <w:spacing w:line="240" w:lineRule="auto"/>
        <w:ind w:firstLine="0"/>
        <w:rPr>
          <w:rFonts w:ascii="黑体" w:hAnsi="黑体" w:eastAsia="黑体"/>
          <w:sz w:val="30"/>
          <w:szCs w:val="30"/>
        </w:rPr>
      </w:pPr>
    </w:p>
    <w:p w14:paraId="6A390A12">
      <w:pPr>
        <w:spacing w:line="240" w:lineRule="auto"/>
        <w:ind w:firstLine="0"/>
        <w:rPr>
          <w:rFonts w:ascii="黑体" w:hAnsi="黑体" w:eastAsia="黑体"/>
          <w:sz w:val="30"/>
          <w:szCs w:val="30"/>
        </w:rPr>
      </w:pPr>
    </w:p>
    <w:p w14:paraId="15EF12E6">
      <w:pPr>
        <w:spacing w:line="240" w:lineRule="auto"/>
        <w:ind w:firstLine="0"/>
        <w:rPr>
          <w:rFonts w:ascii="黑体" w:hAnsi="黑体" w:eastAsia="黑体"/>
          <w:sz w:val="30"/>
          <w:szCs w:val="30"/>
        </w:rPr>
      </w:pPr>
    </w:p>
    <w:p w14:paraId="370576DF">
      <w:pPr>
        <w:spacing w:line="240" w:lineRule="auto"/>
        <w:ind w:firstLine="0"/>
        <w:rPr>
          <w:rFonts w:ascii="黑体" w:hAnsi="黑体" w:eastAsia="黑体"/>
          <w:sz w:val="30"/>
          <w:szCs w:val="30"/>
        </w:rPr>
      </w:pPr>
    </w:p>
    <w:p w14:paraId="0EE21AB3">
      <w:pPr>
        <w:spacing w:line="560" w:lineRule="exact"/>
        <w:ind w:firstLine="640" w:firstLineChars="200"/>
        <w:rPr>
          <w:rFonts w:eastAsia="黑体"/>
          <w:szCs w:val="32"/>
        </w:rPr>
      </w:pPr>
    </w:p>
    <w:p w14:paraId="15E238B6">
      <w:pPr>
        <w:spacing w:line="560" w:lineRule="exact"/>
        <w:ind w:firstLine="640" w:firstLineChars="200"/>
        <w:rPr>
          <w:rFonts w:eastAsia="黑体"/>
          <w:szCs w:val="32"/>
        </w:rPr>
      </w:pPr>
      <w:r>
        <w:rPr>
          <w:rFonts w:hint="eastAsia"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624B3074">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578F517">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0512AD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56CC520E">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C6AC937">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365EA5B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BE7209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6243B1F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26892331">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25B91BE6">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3319FEDF">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A5BE6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38AF1D4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E7FA86">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02FD309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9FA23A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4BC0C7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3C0B4D3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2C6D3B98">
            <w:pPr>
              <w:widowControl/>
              <w:autoSpaceDE/>
              <w:autoSpaceDN/>
              <w:snapToGrid/>
              <w:spacing w:line="240" w:lineRule="auto"/>
              <w:ind w:firstLine="0"/>
              <w:jc w:val="left"/>
              <w:rPr>
                <w:rFonts w:ascii="宋体" w:hAnsi="宋体" w:eastAsia="宋体" w:cs="宋体"/>
                <w:snapToGrid/>
                <w:sz w:val="24"/>
                <w:szCs w:val="24"/>
              </w:rPr>
            </w:pPr>
          </w:p>
        </w:tc>
      </w:tr>
      <w:tr w14:paraId="52FDAB30">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D743C9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C247B6">
            <w:pPr>
              <w:widowControl/>
              <w:autoSpaceDE/>
              <w:autoSpaceDN/>
              <w:snapToGrid/>
              <w:spacing w:line="240" w:lineRule="auto"/>
              <w:ind w:firstLine="0" w:firstLineChars="0"/>
              <w:jc w:val="center"/>
              <w:rPr>
                <w:rFonts w:hint="default"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13</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91AB4A">
            <w:pPr>
              <w:widowControl/>
              <w:autoSpaceDE/>
              <w:autoSpaceDN/>
              <w:snapToGrid/>
              <w:spacing w:line="240" w:lineRule="auto"/>
              <w:ind w:firstLine="0" w:firstLineChars="0"/>
              <w:jc w:val="center"/>
              <w:rPr>
                <w:rFonts w:hint="default" w:ascii="宋体" w:hAnsi="宋体" w:eastAsia="宋体" w:cs="宋体"/>
                <w:snapToGrid/>
                <w:kern w:val="0"/>
                <w:sz w:val="24"/>
                <w:szCs w:val="24"/>
                <w:lang w:val="en-US" w:eastAsia="zh-CN" w:bidi="ar-SA"/>
              </w:rPr>
            </w:pPr>
            <w:r>
              <w:rPr>
                <w:rFonts w:hint="default"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226B7C">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D9A5E3">
            <w:pPr>
              <w:widowControl/>
              <w:autoSpaceDE/>
              <w:autoSpaceDN/>
              <w:snapToGrid/>
              <w:spacing w:line="240" w:lineRule="auto"/>
              <w:ind w:firstLine="0" w:firstLineChars="0"/>
              <w:jc w:val="center"/>
              <w:rPr>
                <w:rFonts w:hint="eastAsia"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4DCD36">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C336F4">
            <w:pPr>
              <w:widowControl/>
              <w:autoSpaceDE/>
              <w:autoSpaceDN/>
              <w:snapToGrid/>
              <w:spacing w:line="240" w:lineRule="auto"/>
              <w:ind w:firstLine="0" w:firstLineChars="0"/>
              <w:jc w:val="center"/>
              <w:rPr>
                <w:rFonts w:ascii="宋体" w:hAnsi="宋体" w:eastAsia="宋体" w:cs="宋体"/>
                <w:snapToGrid/>
                <w:kern w:val="0"/>
                <w:sz w:val="24"/>
                <w:szCs w:val="24"/>
                <w:lang w:val="en-US" w:eastAsia="zh-CN" w:bidi="ar-SA"/>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5F3B9D">
            <w:pPr>
              <w:widowControl/>
              <w:autoSpaceDE/>
              <w:autoSpaceDN/>
              <w:snapToGrid/>
              <w:spacing w:line="240" w:lineRule="auto"/>
              <w:ind w:firstLine="0" w:firstLineChars="0"/>
              <w:jc w:val="center"/>
              <w:rPr>
                <w:rFonts w:hint="default" w:ascii="宋体" w:hAnsi="宋体" w:eastAsia="宋体" w:cs="宋体"/>
                <w:snapToGrid/>
                <w:kern w:val="0"/>
                <w:sz w:val="24"/>
                <w:szCs w:val="24"/>
                <w:lang w:val="en-US" w:eastAsia="zh-CN" w:bidi="ar-SA"/>
              </w:rPr>
            </w:pPr>
            <w:r>
              <w:rPr>
                <w:rFonts w:hint="eastAsia" w:ascii="Calibri" w:hAnsi="Calibri" w:eastAsia="宋体" w:cs="Calibri"/>
                <w:snapToGrid/>
                <w:sz w:val="20"/>
                <w:highlight w:val="none"/>
                <w:lang w:val="en-US" w:eastAsia="zh-CN"/>
              </w:rPr>
              <w:t>13</w:t>
            </w:r>
          </w:p>
        </w:tc>
      </w:tr>
      <w:tr w14:paraId="43CD9B24">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13E882E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F4DD3EF">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8B0115">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63FC3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36F1DA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E0FE77C">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FB3F0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C5D3233">
            <w:pPr>
              <w:widowControl/>
              <w:autoSpaceDE/>
              <w:autoSpaceDN/>
              <w:snapToGrid/>
              <w:spacing w:line="240" w:lineRule="auto"/>
              <w:ind w:firstLine="0"/>
              <w:jc w:val="center"/>
              <w:rPr>
                <w:rFonts w:ascii="宋体" w:hAnsi="宋体" w:eastAsia="宋体" w:cs="宋体"/>
                <w:snapToGrid/>
                <w:sz w:val="24"/>
                <w:szCs w:val="24"/>
              </w:rPr>
            </w:pPr>
            <w:r>
              <w:rPr>
                <w:rFonts w:hint="eastAsia" w:ascii="Calibri" w:hAnsi="Calibri" w:eastAsia="宋体" w:cs="Calibri"/>
                <w:snapToGrid/>
                <w:sz w:val="20"/>
                <w:lang w:val="en-US" w:eastAsia="zh-CN"/>
              </w:rPr>
              <w:t>0</w:t>
            </w:r>
          </w:p>
        </w:tc>
      </w:tr>
      <w:tr w14:paraId="4FD5E810">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53F157BE">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F2556D8">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68F7380">
            <w:pPr>
              <w:widowControl/>
              <w:autoSpaceDE/>
              <w:autoSpaceDN/>
              <w:snapToGrid/>
              <w:spacing w:line="240" w:lineRule="auto"/>
              <w:ind w:firstLine="0"/>
              <w:jc w:val="center"/>
              <w:rPr>
                <w:rFonts w:hint="eastAsia" w:ascii="宋体" w:hAnsi="宋体" w:eastAsia="宋体" w:cs="宋体"/>
                <w:snapToGrid/>
                <w:color w:val="auto"/>
                <w:sz w:val="24"/>
                <w:szCs w:val="24"/>
                <w:highlight w:val="none"/>
                <w:lang w:val="en-US" w:eastAsia="zh-CN"/>
              </w:rPr>
            </w:pPr>
            <w:r>
              <w:rPr>
                <w:rFonts w:hint="eastAsia" w:ascii="Calibri" w:hAnsi="Calibri" w:eastAsia="宋体" w:cs="Calibri"/>
                <w:snapToGrid/>
                <w:color w:val="auto"/>
                <w:sz w:val="20"/>
                <w:highlight w:val="none"/>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E2DB50">
            <w:pPr>
              <w:widowControl/>
              <w:autoSpaceDE/>
              <w:autoSpaceDN/>
              <w:snapToGrid/>
              <w:spacing w:line="240" w:lineRule="auto"/>
              <w:ind w:firstLine="0" w:firstLineChars="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A5B4CB0">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F2E0124">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DFF7975">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C59E8A">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4B31204">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2</w:t>
            </w:r>
          </w:p>
        </w:tc>
      </w:tr>
      <w:tr w14:paraId="613A0E6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47F76B6">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41570B1E">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（二）部分公开</w:t>
            </w:r>
            <w:r>
              <w:rPr>
                <w:rFonts w:hint="eastAsia" w:ascii="楷体" w:hAnsi="楷体" w:eastAsia="楷体" w:cs="宋体"/>
                <w:snapToGrid/>
                <w:color w:val="auto"/>
                <w:sz w:val="20"/>
                <w:highlight w:val="none"/>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D1FE7D">
            <w:pPr>
              <w:widowControl/>
              <w:autoSpaceDE/>
              <w:autoSpaceDN/>
              <w:snapToGrid/>
              <w:spacing w:line="240" w:lineRule="auto"/>
              <w:ind w:firstLine="0"/>
              <w:jc w:val="center"/>
              <w:rPr>
                <w:rFonts w:hint="eastAsia" w:ascii="宋体" w:hAnsi="宋体" w:eastAsia="宋体" w:cs="宋体"/>
                <w:snapToGrid/>
                <w:color w:val="auto"/>
                <w:sz w:val="24"/>
                <w:szCs w:val="24"/>
                <w:highlight w:val="none"/>
                <w:lang w:val="en-US" w:eastAsia="zh-CN"/>
              </w:rPr>
            </w:pPr>
            <w:r>
              <w:rPr>
                <w:rFonts w:hint="eastAsia" w:ascii="Calibri" w:hAnsi="Calibri" w:eastAsia="宋体" w:cs="Calibri"/>
                <w:snapToGrid/>
                <w:color w:val="auto"/>
                <w:sz w:val="20"/>
                <w:highlight w:val="none"/>
                <w:lang w:val="en-US" w:eastAsia="zh-CN"/>
              </w:rPr>
              <w:t>4</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AF6B4E">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C3E284">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417FC5D">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3612EE">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443D3F">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0B7721F">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4</w:t>
            </w:r>
          </w:p>
        </w:tc>
      </w:tr>
      <w:tr w14:paraId="1CE30C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D29A0BD">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D40AF2A">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9BB7223">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1.属于国家秘密</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558046">
            <w:pPr>
              <w:widowControl/>
              <w:autoSpaceDE/>
              <w:autoSpaceDN/>
              <w:snapToGrid/>
              <w:spacing w:line="240" w:lineRule="auto"/>
              <w:ind w:firstLine="0" w:firstLineChars="0"/>
              <w:jc w:val="center"/>
              <w:rPr>
                <w:rFonts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0E0E5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776CAD">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11674A">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F39C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A62590">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78CDD9">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18D1667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C23B318">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2068CA06">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C71F5BA">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2.其他法律行政法规禁止公开</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049515">
            <w:pPr>
              <w:widowControl/>
              <w:autoSpaceDE/>
              <w:autoSpaceDN/>
              <w:snapToGrid/>
              <w:spacing w:line="240" w:lineRule="auto"/>
              <w:ind w:firstLine="0" w:firstLineChars="0"/>
              <w:jc w:val="center"/>
              <w:rPr>
                <w:rFonts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BD0AE2">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29052A">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B84808">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81A7FF">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3B67B03">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4F4104">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1D00433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532C0E1">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01B8E2EF">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74F43F">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3.危及“三安全一稳定”</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641786">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92319">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51F567">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7178C1">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43FB43D">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D1E344">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DF70B7">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0082223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6FAAF9">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457D433A">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A3EB4FB">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4.保护第三方合法权益</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1D4C0F">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2D31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D0FD7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AD97F6">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DE883B">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A13DDB">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5083A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6E0E9C0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4587477">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771E1F44">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5DEF15F">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5.属于三类内部事务信息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F0AA8">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6528CB">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AB04B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B2ED6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14C09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269BD9">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0E2AD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5B8E91E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846915F">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10153EDE">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1AFBE1A">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6.属于四类过程性信息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EC54C3">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2F06E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DD928D">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2A6379">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6493C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C340314">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63B017">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26A4B1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59956A">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30AAD747">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B82F9A1">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7.属于行政执法案卷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803070">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1CFCD4">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AE9A6">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A7C558">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8A78A6">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AFE12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C6DC3A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098B4F2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9CC0349">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58C993F6">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AD8DCB3">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8.属于行政查询事项</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7E1485">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9C7A9D">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1FACF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059478">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7EDCE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C13547">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1DB9D0">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4D83E9F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E78AF4">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63A7398">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E5E04E1">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1.本机关不掌握相关政府信息</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327C34E">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6</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34BDB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74CB264">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861DA5">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C5F67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E16266">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CFF86B">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6</w:t>
            </w:r>
          </w:p>
        </w:tc>
      </w:tr>
      <w:tr w14:paraId="330E5C0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BABE43">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502C6F18">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D93974C">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2.没有现成信息需要另行制作</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1983BE">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DE17A5">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E31FDF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271A2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DAD85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BF44F87">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B41319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5AD31C8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E847296">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0411BBE3">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85AD1A">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3.补正后申请内容仍不明确</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693F5">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87C41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EB299A">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634870">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A5A83E">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0A8EF4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7227C4">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28BD851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E68C69E">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6A054B3D">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29FFD6E">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1.信访举报投诉类申请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EA6A88">
            <w:pPr>
              <w:widowControl/>
              <w:autoSpaceDE/>
              <w:autoSpaceDN/>
              <w:snapToGrid/>
              <w:spacing w:line="240" w:lineRule="auto"/>
              <w:ind w:firstLine="0" w:firstLineChars="0"/>
              <w:jc w:val="center"/>
              <w:rPr>
                <w:rFonts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2AE1DE">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652365">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79F567">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01C275">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D9BBDD">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A902F5">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0BC947C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D71F99">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575CB357">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08B3194">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2.重复申请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0F4D58">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CDF74C">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BBD476">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B90AA2">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5A220A">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5B7D25">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9EFA73">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25DCCFB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1E5A482">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4444A92D">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5038820">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3.要求提供公开出版物</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6DA4F02">
            <w:pPr>
              <w:widowControl/>
              <w:autoSpaceDE/>
              <w:autoSpaceDN/>
              <w:snapToGrid/>
              <w:spacing w:line="240" w:lineRule="auto"/>
              <w:ind w:firstLine="0" w:firstLineChars="0"/>
              <w:jc w:val="center"/>
              <w:rPr>
                <w:rFonts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9F4E500">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A14592A">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01EB69">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03C96C">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9CF1F4">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9F197D">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28F9F29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F708BA1">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00AB0D3E">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931EF25">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4.无正当理由大量反复申请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F1AC636">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B7070F">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5A3E4B">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5E9109">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9C8245">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02CF82">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7D8EAA">
            <w:pPr>
              <w:widowControl/>
              <w:autoSpaceDE/>
              <w:autoSpaceDN/>
              <w:snapToGrid/>
              <w:spacing w:line="240" w:lineRule="auto"/>
              <w:ind w:firstLine="0" w:firstLineChars="0"/>
              <w:jc w:val="center"/>
              <w:rPr>
                <w:rFonts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395A497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40C8FCCF">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nil"/>
              <w:left w:val="nil"/>
              <w:bottom w:val="inset" w:color="auto" w:sz="8" w:space="0"/>
              <w:right w:val="single" w:color="auto" w:sz="8" w:space="0"/>
            </w:tcBorders>
            <w:vAlign w:val="center"/>
          </w:tcPr>
          <w:p w14:paraId="112619F8">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45922600">
            <w:pPr>
              <w:widowControl/>
              <w:autoSpaceDE/>
              <w:autoSpaceDN/>
              <w:snapToGrid/>
              <w:spacing w:line="240" w:lineRule="auto"/>
              <w:ind w:firstLine="0"/>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5.要求行政机关确认或重新出具已获取信息</w:t>
            </w:r>
          </w:p>
        </w:tc>
        <w:tc>
          <w:tcPr>
            <w:tcW w:w="850"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1729A38">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69B7563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4BD43DA4">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5FFC9AC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785628FD">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3EA42D77">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inset" w:color="auto" w:sz="8" w:space="0"/>
              <w:right w:val="single" w:color="auto" w:sz="8" w:space="0"/>
            </w:tcBorders>
            <w:shd w:val="clear" w:color="auto" w:fill="auto"/>
            <w:tcMar>
              <w:top w:w="0" w:type="dxa"/>
              <w:left w:w="57" w:type="dxa"/>
              <w:bottom w:w="0" w:type="dxa"/>
              <w:right w:w="57" w:type="dxa"/>
            </w:tcMar>
            <w:vAlign w:val="center"/>
          </w:tcPr>
          <w:p w14:paraId="269BD46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483C89A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AEAE7F4">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0E11EF95">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8741DFA">
            <w:pPr>
              <w:widowControl/>
              <w:autoSpaceDE/>
              <w:autoSpaceDN/>
              <w:snapToGrid/>
              <w:spacing w:line="240" w:lineRule="auto"/>
              <w:ind w:firstLine="0"/>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1.申请人无正当理由逾期不补正、行政机关不再处理其政府信息公开申请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6ABD476">
            <w:pPr>
              <w:widowControl/>
              <w:autoSpaceDE/>
              <w:autoSpaceDN/>
              <w:snapToGrid/>
              <w:spacing w:line="240" w:lineRule="auto"/>
              <w:ind w:left="0" w:leftChars="0"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759710">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259763">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B82ADFF">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4A53CB">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11B826">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22D928">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32AC9BA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CB37510">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inset" w:color="auto" w:sz="8" w:space="0"/>
              <w:left w:val="nil"/>
              <w:bottom w:val="inset" w:color="auto" w:sz="8" w:space="0"/>
              <w:right w:val="single" w:color="auto" w:sz="8" w:space="0"/>
            </w:tcBorders>
            <w:vAlign w:val="center"/>
          </w:tcPr>
          <w:p w14:paraId="28D89670">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5C03177">
            <w:pPr>
              <w:widowControl/>
              <w:autoSpaceDE/>
              <w:autoSpaceDN/>
              <w:snapToGrid/>
              <w:spacing w:line="240" w:lineRule="auto"/>
              <w:ind w:firstLine="0"/>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BFD99">
            <w:pPr>
              <w:widowControl/>
              <w:autoSpaceDE/>
              <w:autoSpaceDN/>
              <w:snapToGrid/>
              <w:spacing w:line="240" w:lineRule="auto"/>
              <w:ind w:firstLine="0" w:firstLineChars="0"/>
              <w:jc w:val="center"/>
              <w:rPr>
                <w:rFonts w:hint="eastAsia" w:ascii="宋体" w:hAnsi="宋体" w:eastAsia="宋体" w:cs="宋体"/>
                <w:snapToGrid/>
                <w:color w:val="auto"/>
                <w:kern w:val="0"/>
                <w:sz w:val="24"/>
                <w:szCs w:val="24"/>
                <w:highlight w:val="none"/>
                <w:lang w:val="en-US" w:eastAsia="zh-CN" w:bidi="ar-SA"/>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9251F8">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8C8A38">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EDA72C">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7CDBC">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443255">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56298">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0B3F6E9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6DE426D">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0" w:type="auto"/>
            <w:vMerge w:val="continue"/>
            <w:tcBorders>
              <w:top w:val="inset" w:color="auto" w:sz="8" w:space="0"/>
              <w:left w:val="nil"/>
              <w:bottom w:val="inset" w:color="auto" w:sz="8" w:space="0"/>
              <w:right w:val="single" w:color="auto" w:sz="8" w:space="0"/>
            </w:tcBorders>
            <w:vAlign w:val="center"/>
          </w:tcPr>
          <w:p w14:paraId="4DB806DE">
            <w:pPr>
              <w:widowControl/>
              <w:autoSpaceDE/>
              <w:autoSpaceDN/>
              <w:snapToGrid/>
              <w:spacing w:line="240" w:lineRule="auto"/>
              <w:ind w:firstLine="0"/>
              <w:jc w:val="left"/>
              <w:rPr>
                <w:rFonts w:ascii="宋体" w:hAnsi="宋体" w:eastAsia="宋体" w:cs="宋体"/>
                <w:snapToGrid/>
                <w:color w:val="auto"/>
                <w:sz w:val="24"/>
                <w:szCs w:val="24"/>
                <w:highlight w:val="none"/>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834141F">
            <w:pPr>
              <w:widowControl/>
              <w:autoSpaceDE/>
              <w:autoSpaceDN/>
              <w:snapToGrid/>
              <w:spacing w:line="240" w:lineRule="auto"/>
              <w:ind w:firstLine="0"/>
              <w:jc w:val="left"/>
              <w:rPr>
                <w:rFonts w:ascii="宋体" w:hAnsi="宋体" w:eastAsia="宋体" w:cs="宋体"/>
                <w:snapToGrid/>
                <w:color w:val="auto"/>
                <w:sz w:val="24"/>
                <w:szCs w:val="24"/>
                <w:highlight w:val="none"/>
              </w:rPr>
            </w:pPr>
            <w:r>
              <w:rPr>
                <w:rFonts w:hint="eastAsia" w:ascii="宋体" w:hAnsi="宋体" w:eastAsia="宋体" w:cs="宋体"/>
                <w:snapToGrid/>
                <w:color w:val="auto"/>
                <w:sz w:val="20"/>
                <w:highlight w:val="none"/>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3CC1B5C">
            <w:pPr>
              <w:widowControl/>
              <w:autoSpaceDE/>
              <w:autoSpaceDN/>
              <w:snapToGrid/>
              <w:spacing w:line="240" w:lineRule="auto"/>
              <w:ind w:firstLine="0"/>
              <w:jc w:val="center"/>
              <w:rPr>
                <w:rFonts w:hint="default" w:ascii="宋体" w:hAnsi="宋体" w:eastAsia="宋体" w:cs="宋体"/>
                <w:snapToGrid/>
                <w:color w:val="auto"/>
                <w:sz w:val="24"/>
                <w:szCs w:val="24"/>
                <w:highlight w:val="none"/>
                <w:lang w:val="en-US"/>
              </w:rPr>
            </w:pPr>
            <w:r>
              <w:rPr>
                <w:rFonts w:hint="eastAsia" w:ascii="Calibri" w:hAnsi="Calibri" w:eastAsia="宋体" w:cs="Calibri"/>
                <w:snapToGrid/>
                <w:color w:val="auto"/>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B7862C">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1DB969">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2BF16B">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7B6591">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30368A">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D4E379">
            <w:pPr>
              <w:widowControl/>
              <w:autoSpaceDE/>
              <w:autoSpaceDN/>
              <w:snapToGrid/>
              <w:spacing w:line="240" w:lineRule="auto"/>
              <w:ind w:firstLine="0" w:firstLineChars="0"/>
              <w:jc w:val="center"/>
              <w:rPr>
                <w:rFonts w:hint="eastAsia" w:ascii="宋体" w:hAnsi="宋体" w:eastAsia="宋体" w:cs="宋体"/>
                <w:snapToGrid/>
                <w:kern w:val="0"/>
                <w:sz w:val="24"/>
                <w:szCs w:val="24"/>
                <w:highlight w:val="none"/>
                <w:lang w:val="en-US" w:eastAsia="zh-CN" w:bidi="ar-SA"/>
              </w:rPr>
            </w:pPr>
            <w:r>
              <w:rPr>
                <w:rFonts w:hint="eastAsia" w:ascii="Calibri" w:hAnsi="Calibri" w:eastAsia="宋体" w:cs="Calibri"/>
                <w:snapToGrid/>
                <w:sz w:val="20"/>
                <w:highlight w:val="none"/>
                <w:lang w:val="en-US" w:eastAsia="zh-CN"/>
              </w:rPr>
              <w:t>0</w:t>
            </w:r>
          </w:p>
        </w:tc>
      </w:tr>
      <w:tr w14:paraId="696863A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EE15FDC">
            <w:pPr>
              <w:widowControl/>
              <w:autoSpaceDE/>
              <w:autoSpaceDN/>
              <w:snapToGrid/>
              <w:spacing w:line="240" w:lineRule="auto"/>
              <w:ind w:firstLine="0"/>
              <w:jc w:val="left"/>
              <w:rPr>
                <w:rFonts w:ascii="宋体" w:hAnsi="宋体" w:eastAsia="宋体" w:cs="宋体"/>
                <w:snapToGrid/>
                <w:sz w:val="24"/>
                <w:szCs w:val="24"/>
                <w:highlight w:val="none"/>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7B1E9BB">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F9616F2">
            <w:pPr>
              <w:widowControl/>
              <w:autoSpaceDE/>
              <w:autoSpaceDN/>
              <w:snapToGrid/>
              <w:spacing w:line="240" w:lineRule="auto"/>
              <w:ind w:firstLine="0"/>
              <w:jc w:val="center"/>
              <w:rPr>
                <w:rFonts w:hint="default"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12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E28C6A">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6675A1">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5D5256C">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F69DE9F">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717C8D">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DDC440C">
            <w:pPr>
              <w:widowControl/>
              <w:autoSpaceDE/>
              <w:autoSpaceDN/>
              <w:snapToGrid/>
              <w:spacing w:line="240" w:lineRule="auto"/>
              <w:ind w:firstLine="0"/>
              <w:jc w:val="center"/>
              <w:rPr>
                <w:rFonts w:hint="default"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12</w:t>
            </w:r>
          </w:p>
        </w:tc>
      </w:tr>
      <w:tr w14:paraId="0AAE93A8">
        <w:tblPrEx>
          <w:tblCellMar>
            <w:top w:w="0" w:type="dxa"/>
            <w:left w:w="0" w:type="dxa"/>
            <w:bottom w:w="0" w:type="dxa"/>
            <w:right w:w="0" w:type="dxa"/>
          </w:tblCellMar>
        </w:tblPrEx>
        <w:trPr>
          <w:trHeight w:val="317" w:hRule="atLeast"/>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BD22BF6">
            <w:pPr>
              <w:widowControl/>
              <w:autoSpaceDE/>
              <w:autoSpaceDN/>
              <w:snapToGrid/>
              <w:spacing w:line="240" w:lineRule="auto"/>
              <w:ind w:firstLine="0"/>
              <w:jc w:val="left"/>
              <w:rPr>
                <w:rFonts w:ascii="宋体" w:hAnsi="宋体" w:eastAsia="宋体" w:cs="宋体"/>
                <w:snapToGrid/>
                <w:sz w:val="24"/>
                <w:szCs w:val="24"/>
                <w:highlight w:val="none"/>
              </w:rPr>
            </w:pPr>
            <w:r>
              <w:rPr>
                <w:rFonts w:hint="eastAsia" w:ascii="宋体" w:hAnsi="宋体" w:eastAsia="宋体" w:cs="宋体"/>
                <w:snapToGrid/>
                <w:sz w:val="20"/>
                <w:highlight w:val="none"/>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C43F20C">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27D85C">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EE7711">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8EEEB49">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3FB698">
            <w:pPr>
              <w:widowControl/>
              <w:autoSpaceDE/>
              <w:autoSpaceDN/>
              <w:snapToGrid/>
              <w:spacing w:line="240" w:lineRule="auto"/>
              <w:ind w:firstLine="0"/>
              <w:jc w:val="center"/>
              <w:rPr>
                <w:rFonts w:hint="eastAsia"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94609E">
            <w:pPr>
              <w:widowControl/>
              <w:autoSpaceDE/>
              <w:autoSpaceDN/>
              <w:snapToGrid/>
              <w:spacing w:line="240" w:lineRule="auto"/>
              <w:ind w:firstLine="0"/>
              <w:jc w:val="center"/>
              <w:rPr>
                <w:rFonts w:ascii="宋体" w:hAnsi="宋体" w:eastAsia="宋体" w:cs="宋体"/>
                <w:snapToGrid/>
                <w:sz w:val="24"/>
                <w:szCs w:val="24"/>
                <w:highlight w:val="none"/>
              </w:rPr>
            </w:pPr>
            <w:r>
              <w:rPr>
                <w:rFonts w:hint="eastAsia" w:ascii="Calibri" w:hAnsi="Calibri" w:eastAsia="宋体" w:cs="Calibri"/>
                <w:snapToGrid/>
                <w:sz w:val="20"/>
                <w:highlight w:val="none"/>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E7E8D34">
            <w:pPr>
              <w:widowControl/>
              <w:autoSpaceDE/>
              <w:autoSpaceDN/>
              <w:snapToGrid/>
              <w:spacing w:line="240" w:lineRule="auto"/>
              <w:ind w:firstLine="0"/>
              <w:jc w:val="center"/>
              <w:rPr>
                <w:rFonts w:hint="default" w:ascii="宋体" w:hAnsi="宋体" w:eastAsia="宋体" w:cs="宋体"/>
                <w:snapToGrid/>
                <w:sz w:val="24"/>
                <w:szCs w:val="24"/>
                <w:highlight w:val="none"/>
                <w:lang w:val="en-US" w:eastAsia="zh-CN"/>
              </w:rPr>
            </w:pPr>
            <w:r>
              <w:rPr>
                <w:rFonts w:hint="eastAsia" w:ascii="Calibri" w:hAnsi="Calibri" w:eastAsia="宋体" w:cs="Calibri"/>
                <w:snapToGrid/>
                <w:sz w:val="20"/>
                <w:highlight w:val="none"/>
                <w:lang w:val="en-US" w:eastAsia="zh-CN"/>
              </w:rPr>
              <w:t>1</w:t>
            </w:r>
          </w:p>
        </w:tc>
      </w:tr>
    </w:tbl>
    <w:p w14:paraId="2FA6EE2C">
      <w:pPr>
        <w:spacing w:line="240" w:lineRule="auto"/>
        <w:ind w:firstLine="600" w:firstLineChars="200"/>
        <w:rPr>
          <w:rFonts w:ascii="黑体" w:hAnsi="黑体" w:eastAsia="黑体"/>
          <w:sz w:val="30"/>
          <w:szCs w:val="30"/>
        </w:rPr>
      </w:pPr>
    </w:p>
    <w:p w14:paraId="3686A147">
      <w:pPr>
        <w:spacing w:line="560" w:lineRule="exact"/>
        <w:ind w:firstLine="640" w:firstLineChars="200"/>
        <w:rPr>
          <w:rFonts w:ascii="黑体" w:hAnsi="黑体" w:eastAsia="黑体"/>
          <w:sz w:val="30"/>
          <w:szCs w:val="30"/>
        </w:rPr>
      </w:pPr>
      <w:r>
        <w:rPr>
          <w:rFonts w:hint="eastAsia"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0D3977C">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DD680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7C4B4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161DEF8D">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B1710A">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D20A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40BF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52E22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4D7B1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A15C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4CDC6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7CAA041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5072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466CFF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1EE1ED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3C49DC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ADB9816">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AE8772">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E151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3CAAA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0B342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23DC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4846A5">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03013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B3BD1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D826A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F6CFD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1D91DF74">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4080C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460BD4">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5B1EE2">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8708C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7852AF">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0C927A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D02251">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DF6B7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9324AD">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A0BA4E">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48FE2B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EEE72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DDA530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lang w:val="en-US" w:eastAsia="zh-CN"/>
              </w:rPr>
              <w:t>0</w:t>
            </w:r>
            <w:r>
              <w:rPr>
                <w:rFonts w:hint="eastAsia" w:ascii="宋体" w:hAnsi="宋体" w:eastAsia="宋体" w:cs="宋体"/>
                <w:snapToGrid/>
                <w:sz w:val="20"/>
              </w:rPr>
              <w:t>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C8ED7">
            <w:pPr>
              <w:widowControl/>
              <w:autoSpaceDE/>
              <w:autoSpaceDN/>
              <w:snapToGrid/>
              <w:spacing w:line="240" w:lineRule="auto"/>
              <w:ind w:firstLine="0"/>
              <w:jc w:val="center"/>
              <w:rPr>
                <w:rFonts w:hint="eastAsia" w:ascii="宋体" w:hAnsi="宋体" w:eastAsia="宋体" w:cs="宋体"/>
                <w:snapToGrid/>
                <w:sz w:val="24"/>
                <w:szCs w:val="24"/>
                <w:lang w:val="en-US" w:eastAsia="zh-CN"/>
              </w:rPr>
            </w:pPr>
            <w:r>
              <w:rPr>
                <w:rFonts w:hint="eastAsia" w:ascii="宋体" w:hAnsi="宋体" w:eastAsia="宋体" w:cs="宋体"/>
                <w:snapToGrid/>
                <w:sz w:val="20"/>
              </w:rPr>
              <w:t> </w:t>
            </w:r>
            <w:r>
              <w:rPr>
                <w:rFonts w:hint="eastAsia" w:ascii="宋体" w:hAnsi="宋体" w:eastAsia="宋体" w:cs="宋体"/>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35EB1F">
            <w:pPr>
              <w:widowControl/>
              <w:autoSpaceDE/>
              <w:autoSpaceDN/>
              <w:snapToGrid/>
              <w:spacing w:line="240" w:lineRule="auto"/>
              <w:ind w:firstLine="0"/>
              <w:jc w:val="left"/>
              <w:rPr>
                <w:rFonts w:hint="eastAsia" w:ascii="宋体" w:hAnsi="宋体" w:eastAsia="宋体" w:cs="宋体"/>
                <w:snapToGrid/>
                <w:sz w:val="24"/>
                <w:szCs w:val="24"/>
                <w:lang w:val="en-US" w:eastAsia="zh-CN"/>
              </w:rPr>
            </w:pPr>
            <w:r>
              <w:rPr>
                <w:rFonts w:hint="eastAsia" w:ascii="宋体" w:hAnsi="宋体" w:eastAsia="宋体" w:cs="宋体"/>
                <w:snapToGrid/>
                <w:sz w:val="24"/>
                <w:szCs w:val="24"/>
                <w:lang w:val="en-US" w:eastAsia="zh-CN"/>
              </w:rPr>
              <w:t>0</w:t>
            </w:r>
          </w:p>
        </w:tc>
      </w:tr>
    </w:tbl>
    <w:p w14:paraId="32F3DBAF">
      <w:pPr>
        <w:spacing w:line="240" w:lineRule="auto"/>
        <w:ind w:firstLine="640" w:firstLineChars="200"/>
        <w:rPr>
          <w:rFonts w:ascii="黑体" w:hAnsi="黑体" w:eastAsia="黑体"/>
          <w:szCs w:val="32"/>
        </w:rPr>
      </w:pPr>
    </w:p>
    <w:p w14:paraId="425A3F48">
      <w:pPr>
        <w:spacing w:line="560" w:lineRule="exact"/>
        <w:ind w:firstLine="640" w:firstLineChars="200"/>
        <w:rPr>
          <w:rFonts w:eastAsia="黑体"/>
          <w:szCs w:val="32"/>
        </w:rPr>
      </w:pPr>
      <w:r>
        <w:rPr>
          <w:rFonts w:hint="eastAsia" w:eastAsia="黑体"/>
          <w:szCs w:val="32"/>
        </w:rPr>
        <w:t>五、存在的主要问题及改进情况</w:t>
      </w:r>
    </w:p>
    <w:p w14:paraId="112E6B2E">
      <w:pPr>
        <w:spacing w:line="560" w:lineRule="exact"/>
        <w:ind w:firstLine="640" w:firstLineChars="200"/>
        <w:rPr>
          <w:rFonts w:hint="eastAsia" w:ascii="楷体_GB2312" w:eastAsia="楷体_GB2312"/>
          <w:szCs w:val="32"/>
        </w:rPr>
      </w:pPr>
      <w:r>
        <w:rPr>
          <w:rFonts w:hint="eastAsia" w:ascii="楷体_GB2312" w:eastAsia="楷体_GB2312"/>
          <w:szCs w:val="32"/>
        </w:rPr>
        <w:t>（一）存在问题</w:t>
      </w:r>
    </w:p>
    <w:p w14:paraId="53F04FD2">
      <w:pPr>
        <w:spacing w:line="560" w:lineRule="exact"/>
        <w:ind w:firstLine="640" w:firstLineChars="200"/>
        <w:rPr>
          <w:rFonts w:hint="eastAsia" w:eastAsia="仿宋_GB2312"/>
        </w:rPr>
      </w:pPr>
      <w:r>
        <w:rPr>
          <w:rFonts w:hint="eastAsia" w:eastAsia="仿宋_GB2312"/>
        </w:rPr>
        <w:t>一是重点领域信息公开深度有待加强，部分重大建设项目信息更新不够及时、要素展示不够完整。</w:t>
      </w:r>
    </w:p>
    <w:p w14:paraId="149FBF2B">
      <w:pPr>
        <w:spacing w:line="560" w:lineRule="exact"/>
        <w:ind w:firstLine="640" w:firstLineChars="200"/>
        <w:rPr>
          <w:rFonts w:hint="eastAsia" w:eastAsia="仿宋_GB2312"/>
        </w:rPr>
      </w:pPr>
      <w:r>
        <w:rPr>
          <w:rFonts w:hint="eastAsia" w:eastAsia="仿宋_GB2312"/>
        </w:rPr>
        <w:t>二是政务公开平台互动服务功能运用不足，政策解读与公众关切匹配的精准度需进一步提升。</w:t>
      </w:r>
    </w:p>
    <w:p w14:paraId="1FC573EF">
      <w:pPr>
        <w:spacing w:line="560" w:lineRule="exact"/>
        <w:ind w:firstLine="640" w:firstLineChars="200"/>
        <w:rPr>
          <w:rFonts w:hint="eastAsia" w:ascii="楷体_GB2312" w:eastAsia="楷体_GB2312"/>
          <w:szCs w:val="32"/>
        </w:rPr>
      </w:pPr>
      <w:r>
        <w:rPr>
          <w:rFonts w:hint="eastAsia" w:ascii="楷体_GB2312" w:eastAsia="楷体_GB2312"/>
          <w:szCs w:val="32"/>
        </w:rPr>
        <w:t>（二）改进情况</w:t>
      </w:r>
    </w:p>
    <w:p w14:paraId="6B3F36D8">
      <w:pPr>
        <w:spacing w:line="560" w:lineRule="exact"/>
        <w:ind w:firstLine="640" w:firstLineChars="200"/>
        <w:rPr>
          <w:rFonts w:hint="eastAsia" w:eastAsia="仿宋_GB2312"/>
        </w:rPr>
      </w:pPr>
      <w:r>
        <w:rPr>
          <w:rFonts w:hint="eastAsia" w:eastAsia="仿宋_GB2312"/>
        </w:rPr>
        <w:t>一是强化重点领域信息动态管理，建立重大建设项目信息月度更新机制，明确公开要素清单，确保信息及时、完整公开。</w:t>
      </w:r>
      <w:r>
        <w:rPr>
          <w:rFonts w:hint="eastAsia" w:eastAsia="仿宋_GB2312"/>
        </w:rPr>
        <w:br w:type="textWrapping"/>
      </w:r>
      <w:r>
        <w:rPr>
          <w:rFonts w:hint="eastAsia" w:eastAsia="仿宋_GB2312"/>
          <w:lang w:val="en-US" w:eastAsia="zh-CN"/>
        </w:rPr>
        <w:t xml:space="preserve">    </w:t>
      </w:r>
      <w:r>
        <w:rPr>
          <w:rFonts w:hint="eastAsia" w:eastAsia="仿宋_GB2312"/>
        </w:rPr>
        <w:t>二是优化政策解读与互动回应机制，依托政务新媒体开展政策需求征集，采用图文、问答等形式开展针对性解读。</w:t>
      </w:r>
    </w:p>
    <w:p w14:paraId="50197022">
      <w:pPr>
        <w:spacing w:line="560" w:lineRule="exact"/>
        <w:ind w:firstLine="640" w:firstLineChars="200"/>
        <w:rPr>
          <w:rFonts w:eastAsia="黑体"/>
          <w:szCs w:val="32"/>
        </w:rPr>
      </w:pPr>
      <w:r>
        <w:rPr>
          <w:rFonts w:hint="eastAsia" w:eastAsia="黑体"/>
          <w:szCs w:val="32"/>
        </w:rPr>
        <w:t>六、其他需要报告的事项</w:t>
      </w:r>
    </w:p>
    <w:p w14:paraId="1F813B15">
      <w:pPr>
        <w:spacing w:line="560" w:lineRule="exact"/>
        <w:ind w:firstLine="640" w:firstLineChars="200"/>
        <w:rPr>
          <w:rFonts w:hint="eastAsia" w:ascii="楷体_GB2312" w:eastAsia="楷体_GB2312"/>
          <w:szCs w:val="32"/>
        </w:rPr>
      </w:pPr>
      <w:r>
        <w:rPr>
          <w:rFonts w:hint="eastAsia" w:ascii="楷体_GB2312" w:eastAsia="楷体_GB2312"/>
          <w:szCs w:val="32"/>
        </w:rPr>
        <w:t>（一）政府信息公开信息处理费收取情况</w:t>
      </w:r>
    </w:p>
    <w:p w14:paraId="72E7B288">
      <w:pPr>
        <w:spacing w:line="560" w:lineRule="exact"/>
        <w:ind w:firstLine="640" w:firstLineChars="200"/>
        <w:rPr>
          <w:rFonts w:hint="eastAsia" w:eastAsia="仿宋_GB2312"/>
        </w:rPr>
      </w:pPr>
      <w:r>
        <w:rPr>
          <w:rFonts w:hint="eastAsia" w:eastAsia="仿宋_GB231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eastAsia="仿宋_GB2312"/>
          <w:lang w:val="en-US" w:eastAsia="zh-CN"/>
        </w:rPr>
        <w:t>5</w:t>
      </w:r>
      <w:r>
        <w:rPr>
          <w:rFonts w:hint="eastAsia" w:eastAsia="仿宋_GB2312"/>
        </w:rPr>
        <w:t>年本机关依申请公开政府信息未收取任何费用。</w:t>
      </w:r>
    </w:p>
    <w:p w14:paraId="083A865A">
      <w:pPr>
        <w:spacing w:line="560" w:lineRule="exact"/>
        <w:ind w:firstLine="640" w:firstLineChars="200"/>
        <w:rPr>
          <w:rFonts w:hint="eastAsia" w:ascii="楷体_GB2312" w:eastAsia="楷体_GB2312"/>
          <w:szCs w:val="32"/>
        </w:rPr>
      </w:pPr>
      <w:r>
        <w:rPr>
          <w:rFonts w:hint="eastAsia" w:ascii="楷体_GB2312" w:eastAsia="楷体_GB2312"/>
          <w:szCs w:val="32"/>
        </w:rPr>
        <w:t>（二）落实上级年度政务公开工作要点情况</w:t>
      </w:r>
    </w:p>
    <w:p w14:paraId="7C86AAD1">
      <w:pPr>
        <w:spacing w:line="560" w:lineRule="exact"/>
        <w:ind w:firstLine="640" w:firstLineChars="200"/>
        <w:rPr>
          <w:rFonts w:hint="eastAsia" w:eastAsia="仿宋_GB2312"/>
        </w:rPr>
      </w:pPr>
      <w:r>
        <w:rPr>
          <w:rFonts w:hint="eastAsia" w:eastAsia="仿宋_GB2312"/>
        </w:rPr>
        <w:t>严格落实国家和省市县政务公开工作要点，并根据《高青县人民政府办公室关于印发202</w:t>
      </w:r>
      <w:r>
        <w:rPr>
          <w:rFonts w:hint="eastAsia" w:eastAsia="仿宋_GB2312"/>
          <w:lang w:val="en-US" w:eastAsia="zh-CN"/>
        </w:rPr>
        <w:t>5</w:t>
      </w:r>
      <w:r>
        <w:rPr>
          <w:rFonts w:hint="eastAsia" w:eastAsia="仿宋_GB2312"/>
        </w:rPr>
        <w:t>年高青县政务公开工作方案的通知》要求，制定了《高青县</w:t>
      </w:r>
      <w:r>
        <w:rPr>
          <w:rFonts w:hint="eastAsia" w:eastAsia="仿宋_GB2312"/>
          <w:lang w:val="en-US" w:eastAsia="zh-CN"/>
        </w:rPr>
        <w:t>发展和改革</w:t>
      </w:r>
      <w:r>
        <w:rPr>
          <w:rFonts w:hint="eastAsia" w:eastAsia="仿宋_GB2312"/>
        </w:rPr>
        <w:t>局政务公开工作方案》，明确了重点任务、工作标准和完成时限。一是健全政务公开统筹机制。强化局党组统一领导，由办公室牵头建立“业务科室提供、责任科室审核、办公室统一发布”的三级联审工作流程，制定本年度政务公开任务清单并纳入科室考核，实现重点任务闭环管理。</w:t>
      </w:r>
    </w:p>
    <w:p w14:paraId="00F6330B">
      <w:pPr>
        <w:spacing w:line="560" w:lineRule="exact"/>
        <w:ind w:firstLine="640" w:firstLineChars="200"/>
        <w:rPr>
          <w:rFonts w:hint="eastAsia" w:ascii="仿宋_GB2312" w:hAnsi="黑体" w:eastAsia="仿宋_GB2312"/>
          <w:sz w:val="32"/>
          <w:szCs w:val="32"/>
        </w:rPr>
      </w:pPr>
      <w:r>
        <w:rPr>
          <w:rFonts w:hint="eastAsia" w:eastAsia="仿宋_GB2312"/>
        </w:rPr>
        <w:t>二是深化重大决策部署落实情况公开。聚焦政府工作报告中涉及我局的重大项目建设、规划编制实施、价格调控等核心任务，按季度在“重要政策执行”专栏公开进展情况，同步公示滞后事项整改措施。三是推动行业监管阳光运行。结合价格执法检查、粮食库存核查、项目稽察等专项工作，动态更新“双随机、一公开”抽查事项清单</w:t>
      </w:r>
      <w:r>
        <w:rPr>
          <w:rFonts w:hint="eastAsia" w:eastAsia="仿宋_GB2312"/>
          <w:lang w:eastAsia="zh-CN"/>
        </w:rPr>
        <w:t>。</w:t>
      </w:r>
      <w:r>
        <w:rPr>
          <w:rFonts w:hint="eastAsia" w:eastAsia="仿宋_GB2312"/>
        </w:rPr>
        <w:t>四是优化机构职能动态展示。根据全县机构改革部署，及时更新内设科室职责调整、下属单位职能变更等信息，同步公开新任领导工作分工。五是规范依申请公开服务流程。针对项目批复、价格核定等常见申请类型，办公室牵头制作简易答复指引，在接收申请后及时协调相关业务科室研究会商，确保依法规范办理，保障群众知情权。</w:t>
      </w:r>
    </w:p>
    <w:p w14:paraId="55A4AF16">
      <w:pPr>
        <w:spacing w:line="560" w:lineRule="exact"/>
        <w:ind w:firstLine="640" w:firstLineChars="200"/>
        <w:rPr>
          <w:rFonts w:hint="eastAsia" w:ascii="楷体_GB2312" w:eastAsia="楷体_GB2312"/>
          <w:szCs w:val="32"/>
        </w:rPr>
      </w:pPr>
      <w:r>
        <w:rPr>
          <w:rFonts w:hint="eastAsia" w:ascii="楷体_GB2312" w:eastAsia="楷体_GB2312"/>
          <w:szCs w:val="32"/>
        </w:rPr>
        <w:t>（三）人大代表建议和政协委员提案办理结果公开情况</w:t>
      </w:r>
    </w:p>
    <w:p w14:paraId="61100978">
      <w:pPr>
        <w:spacing w:line="560" w:lineRule="exact"/>
        <w:ind w:firstLine="640" w:firstLineChars="200"/>
        <w:rPr>
          <w:rFonts w:hint="eastAsia" w:eastAsia="仿宋_GB2312"/>
        </w:rPr>
      </w:pPr>
      <w:r>
        <w:rPr>
          <w:rFonts w:hint="eastAsia" w:eastAsia="仿宋_GB2312"/>
        </w:rPr>
        <w:t>202</w:t>
      </w:r>
      <w:r>
        <w:rPr>
          <w:rFonts w:hint="eastAsia" w:eastAsia="仿宋_GB2312"/>
          <w:lang w:val="en-US" w:eastAsia="zh-CN"/>
        </w:rPr>
        <w:t>5</w:t>
      </w:r>
      <w:r>
        <w:rPr>
          <w:rFonts w:hint="eastAsia" w:eastAsia="仿宋_GB2312"/>
        </w:rPr>
        <w:t>年共承办县十八届人大</w:t>
      </w:r>
      <w:r>
        <w:rPr>
          <w:rFonts w:hint="eastAsia" w:eastAsia="仿宋_GB2312"/>
          <w:lang w:val="en-US" w:eastAsia="zh-CN"/>
        </w:rPr>
        <w:t>四</w:t>
      </w:r>
      <w:r>
        <w:rPr>
          <w:rFonts w:hint="eastAsia" w:eastAsia="仿宋_GB2312"/>
        </w:rPr>
        <w:t>次会议建议</w:t>
      </w:r>
      <w:r>
        <w:rPr>
          <w:rFonts w:hint="eastAsia" w:eastAsia="仿宋_GB2312"/>
          <w:lang w:val="en-US" w:eastAsia="zh-CN"/>
        </w:rPr>
        <w:t>1</w:t>
      </w:r>
      <w:r>
        <w:rPr>
          <w:rFonts w:hint="eastAsia" w:eastAsia="仿宋_GB2312"/>
        </w:rPr>
        <w:t>件，承办县政协十五届</w:t>
      </w:r>
      <w:r>
        <w:rPr>
          <w:rFonts w:hint="eastAsia" w:eastAsia="仿宋_GB2312"/>
          <w:lang w:val="en-US" w:eastAsia="zh-CN"/>
        </w:rPr>
        <w:t>四</w:t>
      </w:r>
      <w:r>
        <w:rPr>
          <w:rFonts w:hint="eastAsia" w:eastAsia="仿宋_GB2312"/>
        </w:rPr>
        <w:t>次会议提案</w:t>
      </w:r>
      <w:r>
        <w:rPr>
          <w:rFonts w:hint="eastAsia" w:eastAsia="仿宋_GB2312"/>
          <w:lang w:val="en-US" w:eastAsia="zh-CN"/>
        </w:rPr>
        <w:t>7</w:t>
      </w:r>
      <w:r>
        <w:rPr>
          <w:rFonts w:hint="eastAsia" w:eastAsia="仿宋_GB2312"/>
        </w:rPr>
        <w:t>件，办复率均为100%。除涉及国家秘密、工作秘密的，所有建议提案办理复文或摘要以及办理总体情况均在县政府门户网站建议提案办理专题中予以公开。</w:t>
      </w:r>
    </w:p>
    <w:p w14:paraId="4FFB8932">
      <w:pPr>
        <w:spacing w:line="560" w:lineRule="exact"/>
        <w:ind w:firstLine="640" w:firstLineChars="200"/>
        <w:rPr>
          <w:rFonts w:hint="eastAsia" w:ascii="楷体_GB2312" w:eastAsia="楷体_GB2312"/>
          <w:szCs w:val="32"/>
        </w:rPr>
      </w:pPr>
      <w:r>
        <w:rPr>
          <w:rFonts w:hint="eastAsia" w:ascii="楷体_GB2312" w:eastAsia="楷体_GB2312"/>
          <w:szCs w:val="32"/>
        </w:rPr>
        <w:t>（四）政务公开工作创新情况</w:t>
      </w:r>
    </w:p>
    <w:p w14:paraId="7CF31F51">
      <w:pPr>
        <w:spacing w:line="560" w:lineRule="exact"/>
        <w:ind w:firstLine="640" w:firstLineChars="200"/>
        <w:rPr>
          <w:rFonts w:hint="eastAsia" w:eastAsia="仿宋_GB2312"/>
        </w:rPr>
      </w:pPr>
      <w:r>
        <w:rPr>
          <w:rFonts w:hint="eastAsia" w:eastAsia="仿宋_GB2312"/>
        </w:rPr>
        <w:t>（一）推动政策解读融入一线工作。将政务公开与业务检查相结合，工作人员在开展重大建设项目督导、粮食库存核查、价格市场巡查时，同步向企业和群众解读投资管理、粮食收购、价费优惠等政策，使政策宣传更贴近实际。</w:t>
      </w:r>
    </w:p>
    <w:p w14:paraId="46B607F8">
      <w:pPr>
        <w:spacing w:line="560" w:lineRule="exact"/>
        <w:ind w:firstLine="640" w:firstLineChars="200"/>
        <w:rPr>
          <w:rFonts w:hint="eastAsia" w:eastAsia="仿宋_GB2312"/>
        </w:rPr>
      </w:pPr>
      <w:r>
        <w:rPr>
          <w:rFonts w:hint="eastAsia" w:eastAsia="仿宋_GB2312"/>
        </w:rPr>
        <w:t>（</w:t>
      </w:r>
      <w:r>
        <w:rPr>
          <w:rFonts w:hint="eastAsia" w:eastAsia="仿宋_GB2312"/>
          <w:lang w:val="en-US" w:eastAsia="zh-CN"/>
        </w:rPr>
        <w:t>二</w:t>
      </w:r>
      <w:r>
        <w:rPr>
          <w:rFonts w:hint="eastAsia" w:eastAsia="仿宋_GB2312"/>
        </w:rPr>
        <w:t>）优化群众诉求响应工作机制，持续畅通网站、</w:t>
      </w:r>
      <w:r>
        <w:rPr>
          <w:rFonts w:hint="eastAsia" w:eastAsia="仿宋_GB2312"/>
          <w:lang w:val="en-US" w:eastAsia="zh-CN"/>
        </w:rPr>
        <w:t>当面申请</w:t>
      </w:r>
      <w:r>
        <w:rPr>
          <w:rFonts w:hint="eastAsia" w:eastAsia="仿宋_GB2312"/>
        </w:rPr>
        <w:t>等多渠道受理途径，对涉及项目审批、价格咨询等常见诉求，在回应时同步提供相关政策原文及申办指引。办理过程中强化事前对接与需求分析，确保准确把握群众</w:t>
      </w:r>
      <w:r>
        <w:rPr>
          <w:rFonts w:hint="eastAsia" w:eastAsia="仿宋_GB2312"/>
          <w:lang w:val="en-US" w:eastAsia="zh-CN"/>
        </w:rPr>
        <w:t>诉求</w:t>
      </w:r>
      <w:r>
        <w:rPr>
          <w:rFonts w:hint="eastAsia" w:eastAsia="仿宋_GB2312"/>
        </w:rPr>
        <w:t>，依法依规做好解释与服务工作。</w:t>
      </w:r>
    </w:p>
    <w:p w14:paraId="29C2584A">
      <w:pPr>
        <w:spacing w:line="560" w:lineRule="exact"/>
        <w:ind w:firstLine="640" w:firstLineChars="200"/>
        <w:rPr>
          <w:rFonts w:hint="eastAsia" w:ascii="楷体_GB2312" w:eastAsia="楷体_GB2312"/>
          <w:szCs w:val="32"/>
        </w:rPr>
      </w:pPr>
      <w:r>
        <w:rPr>
          <w:rFonts w:hint="eastAsia" w:ascii="楷体_GB2312" w:eastAsia="楷体_GB2312"/>
          <w:szCs w:val="32"/>
        </w:rPr>
        <w:t>（五）有关数据统计说明</w:t>
      </w:r>
    </w:p>
    <w:p w14:paraId="2B380A2C">
      <w:pPr>
        <w:spacing w:line="560" w:lineRule="exact"/>
        <w:ind w:firstLine="640" w:firstLineChars="200"/>
        <w:rPr>
          <w:rFonts w:eastAsia="仿宋_GB2312"/>
        </w:rPr>
      </w:pPr>
      <w:r>
        <w:rPr>
          <w:rFonts w:hint="eastAsia" w:eastAsia="仿宋_GB2312"/>
        </w:rPr>
        <w:t>1.报告中所列数据可能因四舍五入原因与数据直接相加之和存在尾数差异。</w:t>
      </w:r>
    </w:p>
    <w:p w14:paraId="47B69B63">
      <w:pPr>
        <w:spacing w:line="560" w:lineRule="exact"/>
        <w:ind w:firstLine="640" w:firstLineChars="200"/>
        <w:rPr>
          <w:rFonts w:eastAsia="仿宋_GB2312"/>
        </w:rPr>
      </w:pPr>
      <w:r>
        <w:rPr>
          <w:rFonts w:hint="eastAsia" w:eastAsia="仿宋_GB2312"/>
        </w:rPr>
        <w:t>2.行政许可数量、行政处罚和行政强制数量，包括已公开和依法未公开的全部处理决定。</w:t>
      </w:r>
    </w:p>
    <w:p w14:paraId="67E05D9D">
      <w:pPr>
        <w:spacing w:line="560" w:lineRule="exact"/>
        <w:ind w:firstLine="640" w:firstLineChars="200"/>
        <w:rPr>
          <w:rFonts w:ascii="楷体_GB2312" w:hAnsi="黑体" w:eastAsia="楷体_GB2312"/>
          <w:sz w:val="30"/>
          <w:szCs w:val="30"/>
        </w:rPr>
      </w:pPr>
      <w:r>
        <w:rPr>
          <w:rFonts w:hint="eastAsia" w:eastAsia="仿宋_GB231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C1750"/>
    <w:rsid w:val="004D241E"/>
    <w:rsid w:val="00515DB1"/>
    <w:rsid w:val="00523855"/>
    <w:rsid w:val="005422B3"/>
    <w:rsid w:val="00591E5D"/>
    <w:rsid w:val="005B13CD"/>
    <w:rsid w:val="005C0F41"/>
    <w:rsid w:val="0065765D"/>
    <w:rsid w:val="00673AC7"/>
    <w:rsid w:val="006947A5"/>
    <w:rsid w:val="00704FCD"/>
    <w:rsid w:val="00773916"/>
    <w:rsid w:val="008C4ED2"/>
    <w:rsid w:val="00915D0B"/>
    <w:rsid w:val="009B028C"/>
    <w:rsid w:val="00C542CC"/>
    <w:rsid w:val="00C67940"/>
    <w:rsid w:val="00C73BD0"/>
    <w:rsid w:val="00CC2BE7"/>
    <w:rsid w:val="00CC521B"/>
    <w:rsid w:val="00CD1D00"/>
    <w:rsid w:val="00D234BA"/>
    <w:rsid w:val="00E50639"/>
    <w:rsid w:val="00E60B5D"/>
    <w:rsid w:val="00EA0721"/>
    <w:rsid w:val="00ED2963"/>
    <w:rsid w:val="00EF5607"/>
    <w:rsid w:val="00FA216A"/>
    <w:rsid w:val="00FD5381"/>
    <w:rsid w:val="01527EDF"/>
    <w:rsid w:val="01E50D53"/>
    <w:rsid w:val="01E52FAF"/>
    <w:rsid w:val="02840E7C"/>
    <w:rsid w:val="03830824"/>
    <w:rsid w:val="03875A9D"/>
    <w:rsid w:val="04506958"/>
    <w:rsid w:val="04EB6681"/>
    <w:rsid w:val="05D84E57"/>
    <w:rsid w:val="06E15F8D"/>
    <w:rsid w:val="0A956499"/>
    <w:rsid w:val="0D020A0B"/>
    <w:rsid w:val="0D3D37F2"/>
    <w:rsid w:val="0DE620DB"/>
    <w:rsid w:val="0E8642D1"/>
    <w:rsid w:val="0EB67D00"/>
    <w:rsid w:val="0F5E225A"/>
    <w:rsid w:val="0FF47567"/>
    <w:rsid w:val="103A670E"/>
    <w:rsid w:val="1158509E"/>
    <w:rsid w:val="15992C68"/>
    <w:rsid w:val="175B7696"/>
    <w:rsid w:val="17A708DF"/>
    <w:rsid w:val="182757CA"/>
    <w:rsid w:val="186B1B5B"/>
    <w:rsid w:val="19C5529B"/>
    <w:rsid w:val="19DD33D8"/>
    <w:rsid w:val="1A287F4D"/>
    <w:rsid w:val="1D84721B"/>
    <w:rsid w:val="1F703EFB"/>
    <w:rsid w:val="22B13D95"/>
    <w:rsid w:val="22C500B9"/>
    <w:rsid w:val="231F4230"/>
    <w:rsid w:val="23D20CE0"/>
    <w:rsid w:val="24A73EFC"/>
    <w:rsid w:val="25C428AA"/>
    <w:rsid w:val="25E44CFA"/>
    <w:rsid w:val="26DF4E22"/>
    <w:rsid w:val="2C5B2D1B"/>
    <w:rsid w:val="2DA82AB1"/>
    <w:rsid w:val="2E5073D1"/>
    <w:rsid w:val="2E755089"/>
    <w:rsid w:val="2E954847"/>
    <w:rsid w:val="322A3B91"/>
    <w:rsid w:val="379C5435"/>
    <w:rsid w:val="39A22AAB"/>
    <w:rsid w:val="3D29776B"/>
    <w:rsid w:val="3FB81E96"/>
    <w:rsid w:val="3FF658FE"/>
    <w:rsid w:val="400F6201"/>
    <w:rsid w:val="41E9571B"/>
    <w:rsid w:val="43056A83"/>
    <w:rsid w:val="450B3BFA"/>
    <w:rsid w:val="46561A4A"/>
    <w:rsid w:val="482F3C55"/>
    <w:rsid w:val="482F5E51"/>
    <w:rsid w:val="4AC5484B"/>
    <w:rsid w:val="4F807D78"/>
    <w:rsid w:val="4FBE01E7"/>
    <w:rsid w:val="51856AE2"/>
    <w:rsid w:val="54A84FC1"/>
    <w:rsid w:val="570B7A8A"/>
    <w:rsid w:val="59C53F20"/>
    <w:rsid w:val="5B3B5816"/>
    <w:rsid w:val="5B6B6D49"/>
    <w:rsid w:val="5C55731B"/>
    <w:rsid w:val="5CC26E3C"/>
    <w:rsid w:val="5E331DA0"/>
    <w:rsid w:val="5E4F4700"/>
    <w:rsid w:val="609D79A4"/>
    <w:rsid w:val="62E55633"/>
    <w:rsid w:val="639F1C85"/>
    <w:rsid w:val="643C74D4"/>
    <w:rsid w:val="66147C54"/>
    <w:rsid w:val="68152516"/>
    <w:rsid w:val="687F3E33"/>
    <w:rsid w:val="69342E70"/>
    <w:rsid w:val="6B1E5B86"/>
    <w:rsid w:val="6CCE1ABF"/>
    <w:rsid w:val="6CE756DB"/>
    <w:rsid w:val="71265822"/>
    <w:rsid w:val="7238577F"/>
    <w:rsid w:val="72777C7B"/>
    <w:rsid w:val="72C97CB9"/>
    <w:rsid w:val="77610317"/>
    <w:rsid w:val="78554E04"/>
    <w:rsid w:val="7A7019D4"/>
    <w:rsid w:val="7CB400F8"/>
    <w:rsid w:val="7D7F0706"/>
    <w:rsid w:val="7F1B558F"/>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9">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县发展改革局政务公开信息分布图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elete val="1"/>
          </c:dLbls>
          <c:cat>
            <c:strRef>
              <c:f>Sheet1!$A$2:$A$5</c:f>
              <c:strCache>
                <c:ptCount val="4"/>
                <c:pt idx="0">
                  <c:v>重大项目建设清单</c:v>
                </c:pt>
                <c:pt idx="1">
                  <c:v>价格收费解读</c:v>
                </c:pt>
                <c:pt idx="2">
                  <c:v>粮食应急保障企业信息</c:v>
                </c:pt>
                <c:pt idx="3">
                  <c:v>能源企业信息</c:v>
                </c:pt>
              </c:strCache>
            </c:strRef>
          </c:cat>
          <c:val>
            <c:numRef>
              <c:f>Sheet1!$B$2:$B$5</c:f>
              <c:numCache>
                <c:formatCode>General</c:formatCode>
                <c:ptCount val="4"/>
                <c:pt idx="0">
                  <c:v>1</c:v>
                </c:pt>
                <c:pt idx="1">
                  <c:v>3</c:v>
                </c:pt>
                <c:pt idx="2">
                  <c:v>2</c:v>
                </c:pt>
                <c:pt idx="3">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075068-5008-4c65-8308-74bef8d4e7d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9</Pages>
  <Words>1363</Words>
  <Characters>1472</Characters>
  <Lines>15</Lines>
  <Paragraphs>4</Paragraphs>
  <TotalTime>17</TotalTime>
  <ScaleCrop>false</ScaleCrop>
  <LinksUpToDate>false</LinksUpToDate>
  <CharactersWithSpaces>1473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cp:lastModifiedBy>
  <dcterms:modified xsi:type="dcterms:W3CDTF">2026-01-27T07:04:35Z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9F53176A35304622987823D98FB80138_13</vt:lpwstr>
  </property>
</Properties>
</file>