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高青县发展和改革局2016年度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发改局联系（地址：高青县城黄河路81号；邮编：256300；电话：0533-6967090；传真：0533-6967065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一、政府信息公开工作概述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2016年，高青县发改局认真贯彻落实党的十八大及十八届三中、四中、五中全会和习近平总书记系列重要讲话精神，按照《条例》、《国务院办公厅关于印发2016年政务公开工作要点的通知》（国办发〔2016〕19号）、《山东省人民政府办公厅关于印发2016年山东省政务公开工作要点的通知》（鲁政办发〔2016〕23号）、《淄博市人民政府办公厅关于印发淄博市2016年政务公开工作要点的通知》（淄政办字〔2016〕85号）要求，高度重视政府信息公开工作，在局有关科室（单位）的协调、运作下进一步细化政府信息公开工作任务，逐步完善制度，加大公开力度，规范操作程序，增强公开实效，切手保障人民群众的知情权、参与权、表达权和监督权。目前，我局政府信息公开工作运行正常，政府信息公开咨询、申请以及答复工作均得到了顺利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　2016年，我局主动公开的信息有信息公开指南、机构概况、内设机构、机构领导、政策法规、规划计划、业务工作、统计数据等9类。主要公开了我县2016年各类项目审批、核准、备案资料。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三、依申请公开政府信息情况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（一）依申请公开情况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2015年，我单位共收到政府信息公开申请1件，办结政府信息公开申请1件，全部按时答复。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（二）收费及减免情况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我单位在政府信息公开申请办理过程中，暂未收取任何费用。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四、政府信息公开的复议诉讼和举报情况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2015年度，我局没有发生因政府信息公开申请行政复议、提起行政诉讼的情况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五、存在的不足及改进措施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我局政府信息公开工作虽然取得了一定的成效，但与建设法治政府的新要求、人民群众的新期待，还存在一些差距。主要表现为：政策解读形式单一、解读质量不高；公开形式不够丰富等。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2017年，我局将重点抓好以下几方面工作：一是加大政策解读力度，落实国家、省、市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充分利用政务公开平台，用好政务新媒体，健全内容发布审核机制，强化互动和服务功能，保证发布信息内容合法、完整、准确、及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 2016年度发展和改革局政府信息公开工作情况统计表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2017年3月24日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2016年度高青县政府信息公开工作情况统计表</w:t>
      </w:r>
    </w:p>
    <w:tbl>
      <w:tblPr>
        <w:tblStyle w:val="4"/>
        <w:tblpPr w:leftFromText="180" w:rightFromText="180" w:vertAnchor="text" w:horzAnchor="page" w:tblpX="643" w:tblpY="608"/>
        <w:tblOverlap w:val="never"/>
        <w:tblW w:w="107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0"/>
        <w:gridCol w:w="1450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69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19"/>
                <w:szCs w:val="19"/>
              </w:rPr>
              <w:t>统　计　指　标</w:t>
            </w:r>
          </w:p>
        </w:tc>
        <w:tc>
          <w:tcPr>
            <w:tcW w:w="145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19"/>
                <w:szCs w:val="19"/>
              </w:rPr>
              <w:t>单位</w:t>
            </w:r>
          </w:p>
        </w:tc>
        <w:tc>
          <w:tcPr>
            <w:tcW w:w="128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19"/>
                <w:szCs w:val="19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ascii="黑体" w:hAnsi="宋体" w:eastAsia="黑体" w:cs="黑体"/>
                <w:color w:val="000000"/>
                <w:sz w:val="19"/>
                <w:szCs w:val="19"/>
              </w:rPr>
              <w:t>一、主动公开情况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（一）主动公开政府信息数（不同渠道和方式公开相同信息计1条）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  　　　　（不同渠道和方式公开相同信息计1条）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其中：主动公开规范性文件数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　　　制发规范性文件总数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（二）通过不同渠道和方式公开政府信息的情况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1.政府公报公开政府信息数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2.政府网站公开政府信息数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3.政务微博公开政府信息数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4.政务微信公开政府信息数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5.其他方式公开政府信息数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二、回应解读情况（不同方式回应同一热点或舆情计1次）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single" w:color="0A0A0A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（一）回应公众关注热点或重大舆情数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color w:val="000000"/>
                <w:sz w:val="19"/>
                <w:szCs w:val="19"/>
              </w:rPr>
              <w:t>  </w:t>
            </w:r>
            <w:r>
              <w:t>　　　　 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（不同方式回应同一热点或舆情计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次）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（二）通过不同渠道和方式回应解读的情况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1.参加或举办新闻发布会总次数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 其中：主要负责同志参加新闻发布会次数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2.政府网站在线访谈次数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 其中：主要负责同志参加政府网站在线访谈次数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3.政策解读稿件发布数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篇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4.微博微信回应事件数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5.其他方式回应事件数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三、依申请公开情况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single" w:color="0A0A0A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（一）收到申请数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1.当面申请数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2.传真申请数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3.网络申请数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single" w:color="auto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4.信函申请数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          5.其他形式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（二）申请办结数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1.按时办结数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2.延期办结数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（三）申请答复数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1.属于已主动公开范围数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2.同意公开答复数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3.同意部分公开答复数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4.不同意公开答复数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 　其中：涉及国家秘密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　　　 涉及商业秘密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　　　 涉及个人隐私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　　　 危及国家安全、公共安全、经济安全和社会稳定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　　　 不是《条例》所指政府信息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　　　　 法律法规规定的其他情形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5.不属于本行政机关公开数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6.申请信息不存在数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7.告知作出更改补充数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8.告知通过其他途径办理数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四、行政复议数量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（一）维持具体行政行为数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（二）被依法纠错数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（三）其他情形数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五、行政诉讼数量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（一）维持具体行政行为或者驳回原告诉讼请求数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（二）被依法纠错数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（三）其他情形数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六、被举报投诉数量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（一）维持具体行政行为数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（二）被纠错数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（三）其他情形数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七、向图书馆、档案馆等查阅场所报送信息数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（一）纸质文件数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（二）电子文件数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八、开通政府信息公开网站（或设立门户网站信息公开专栏）数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（一）区县政府及其部门门户网站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（二）乡镇政府（街道办事处）门户网站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九、政府公报发行量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（一）公报发行期数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期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（二）公报发行总份数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份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十、设置政府信息查阅点数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（一）区县政府及其部门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（二）乡镇政府（街道办事处）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十一、查阅点接待人数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（一）区县政府及其部门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nil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（二）乡镇政府（街道办事处）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十二、依申请公开信息收取的费用</w:t>
            </w:r>
          </w:p>
        </w:tc>
        <w:tc>
          <w:tcPr>
            <w:tcW w:w="145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万元</w:t>
            </w:r>
          </w:p>
        </w:tc>
        <w:tc>
          <w:tcPr>
            <w:tcW w:w="128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十三、机构建设和保障经费情况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（一）政府信息公开工作专门机构数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个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（二）从事政府信息公开工作人员数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1.专职人员数（不包括政府公报及政府网站工作人员数）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　　　2.兼职人员数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（三）政府信息公开专项经费（不包括政府公报编辑管理及政府网站建设）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  　　　　　护等方面的经费）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万元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</w:rPr>
              <w:t>十四、政府信息公开会议和培训情况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（一）召开政府信息公开工作会议或专题会议数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（二）举办各类培训班数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7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　（三）接受培训人员数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人次</w:t>
            </w:r>
          </w:p>
        </w:tc>
        <w:tc>
          <w:tcPr>
            <w:tcW w:w="128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20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0D7E"/>
    <w:rsid w:val="3FE97385"/>
    <w:rsid w:val="62B3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2323</Words>
  <Characters>2455</Characters>
  <Lines>0</Lines>
  <Paragraphs>0</Paragraphs>
  <TotalTime>9</TotalTime>
  <ScaleCrop>false</ScaleCrop>
  <LinksUpToDate>false</LinksUpToDate>
  <CharactersWithSpaces>2765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EC3265B0259C4D21A3DFD9BC476ED507</vt:lpwstr>
  </property>
</Properties>
</file>