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60" w:lineRule="exact"/>
        <w:jc w:val="both"/>
        <w:rPr>
          <w:rFonts w:ascii="宋体"/>
          <w:b/>
          <w:sz w:val="44"/>
          <w:szCs w:val="44"/>
        </w:rPr>
      </w:pPr>
    </w:p>
    <w:p>
      <w:pPr>
        <w:spacing w:line="560" w:lineRule="exact"/>
        <w:jc w:val="center"/>
        <w:rPr>
          <w:rFonts w:ascii="宋体"/>
          <w:b/>
          <w:sz w:val="36"/>
          <w:szCs w:val="36"/>
        </w:rPr>
      </w:pPr>
      <w:r>
        <w:rPr>
          <w:rFonts w:hint="eastAsia" w:ascii="宋体" w:hAnsi="宋体"/>
          <w:b/>
          <w:sz w:val="36"/>
          <w:szCs w:val="36"/>
        </w:rPr>
        <w:t>高青县公安局</w:t>
      </w:r>
      <w:r>
        <w:rPr>
          <w:rFonts w:ascii="宋体" w:hAnsi="宋体"/>
          <w:b/>
          <w:sz w:val="36"/>
          <w:szCs w:val="36"/>
        </w:rPr>
        <w:t>2020</w:t>
      </w:r>
      <w:r>
        <w:rPr>
          <w:rFonts w:hint="eastAsia" w:ascii="宋体" w:hAnsi="宋体"/>
          <w:b/>
          <w:sz w:val="36"/>
          <w:szCs w:val="36"/>
        </w:rPr>
        <w:t>年政府信息公开工作年度报告</w:t>
      </w:r>
    </w:p>
    <w:p>
      <w:pPr>
        <w:spacing w:line="560" w:lineRule="exact"/>
        <w:ind w:firstLine="640" w:firstLineChars="200"/>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本报告根据《中华人民共和国政府信息公开条例》（国务院令第</w:t>
      </w:r>
      <w:r>
        <w:rPr>
          <w:rFonts w:ascii="仿宋_GB2312" w:eastAsia="仿宋_GB2312"/>
          <w:sz w:val="32"/>
          <w:szCs w:val="32"/>
        </w:rPr>
        <w:t>711</w:t>
      </w:r>
      <w:r>
        <w:rPr>
          <w:rFonts w:hint="eastAsia" w:ascii="仿宋_GB2312" w:eastAsia="仿宋_GB2312"/>
          <w:sz w:val="32"/>
          <w:szCs w:val="32"/>
        </w:rPr>
        <w:t>号，以下简称《条例》）要求，由高青县</w:t>
      </w:r>
      <w:r>
        <w:rPr>
          <w:rFonts w:hint="eastAsia" w:ascii="仿宋_GB2312" w:eastAsia="仿宋_GB2312"/>
          <w:sz w:val="32"/>
          <w:szCs w:val="32"/>
          <w:lang w:eastAsia="zh-CN"/>
        </w:rPr>
        <w:t>公安局网上公安</w:t>
      </w:r>
      <w:r>
        <w:rPr>
          <w:rFonts w:hint="eastAsia" w:ascii="仿宋_GB2312" w:eastAsia="仿宋_GB2312"/>
          <w:sz w:val="32"/>
          <w:szCs w:val="32"/>
        </w:rPr>
        <w:t>办公室综合本单位政府信息公开工作情况编制。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w:t>
      </w:r>
      <w:r>
        <w:rPr>
          <w:rFonts w:ascii="仿宋_GB2312" w:eastAsia="仿宋_GB2312"/>
          <w:sz w:val="32"/>
          <w:szCs w:val="32"/>
        </w:rPr>
        <w:t>6</w:t>
      </w:r>
      <w:r>
        <w:rPr>
          <w:rFonts w:hint="eastAsia" w:ascii="仿宋_GB2312" w:eastAsia="仿宋_GB2312"/>
          <w:sz w:val="32"/>
          <w:szCs w:val="32"/>
        </w:rPr>
        <w:t>个部分组成。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报告中所列数据统计期限自</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日始，至</w:t>
      </w:r>
      <w:r>
        <w:rPr>
          <w:rFonts w:ascii="仿宋_GB2312" w:eastAsia="仿宋_GB2312"/>
          <w:sz w:val="32"/>
          <w:szCs w:val="32"/>
        </w:rPr>
        <w:t>2020</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日止。报告电子版可在高青县人民政府门户网站（</w:t>
      </w:r>
      <w:r>
        <w:rPr>
          <w:rFonts w:ascii="仿宋_GB2312" w:eastAsia="仿宋_GB2312"/>
          <w:sz w:val="32"/>
          <w:szCs w:val="32"/>
        </w:rPr>
        <w:t>www.gaoqing.gov.cn</w:t>
      </w:r>
      <w:r>
        <w:rPr>
          <w:rFonts w:hint="eastAsia" w:ascii="仿宋_GB2312" w:eastAsia="仿宋_GB2312"/>
          <w:sz w:val="32"/>
          <w:szCs w:val="32"/>
        </w:rPr>
        <w:t>）查阅和下载。如对报告内容有疑问，请与高青县</w:t>
      </w:r>
      <w:r>
        <w:rPr>
          <w:rFonts w:hint="eastAsia" w:ascii="仿宋_GB2312" w:eastAsia="仿宋_GB2312"/>
          <w:sz w:val="32"/>
          <w:szCs w:val="32"/>
          <w:lang w:eastAsia="zh-CN"/>
        </w:rPr>
        <w:t>公安局网上公安</w:t>
      </w:r>
      <w:r>
        <w:rPr>
          <w:rFonts w:hint="eastAsia" w:ascii="仿宋_GB2312" w:eastAsia="仿宋_GB2312"/>
          <w:sz w:val="32"/>
          <w:szCs w:val="32"/>
        </w:rPr>
        <w:t>办公室联系（地址：高青县城</w:t>
      </w:r>
      <w:r>
        <w:rPr>
          <w:rFonts w:hint="eastAsia" w:ascii="仿宋_GB2312" w:eastAsia="仿宋_GB2312"/>
          <w:sz w:val="32"/>
          <w:szCs w:val="32"/>
          <w:lang w:eastAsia="zh-CN"/>
        </w:rPr>
        <w:t>黄河路</w:t>
      </w:r>
      <w:r>
        <w:rPr>
          <w:rFonts w:hint="eastAsia" w:ascii="仿宋_GB2312" w:eastAsia="仿宋_GB2312"/>
          <w:sz w:val="32"/>
          <w:szCs w:val="32"/>
          <w:lang w:val="en-US" w:eastAsia="zh-CN"/>
        </w:rPr>
        <w:t>85</w:t>
      </w:r>
      <w:r>
        <w:rPr>
          <w:rFonts w:hint="eastAsia" w:ascii="仿宋_GB2312" w:eastAsia="仿宋_GB2312"/>
          <w:sz w:val="32"/>
          <w:szCs w:val="32"/>
        </w:rPr>
        <w:t>号；</w:t>
      </w:r>
      <w:r>
        <w:rPr>
          <w:rFonts w:hint="eastAsia" w:ascii="Times New Roman" w:hAnsi="Times New Roman" w:eastAsia="仿宋_GB2312"/>
          <w:kern w:val="22"/>
          <w:sz w:val="32"/>
          <w:szCs w:val="32"/>
        </w:rPr>
        <w:t>邮编：256300；电话：0533-</w:t>
      </w:r>
      <w:r>
        <w:rPr>
          <w:rFonts w:ascii="Times New Roman" w:hAnsi="Times New Roman" w:eastAsia="仿宋_GB2312"/>
          <w:kern w:val="22"/>
          <w:sz w:val="32"/>
          <w:szCs w:val="32"/>
        </w:rPr>
        <w:t>2135118</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县公安局紧紧围绕群众关注关切，深化重点领域信息公开，完善政务公开制度建设，坚持以公开为常态、不公开为例外，推动行政权力全过程公开、公共服务全流程公开、社会关切全方位回应，切实提高群众满意度、获得感。建立</w:t>
      </w:r>
      <w:r>
        <w:rPr>
          <w:rFonts w:hint="eastAsia" w:ascii="仿宋_GB2312" w:hAnsi="仿宋_GB2312" w:eastAsia="仿宋_GB2312" w:cs="仿宋_GB2312"/>
          <w:lang w:eastAsia="zh-CN"/>
        </w:rPr>
        <w:t>了</w:t>
      </w:r>
      <w:r>
        <w:rPr>
          <w:rFonts w:hint="eastAsia" w:ascii="仿宋_GB2312" w:hAnsi="仿宋_GB2312" w:eastAsia="仿宋_GB2312" w:cs="仿宋_GB2312"/>
        </w:rPr>
        <w:t>由</w:t>
      </w:r>
      <w:r>
        <w:rPr>
          <w:rFonts w:hint="eastAsia" w:ascii="仿宋_GB2312" w:hAnsi="仿宋_GB2312" w:eastAsia="仿宋_GB2312" w:cs="仿宋_GB2312"/>
          <w:lang w:eastAsia="zh-CN"/>
        </w:rPr>
        <w:t>县局党委委员、指挥中心主任付朝旭为组长</w:t>
      </w:r>
      <w:r>
        <w:rPr>
          <w:rFonts w:hint="eastAsia" w:ascii="仿宋_GB2312" w:hAnsi="仿宋_GB2312" w:eastAsia="仿宋_GB2312" w:cs="仿宋_GB2312"/>
        </w:rPr>
        <w:t>，指挥中心、政工室、法制</w:t>
      </w:r>
      <w:r>
        <w:rPr>
          <w:rFonts w:hint="eastAsia" w:ascii="仿宋_GB2312" w:hAnsi="仿宋_GB2312" w:eastAsia="仿宋_GB2312" w:cs="仿宋_GB2312"/>
          <w:lang w:eastAsia="zh-CN"/>
        </w:rPr>
        <w:t>大队</w:t>
      </w:r>
      <w:r>
        <w:rPr>
          <w:rFonts w:hint="eastAsia" w:ascii="仿宋_GB2312" w:hAnsi="仿宋_GB2312" w:eastAsia="仿宋_GB2312" w:cs="仿宋_GB2312"/>
        </w:rPr>
        <w:t>和各有关业务部门领导参加的政府信息公开工作领导小组，办公室设在指挥中心</w:t>
      </w:r>
      <w:r>
        <w:rPr>
          <w:rFonts w:hint="eastAsia" w:ascii="仿宋_GB2312" w:hAnsi="仿宋_GB2312" w:eastAsia="仿宋_GB2312" w:cs="仿宋_GB2312"/>
          <w:lang w:eastAsia="zh-CN"/>
        </w:rPr>
        <w:t>网上公安办公室，</w:t>
      </w:r>
      <w:r>
        <w:rPr>
          <w:rFonts w:hint="eastAsia" w:ascii="仿宋_GB2312" w:hAnsi="仿宋_GB2312" w:eastAsia="仿宋_GB2312" w:cs="仿宋_GB2312"/>
        </w:rPr>
        <w:t>其他部门在办公室的统一协调下，负责具体实施各项推进工作。</w:t>
      </w:r>
      <w:r>
        <w:rPr>
          <w:rFonts w:hint="eastAsia" w:ascii="仿宋_GB2312" w:hAnsi="仿宋_GB2312" w:eastAsia="仿宋_GB2312" w:cs="仿宋_GB2312"/>
          <w:lang w:eastAsia="zh-CN"/>
        </w:rPr>
        <w:t>县局网上公安办公室</w:t>
      </w:r>
      <w:r>
        <w:rPr>
          <w:rFonts w:hint="eastAsia" w:ascii="仿宋_GB2312" w:hAnsi="仿宋_GB2312" w:eastAsia="仿宋_GB2312" w:cs="仿宋_GB2312"/>
        </w:rPr>
        <w:t>配备</w:t>
      </w:r>
      <w:r>
        <w:rPr>
          <w:rFonts w:hint="eastAsia" w:ascii="仿宋_GB2312" w:hAnsi="仿宋_GB2312" w:eastAsia="仿宋_GB2312" w:cs="仿宋_GB2312"/>
          <w:lang w:eastAsia="zh-CN"/>
        </w:rPr>
        <w:t>一名民警、两名辅警</w:t>
      </w:r>
      <w:r>
        <w:rPr>
          <w:rFonts w:hint="eastAsia" w:ascii="仿宋_GB2312" w:hAnsi="仿宋_GB2312" w:eastAsia="仿宋_GB2312" w:cs="仿宋_GB2312"/>
        </w:rPr>
        <w:t>专人负责政府信息发布、依申请公开受理、政府信息咨询等方面的联络协调工作，完善政务公开的各项制度。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县公安局结合实施政府信息公开工作的实际情况，不断完善工作规范和机制。一是制订《</w:t>
      </w:r>
      <w:r>
        <w:rPr>
          <w:rFonts w:hint="eastAsia" w:ascii="仿宋_GB2312" w:hAnsi="仿宋_GB2312" w:eastAsia="仿宋_GB2312" w:cs="仿宋_GB2312"/>
          <w:lang w:eastAsia="zh-CN"/>
        </w:rPr>
        <w:t>高青县公安局</w:t>
      </w:r>
      <w:r>
        <w:rPr>
          <w:rFonts w:hint="eastAsia" w:ascii="仿宋_GB2312" w:hAnsi="仿宋_GB2312" w:eastAsia="仿宋_GB2312" w:cs="仿宋_GB2312"/>
        </w:rPr>
        <w:t>政府信息公开实施细则》，进一步明确规范，细化标准。二是完善工作日常运行机制，建立了公安政府信息发布保密审查机制、协调机制、考核、评议和责任追究机制等。三是完善公文类信息公开属性审核机制，建立健全</w:t>
      </w:r>
      <w:r>
        <w:rPr>
          <w:rFonts w:hint="eastAsia" w:ascii="仿宋_GB2312" w:hAnsi="仿宋_GB2312" w:eastAsia="仿宋_GB2312" w:cs="仿宋_GB2312"/>
          <w:lang w:eastAsia="zh-CN"/>
        </w:rPr>
        <w:t>依法</w:t>
      </w:r>
      <w:r>
        <w:rPr>
          <w:rFonts w:hint="eastAsia" w:ascii="仿宋_GB2312" w:hAnsi="仿宋_GB2312" w:eastAsia="仿宋_GB2312" w:cs="仿宋_GB2312"/>
        </w:rPr>
        <w:t>申请公开内部处理程序等。印制了业务资料汇编和典型案例汇编，进一步加强业务指导，提升执法和服务水平。</w:t>
      </w:r>
      <w:r>
        <w:rPr>
          <w:rFonts w:hint="eastAsia" w:ascii="仿宋_GB2312" w:hAnsi="仿宋_GB2312" w:eastAsia="仿宋_GB2312" w:cs="仿宋_GB2312"/>
          <w:lang w:eastAsia="zh-CN"/>
        </w:rPr>
        <w:t>四是定期召开</w:t>
      </w:r>
      <w:r>
        <w:rPr>
          <w:rFonts w:hint="eastAsia" w:ascii="仿宋_GB2312" w:hAnsi="仿宋_GB2312" w:eastAsia="仿宋_GB2312" w:cs="仿宋_GB2312"/>
        </w:rPr>
        <w:t>政府信息公开</w:t>
      </w:r>
      <w:r>
        <w:rPr>
          <w:rFonts w:hint="eastAsia" w:ascii="仿宋_GB2312" w:hAnsi="仿宋_GB2312" w:eastAsia="仿宋_GB2312" w:cs="仿宋_GB2312"/>
          <w:lang w:eastAsia="zh-CN"/>
        </w:rPr>
        <w:t>培训会，</w:t>
      </w:r>
      <w:r>
        <w:rPr>
          <w:rFonts w:hint="eastAsia" w:ascii="仿宋_GB2312" w:hAnsi="仿宋_GB2312" w:eastAsia="仿宋_GB2312" w:cs="仿宋_GB2312"/>
        </w:rPr>
        <w:t>深入学习《中华人民共和国政府信息公开条例》，</w:t>
      </w:r>
      <w:r>
        <w:rPr>
          <w:rFonts w:hint="eastAsia" w:ascii="仿宋_GB2312" w:hAnsi="仿宋_GB2312" w:eastAsia="仿宋_GB2312" w:cs="仿宋_GB2312"/>
          <w:lang w:eastAsia="zh-CN"/>
        </w:rPr>
        <w:t>加强民警</w:t>
      </w:r>
      <w:r>
        <w:rPr>
          <w:rFonts w:hint="eastAsia" w:ascii="仿宋_GB2312" w:hAnsi="仿宋_GB2312" w:eastAsia="仿宋_GB2312" w:cs="仿宋_GB2312"/>
        </w:rPr>
        <w:t>对信息公开工作的认识，进一步提高政府信息公开工作</w:t>
      </w:r>
      <w:r>
        <w:rPr>
          <w:rFonts w:hint="eastAsia" w:ascii="仿宋_GB2312" w:hAnsi="仿宋_GB2312" w:eastAsia="仿宋_GB2312" w:cs="仿宋_GB2312"/>
          <w:lang w:eastAsia="zh-CN"/>
        </w:rPr>
        <w:t>的</w:t>
      </w:r>
      <w:r>
        <w:rPr>
          <w:rFonts w:hint="eastAsia" w:ascii="仿宋_GB2312" w:hAnsi="仿宋_GB2312" w:eastAsia="仿宋_GB2312" w:cs="仿宋_GB2312"/>
        </w:rPr>
        <w:t>水平。</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2020</w:t>
      </w:r>
      <w:r>
        <w:rPr>
          <w:rFonts w:hint="eastAsia" w:ascii="仿宋_GB2312" w:hAnsi="仿宋_GB2312" w:eastAsia="仿宋_GB2312" w:cs="仿宋_GB2312"/>
        </w:rPr>
        <w:t>年度，</w:t>
      </w:r>
      <w:r>
        <w:rPr>
          <w:rFonts w:hint="eastAsia" w:ascii="仿宋_GB2312" w:hAnsi="仿宋_GB2312" w:eastAsia="仿宋_GB2312" w:cs="仿宋_GB2312"/>
          <w:lang w:eastAsia="zh-CN"/>
        </w:rPr>
        <w:t>县公安</w:t>
      </w:r>
      <w:r>
        <w:rPr>
          <w:rFonts w:hint="eastAsia" w:ascii="仿宋_GB2312" w:hAnsi="仿宋_GB2312" w:eastAsia="仿宋_GB2312" w:cs="仿宋_GB2312"/>
        </w:rPr>
        <w:t>局在</w:t>
      </w:r>
      <w:r>
        <w:rPr>
          <w:rFonts w:hint="eastAsia" w:ascii="仿宋_GB2312" w:hAnsi="仿宋_GB2312" w:eastAsia="仿宋_GB2312" w:cs="仿宋_GB2312"/>
          <w:lang w:eastAsia="zh-CN"/>
        </w:rPr>
        <w:t>县</w:t>
      </w:r>
      <w:r>
        <w:rPr>
          <w:rFonts w:hint="eastAsia" w:ascii="仿宋_GB2312" w:hAnsi="仿宋_GB2312" w:eastAsia="仿宋_GB2312" w:cs="仿宋_GB2312"/>
        </w:rPr>
        <w:t>政务服务网站发布业务工作等</w:t>
      </w:r>
      <w:r>
        <w:rPr>
          <w:rFonts w:hint="eastAsia" w:ascii="仿宋_GB2312" w:hAnsi="仿宋_GB2312" w:eastAsia="仿宋_GB2312" w:cs="仿宋_GB2312"/>
          <w:lang w:eastAsia="zh-CN"/>
        </w:rPr>
        <w:t>各类</w:t>
      </w:r>
      <w:r>
        <w:rPr>
          <w:rFonts w:hint="eastAsia" w:ascii="仿宋_GB2312" w:hAnsi="仿宋_GB2312" w:eastAsia="仿宋_GB2312" w:cs="仿宋_GB2312"/>
        </w:rPr>
        <w:t>信息</w:t>
      </w:r>
      <w:r>
        <w:rPr>
          <w:rFonts w:hint="eastAsia" w:ascii="仿宋_GB2312" w:hAnsi="仿宋_GB2312" w:eastAsia="仿宋_GB2312" w:cs="仿宋_GB2312"/>
          <w:lang w:val="en-US" w:eastAsia="zh-CN"/>
        </w:rPr>
        <w:t>60</w:t>
      </w:r>
      <w:r>
        <w:rPr>
          <w:rFonts w:hint="eastAsia" w:ascii="仿宋_GB2312" w:hAnsi="仿宋_GB2312" w:eastAsia="仿宋_GB2312" w:cs="仿宋_GB2312"/>
        </w:rPr>
        <w:t>条，发布政府信息公开年报1篇、信息公开制度1篇、信息公开指南1篇</w:t>
      </w:r>
      <w:r>
        <w:rPr>
          <w:rFonts w:hint="eastAsia" w:ascii="仿宋_GB2312" w:hAnsi="仿宋_GB2312" w:eastAsia="仿宋_GB2312" w:cs="仿宋_GB2312"/>
          <w:lang w:eastAsia="zh-CN"/>
        </w:rPr>
        <w:t>；高青公安</w:t>
      </w:r>
      <w:r>
        <w:rPr>
          <w:rFonts w:hint="eastAsia" w:ascii="仿宋_GB2312" w:hAnsi="仿宋_GB2312" w:eastAsia="仿宋_GB2312" w:cs="仿宋_GB2312"/>
        </w:rPr>
        <w:t>微博公开信息</w:t>
      </w:r>
      <w:r>
        <w:rPr>
          <w:rFonts w:hint="eastAsia" w:ascii="仿宋_GB2312" w:hAnsi="仿宋_GB2312" w:eastAsia="仿宋_GB2312" w:cs="仿宋_GB2312"/>
          <w:lang w:val="en-US" w:eastAsia="zh-CN"/>
        </w:rPr>
        <w:t>120</w:t>
      </w:r>
      <w:r>
        <w:rPr>
          <w:rFonts w:hint="eastAsia" w:ascii="仿宋_GB2312" w:hAnsi="仿宋_GB2312" w:eastAsia="仿宋_GB2312" w:cs="仿宋_GB2312"/>
        </w:rPr>
        <w:t>条，</w:t>
      </w:r>
      <w:r>
        <w:rPr>
          <w:rFonts w:hint="eastAsia" w:ascii="仿宋_GB2312" w:hAnsi="仿宋_GB2312" w:eastAsia="仿宋_GB2312" w:cs="仿宋_GB2312"/>
          <w:lang w:eastAsia="zh-CN"/>
        </w:rPr>
        <w:t>高青公安</w:t>
      </w:r>
      <w:r>
        <w:rPr>
          <w:rFonts w:hint="eastAsia" w:ascii="仿宋_GB2312" w:hAnsi="仿宋_GB2312" w:eastAsia="仿宋_GB2312" w:cs="仿宋_GB2312"/>
        </w:rPr>
        <w:t>政务微信公开信息</w:t>
      </w:r>
      <w:r>
        <w:rPr>
          <w:rFonts w:hint="eastAsia" w:ascii="仿宋_GB2312" w:hAnsi="仿宋_GB2312" w:eastAsia="仿宋_GB2312" w:cs="仿宋_GB2312"/>
          <w:lang w:val="en-US" w:eastAsia="zh-CN"/>
        </w:rPr>
        <w:t>150</w:t>
      </w:r>
      <w:r>
        <w:rPr>
          <w:rFonts w:hint="eastAsia" w:ascii="仿宋_GB2312" w:hAnsi="仿宋_GB2312" w:eastAsia="仿宋_GB2312" w:cs="仿宋_GB2312"/>
        </w:rPr>
        <w:t>条</w:t>
      </w:r>
      <w:r>
        <w:rPr>
          <w:rFonts w:hint="eastAsia" w:ascii="仿宋_GB2312" w:hAnsi="仿宋_GB2312" w:eastAsia="仿宋_GB2312" w:cs="仿宋_GB2312"/>
          <w:lang w:eastAsia="zh-CN"/>
        </w:rPr>
        <w:t>；</w:t>
      </w:r>
      <w:r>
        <w:rPr>
          <w:rFonts w:hint="eastAsia" w:ascii="仿宋_GB2312" w:hAnsi="仿宋_GB2312" w:eastAsia="仿宋_GB2312" w:cs="仿宋_GB2312"/>
        </w:rPr>
        <w:t>共收到</w:t>
      </w:r>
      <w:r>
        <w:rPr>
          <w:rFonts w:hint="eastAsia" w:ascii="仿宋_GB2312" w:hAnsi="仿宋_GB2312" w:eastAsia="仿宋_GB2312" w:cs="仿宋_GB2312"/>
          <w:lang w:val="en-US" w:eastAsia="zh-CN"/>
        </w:rPr>
        <w:t>3</w:t>
      </w:r>
      <w:r>
        <w:rPr>
          <w:rFonts w:hint="eastAsia" w:ascii="仿宋_GB2312" w:hAnsi="仿宋_GB2312" w:eastAsia="仿宋_GB2312" w:cs="仿宋_GB2312"/>
        </w:rPr>
        <w:t>件政协委员提案，内容主要涉及</w:t>
      </w:r>
      <w:r>
        <w:rPr>
          <w:rFonts w:hint="eastAsia" w:ascii="仿宋_GB2312" w:hAnsi="仿宋_GB2312" w:eastAsia="仿宋_GB2312" w:cs="仿宋_GB2312"/>
          <w:lang w:eastAsia="zh-CN"/>
        </w:rPr>
        <w:t>打击防范</w:t>
      </w:r>
      <w:r>
        <w:rPr>
          <w:rFonts w:hint="eastAsia" w:ascii="仿宋_GB2312" w:hAnsi="仿宋_GB2312" w:eastAsia="仿宋_GB2312" w:cs="仿宋_GB2312"/>
        </w:rPr>
        <w:t>电信诈骗</w:t>
      </w:r>
      <w:r>
        <w:rPr>
          <w:rFonts w:hint="eastAsia" w:ascii="仿宋_GB2312" w:hAnsi="仿宋_GB2312" w:eastAsia="仿宋_GB2312" w:cs="仿宋_GB2312"/>
          <w:lang w:eastAsia="zh-CN"/>
        </w:rPr>
        <w:t>、</w:t>
      </w:r>
      <w:r>
        <w:rPr>
          <w:rFonts w:hint="eastAsia" w:ascii="仿宋_GB2312" w:hAnsi="仿宋_GB2312" w:eastAsia="仿宋_GB2312" w:cs="仿宋_GB2312"/>
        </w:rPr>
        <w:t>规范犬类管理</w:t>
      </w:r>
      <w:r>
        <w:rPr>
          <w:rFonts w:hint="eastAsia" w:ascii="仿宋_GB2312" w:hAnsi="仿宋_GB2312" w:eastAsia="仿宋_GB2312" w:cs="仿宋_GB2312"/>
          <w:lang w:eastAsia="zh-CN"/>
        </w:rPr>
        <w:t>和</w:t>
      </w:r>
      <w:r>
        <w:rPr>
          <w:rFonts w:hint="eastAsia" w:ascii="仿宋_GB2312" w:hAnsi="仿宋_GB2312" w:eastAsia="仿宋_GB2312" w:cs="仿宋_GB2312"/>
        </w:rPr>
        <w:t>公安部门摄像头加强管护</w:t>
      </w:r>
      <w:r>
        <w:rPr>
          <w:rFonts w:hint="eastAsia" w:ascii="仿宋_GB2312" w:hAnsi="仿宋_GB2312" w:eastAsia="仿宋_GB2312" w:cs="仿宋_GB2312"/>
          <w:lang w:eastAsia="zh-CN"/>
        </w:rPr>
        <w:t>等</w:t>
      </w:r>
      <w:r>
        <w:rPr>
          <w:rFonts w:hint="eastAsia" w:ascii="仿宋_GB2312" w:hAnsi="仿宋_GB2312" w:eastAsia="仿宋_GB2312" w:cs="仿宋_GB2312"/>
        </w:rPr>
        <w:t>问题。对待政协委员提案，本着对政协委员高度负责的精神，对每一件提案，都能认真调研，努力提高办理工作质量，不断探索办理工作的新思路、新方法，</w:t>
      </w:r>
      <w:r>
        <w:rPr>
          <w:rFonts w:hint="eastAsia" w:ascii="仿宋_GB2312" w:hAnsi="仿宋_GB2312" w:eastAsia="仿宋_GB2312" w:cs="仿宋_GB2312"/>
          <w:lang w:eastAsia="zh-CN"/>
        </w:rPr>
        <w:t>及时</w:t>
      </w:r>
      <w:r>
        <w:rPr>
          <w:rFonts w:hint="eastAsia" w:ascii="仿宋_GB2312" w:hAnsi="仿宋_GB2312" w:eastAsia="仿宋_GB2312" w:cs="仿宋_GB2312"/>
        </w:rPr>
        <w:t>办理、落实委员提案，提前完成办理工作，</w:t>
      </w:r>
      <w:r>
        <w:rPr>
          <w:rFonts w:hint="eastAsia" w:ascii="仿宋_GB2312" w:hAnsi="仿宋_GB2312" w:eastAsia="仿宋_GB2312" w:cs="仿宋_GB2312"/>
          <w:lang w:eastAsia="zh-CN"/>
        </w:rPr>
        <w:t>并主动公开办理结果，政协</w:t>
      </w:r>
      <w:r>
        <w:rPr>
          <w:rFonts w:hint="eastAsia" w:ascii="仿宋_GB2312" w:hAnsi="仿宋_GB2312" w:eastAsia="仿宋_GB2312" w:cs="仿宋_GB2312"/>
        </w:rPr>
        <w:t>委员对</w:t>
      </w:r>
      <w:r>
        <w:rPr>
          <w:rFonts w:hint="eastAsia" w:ascii="仿宋_GB2312" w:hAnsi="仿宋_GB2312" w:eastAsia="仿宋_GB2312" w:cs="仿宋_GB2312"/>
          <w:lang w:eastAsia="zh-CN"/>
        </w:rPr>
        <w:t>县</w:t>
      </w:r>
      <w:r>
        <w:rPr>
          <w:rFonts w:hint="eastAsia" w:ascii="仿宋_GB2312" w:hAnsi="仿宋_GB2312" w:eastAsia="仿宋_GB2312" w:cs="仿宋_GB2312"/>
        </w:rPr>
        <w:t>局主办件答复满意率100%。</w:t>
      </w:r>
      <w:r>
        <w:rPr>
          <w:rFonts w:hint="eastAsia" w:ascii="仿宋_GB2312" w:hAnsi="仿宋_GB2312" w:eastAsia="仿宋_GB2312" w:cs="仿宋_GB2312"/>
          <w:lang w:val="en-US" w:eastAsia="zh-CN"/>
        </w:rPr>
        <w:t>2020年比去年政府信息公开范围不断扩大，信息公开数量进一步增长，公开水平进一步提升。</w:t>
      </w:r>
    </w:p>
    <w:p>
      <w:pPr>
        <w:numPr>
          <w:ilvl w:val="0"/>
          <w:numId w:val="0"/>
        </w:numPr>
        <w:ind w:firstLine="640" w:firstLineChars="200"/>
        <w:rPr>
          <w:rFonts w:hint="eastAsia" w:ascii="楷体_GB2312" w:hAnsi="楷体_GB2312" w:eastAsia="楷体_GB2312" w:cs="楷体_GB2312"/>
        </w:rPr>
      </w:pPr>
      <w:r>
        <w:rPr>
          <w:rFonts w:hint="eastAsia" w:ascii="楷体_GB2312" w:hAnsi="黑体" w:eastAsia="楷体_GB2312"/>
          <w:sz w:val="32"/>
          <w:szCs w:val="32"/>
        </w:rPr>
        <w:t>（</w:t>
      </w:r>
      <w:r>
        <w:rPr>
          <w:rFonts w:hint="eastAsia" w:ascii="楷体_GB2312" w:hAnsi="黑体" w:eastAsia="楷体_GB2312"/>
          <w:sz w:val="32"/>
          <w:szCs w:val="32"/>
          <w:lang w:eastAsia="zh-CN"/>
        </w:rPr>
        <w:t>三</w:t>
      </w:r>
      <w:r>
        <w:rPr>
          <w:rFonts w:hint="eastAsia" w:ascii="楷体_GB2312" w:hAnsi="黑体" w:eastAsia="楷体_GB2312"/>
          <w:sz w:val="32"/>
          <w:szCs w:val="32"/>
        </w:rPr>
        <w:t>）</w:t>
      </w:r>
      <w:r>
        <w:rPr>
          <w:rFonts w:hint="eastAsia" w:ascii="楷体_GB2312" w:hAnsi="楷体_GB2312" w:eastAsia="楷体_GB2312" w:cs="楷体_GB2312"/>
        </w:rPr>
        <w:t>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1、收到和处理信息公开申请情况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2020年，我单位共收到政府信息公开申请1件，按时办结数1件。在办结的申请中：予以公开1件，不予公开0件，无法提供0件，不予处理0件，其他处理0件。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2、收费和减免情况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2020年，我单位在政府信息公开申请办理过程中，未收取任何费用。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2020年，本单位因政府信息公开被申请行政复议1件。其中，未经复议直接起诉0件，复议后起诉0件。在行政诉讼案件中，结果维持数0件，结果纠正数0件，尚未审结数0件，其他结果数0件。</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（四）政府信息管理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黑体" w:eastAsia="楷体_GB2312"/>
          <w:sz w:val="32"/>
          <w:szCs w:val="32"/>
        </w:rPr>
      </w:pPr>
      <w:r>
        <w:rPr>
          <w:rFonts w:hint="eastAsia" w:ascii="仿宋_GB2312" w:hAnsi="仿宋_GB2312" w:eastAsia="仿宋_GB2312" w:cs="仿宋_GB2312"/>
          <w:lang w:eastAsia="zh-CN"/>
        </w:rPr>
        <w:t>县公安</w:t>
      </w:r>
      <w:r>
        <w:rPr>
          <w:rFonts w:hint="eastAsia" w:ascii="仿宋_GB2312" w:hAnsi="仿宋_GB2312" w:eastAsia="仿宋_GB2312" w:cs="仿宋_GB2312"/>
        </w:rPr>
        <w:t>局积极主动地做好重点领域政府信息公开工作，完善了信息公开各项制度，对重点领域的行政许可事项、行政事业性收费等信息及时准确发布，不断提高工作的透明度。</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（五）平台建设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为</w:t>
      </w:r>
      <w:r>
        <w:rPr>
          <w:rFonts w:hint="eastAsia" w:ascii="仿宋_GB2312" w:hAnsi="仿宋_GB2312" w:eastAsia="仿宋_GB2312" w:cs="仿宋_GB2312"/>
        </w:rPr>
        <w:t>不断推进政府信息公开工作深入开展，</w:t>
      </w:r>
      <w:r>
        <w:rPr>
          <w:rFonts w:hint="eastAsia" w:ascii="仿宋_GB2312" w:hAnsi="仿宋_GB2312" w:eastAsia="仿宋_GB2312" w:cs="仿宋_GB2312"/>
          <w:lang w:eastAsia="zh-CN"/>
        </w:rPr>
        <w:t>县公安局</w:t>
      </w:r>
      <w:r>
        <w:rPr>
          <w:rFonts w:hint="eastAsia" w:ascii="仿宋_GB2312" w:hAnsi="仿宋_GB2312" w:eastAsia="仿宋_GB2312" w:cs="仿宋_GB2312"/>
        </w:rPr>
        <w:t>进一步加强政府网站信息保障，扩大新媒体应用途径，专门配备</w:t>
      </w:r>
      <w:r>
        <w:rPr>
          <w:rFonts w:hint="eastAsia" w:ascii="仿宋_GB2312" w:hAnsi="仿宋_GB2312" w:eastAsia="仿宋_GB2312" w:cs="仿宋_GB2312"/>
          <w:lang w:eastAsia="zh-CN"/>
        </w:rPr>
        <w:t>三名</w:t>
      </w:r>
      <w:r>
        <w:rPr>
          <w:rFonts w:hint="eastAsia" w:ascii="仿宋_GB2312" w:hAnsi="仿宋_GB2312" w:eastAsia="仿宋_GB2312" w:cs="仿宋_GB2312"/>
        </w:rPr>
        <w:t>工作人员，并</w:t>
      </w:r>
      <w:r>
        <w:rPr>
          <w:rFonts w:hint="eastAsia" w:ascii="仿宋_GB2312" w:hAnsi="仿宋_GB2312" w:eastAsia="仿宋_GB2312" w:cs="仿宋_GB2312"/>
          <w:lang w:eastAsia="zh-CN"/>
        </w:rPr>
        <w:t>通过高青网上公安局</w:t>
      </w:r>
      <w:r>
        <w:rPr>
          <w:rFonts w:hint="eastAsia" w:ascii="仿宋_GB2312" w:hAnsi="仿宋_GB2312" w:eastAsia="仿宋_GB2312" w:cs="仿宋_GB2312"/>
        </w:rPr>
        <w:t>网站、</w:t>
      </w:r>
      <w:r>
        <w:rPr>
          <w:rFonts w:hint="eastAsia" w:ascii="仿宋_GB2312" w:hAnsi="仿宋_GB2312" w:eastAsia="仿宋_GB2312" w:cs="仿宋_GB2312"/>
          <w:lang w:eastAsia="zh-CN"/>
        </w:rPr>
        <w:t>高青公安微博</w:t>
      </w:r>
      <w:r>
        <w:rPr>
          <w:rFonts w:hint="eastAsia" w:ascii="仿宋_GB2312" w:hAnsi="仿宋_GB2312" w:eastAsia="仿宋_GB2312" w:cs="仿宋_GB2312"/>
        </w:rPr>
        <w:t>、</w:t>
      </w:r>
      <w:r>
        <w:rPr>
          <w:rFonts w:hint="eastAsia" w:ascii="仿宋_GB2312" w:hAnsi="仿宋_GB2312" w:eastAsia="仿宋_GB2312" w:cs="仿宋_GB2312"/>
          <w:lang w:eastAsia="zh-CN"/>
        </w:rPr>
        <w:t>高青公安政务微信</w:t>
      </w:r>
      <w:r>
        <w:rPr>
          <w:rFonts w:hint="eastAsia" w:ascii="仿宋_GB2312" w:hAnsi="仿宋_GB2312" w:eastAsia="仿宋_GB2312" w:cs="仿宋_GB2312"/>
        </w:rPr>
        <w:t>、民生警务服务平台等多种渠道，主动为</w:t>
      </w:r>
      <w:r>
        <w:rPr>
          <w:rFonts w:hint="eastAsia" w:ascii="仿宋_GB2312" w:hAnsi="仿宋_GB2312" w:eastAsia="仿宋_GB2312" w:cs="仿宋_GB2312"/>
          <w:lang w:eastAsia="zh-CN"/>
        </w:rPr>
        <w:t>群众</w:t>
      </w:r>
      <w:r>
        <w:rPr>
          <w:rFonts w:hint="eastAsia" w:ascii="仿宋_GB2312" w:hAnsi="仿宋_GB2312" w:eastAsia="仿宋_GB2312" w:cs="仿宋_GB2312"/>
        </w:rPr>
        <w:t>提供公安政府信息公开服务。在推进政府信息公开制度的过程中，提高了工作效率和依法行政水平，方便了群众办事。</w:t>
      </w:r>
      <w:r>
        <w:rPr>
          <w:rFonts w:hint="eastAsia" w:ascii="仿宋_GB2312" w:hAnsi="仿宋_GB2312" w:eastAsia="仿宋_GB2312" w:cs="仿宋_GB2312"/>
          <w:lang w:val="en-US" w:eastAsia="zh-CN"/>
        </w:rPr>
        <w:t>2020</w:t>
      </w:r>
      <w:r>
        <w:rPr>
          <w:rFonts w:hint="eastAsia" w:ascii="仿宋_GB2312" w:hAnsi="仿宋_GB2312" w:eastAsia="仿宋_GB2312" w:cs="仿宋_GB2312"/>
        </w:rPr>
        <w:t>年，</w:t>
      </w:r>
      <w:r>
        <w:rPr>
          <w:rFonts w:hint="eastAsia" w:ascii="仿宋_GB2312" w:hAnsi="仿宋_GB2312" w:eastAsia="仿宋_GB2312" w:cs="仿宋_GB2312"/>
          <w:lang w:eastAsia="zh-CN"/>
        </w:rPr>
        <w:t>县公安局</w:t>
      </w:r>
      <w:r>
        <w:rPr>
          <w:rFonts w:hint="eastAsia" w:ascii="仿宋_GB2312" w:hAnsi="仿宋_GB2312" w:eastAsia="仿宋_GB2312" w:cs="仿宋_GB2312"/>
        </w:rPr>
        <w:t>政府信息公开工作运行正常，政府信息公开咨询、申请以及答复工作均获得群众好评。</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（六）监督保障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完善工作日常运行机制，建立了公安政府信息发布保密审查机制、协调机制、考核、评议和责任追究机制等。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lang w:eastAsia="zh-CN"/>
        </w:rPr>
        <w:t>定期召开</w:t>
      </w:r>
      <w:r>
        <w:rPr>
          <w:rFonts w:hint="eastAsia" w:ascii="仿宋_GB2312" w:hAnsi="仿宋_GB2312" w:eastAsia="仿宋_GB2312" w:cs="仿宋_GB2312"/>
        </w:rPr>
        <w:t>政府信息公开</w:t>
      </w:r>
      <w:r>
        <w:rPr>
          <w:rFonts w:hint="eastAsia" w:ascii="仿宋_GB2312" w:hAnsi="仿宋_GB2312" w:eastAsia="仿宋_GB2312" w:cs="仿宋_GB2312"/>
          <w:lang w:eastAsia="zh-CN"/>
        </w:rPr>
        <w:t>培训会，组织</w:t>
      </w:r>
      <w:r>
        <w:rPr>
          <w:rFonts w:hint="eastAsia" w:ascii="仿宋_GB2312" w:hAnsi="仿宋_GB2312" w:eastAsia="仿宋_GB2312" w:cs="仿宋_GB2312"/>
        </w:rPr>
        <w:t>深入学习《中华人民共和国政府信息公开条例》，</w:t>
      </w:r>
      <w:r>
        <w:rPr>
          <w:rFonts w:hint="eastAsia" w:ascii="仿宋_GB2312" w:hAnsi="仿宋_GB2312" w:eastAsia="仿宋_GB2312" w:cs="仿宋_GB2312"/>
          <w:lang w:eastAsia="zh-CN"/>
        </w:rPr>
        <w:t>加强民警</w:t>
      </w:r>
      <w:r>
        <w:rPr>
          <w:rFonts w:hint="eastAsia" w:ascii="仿宋_GB2312" w:hAnsi="仿宋_GB2312" w:eastAsia="仿宋_GB2312" w:cs="仿宋_GB2312"/>
        </w:rPr>
        <w:t>对信息公开工作的认识，进一步提高政府信息公开工作</w:t>
      </w:r>
      <w:r>
        <w:rPr>
          <w:rFonts w:hint="eastAsia" w:ascii="仿宋_GB2312" w:hAnsi="仿宋_GB2312" w:eastAsia="仿宋_GB2312" w:cs="仿宋_GB2312"/>
          <w:lang w:eastAsia="zh-CN"/>
        </w:rPr>
        <w:t>的</w:t>
      </w:r>
      <w:r>
        <w:rPr>
          <w:rFonts w:hint="eastAsia" w:ascii="仿宋_GB2312" w:hAnsi="仿宋_GB2312" w:eastAsia="仿宋_GB2312" w:cs="仿宋_GB2312"/>
        </w:rPr>
        <w:t>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对各单位政府信息公开年度工作，引入“网上评议”新形式，将监督权、评议权、参与权主动交给群众，使评估更具公正性和客观性。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spacing w:line="560" w:lineRule="exact"/>
        <w:ind w:firstLine="640" w:firstLineChars="200"/>
        <w:rPr>
          <w:rFonts w:ascii="黑体" w:hAnsi="黑体" w:eastAsia="黑体"/>
          <w:sz w:val="32"/>
          <w:szCs w:val="32"/>
        </w:rPr>
      </w:pPr>
    </w:p>
    <w:tbl>
      <w:tblPr>
        <w:tblStyle w:val="8"/>
        <w:tblW w:w="8705" w:type="dxa"/>
        <w:jc w:val="center"/>
        <w:tblLayout w:type="autofit"/>
        <w:tblCellMar>
          <w:top w:w="0" w:type="dxa"/>
          <w:left w:w="108" w:type="dxa"/>
          <w:bottom w:w="0" w:type="dxa"/>
          <w:right w:w="108" w:type="dxa"/>
        </w:tblCellMar>
      </w:tblPr>
      <w:tblGrid>
        <w:gridCol w:w="2752"/>
        <w:gridCol w:w="1984"/>
        <w:gridCol w:w="1985"/>
        <w:gridCol w:w="1984"/>
      </w:tblGrid>
      <w:tr>
        <w:tblPrEx>
          <w:tblCellMar>
            <w:top w:w="0" w:type="dxa"/>
            <w:left w:w="108" w:type="dxa"/>
            <w:bottom w:w="0" w:type="dxa"/>
            <w:right w:w="108" w:type="dxa"/>
          </w:tblCellMar>
        </w:tblPrEx>
        <w:trPr>
          <w:trHeight w:val="495" w:hRule="atLeast"/>
          <w:jc w:val="center"/>
        </w:trPr>
        <w:tc>
          <w:tcPr>
            <w:tcW w:w="870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cs="宋体"/>
                <w:b/>
                <w:color w:val="333333"/>
                <w:kern w:val="0"/>
                <w:sz w:val="24"/>
                <w:szCs w:val="24"/>
              </w:rPr>
            </w:pPr>
            <w:r>
              <w:rPr>
                <w:rFonts w:hint="eastAsia" w:ascii="宋体" w:hAnsi="宋体" w:cs="宋体"/>
                <w:b/>
                <w:color w:val="333333"/>
                <w:kern w:val="0"/>
                <w:sz w:val="24"/>
                <w:szCs w:val="24"/>
              </w:rPr>
              <w:t>第二十条第（一）项</w:t>
            </w:r>
          </w:p>
        </w:tc>
      </w:tr>
      <w:tr>
        <w:tblPrEx>
          <w:tblCellMar>
            <w:top w:w="0" w:type="dxa"/>
            <w:left w:w="108" w:type="dxa"/>
            <w:bottom w:w="0" w:type="dxa"/>
            <w:right w:w="108" w:type="dxa"/>
          </w:tblCellMar>
        </w:tblPrEx>
        <w:trPr>
          <w:trHeight w:val="88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本年新</w:t>
            </w:r>
            <w:r>
              <w:rPr>
                <w:rFonts w:hint="eastAsia" w:ascii="宋体" w:hAnsi="宋体" w:cs="宋体"/>
                <w:color w:val="333333"/>
                <w:kern w:val="0"/>
                <w:sz w:val="24"/>
                <w:szCs w:val="24"/>
              </w:rPr>
              <w:t>制作数量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本年新</w:t>
            </w:r>
            <w:r>
              <w:rPr>
                <w:rFonts w:hint="eastAsia" w:ascii="宋体" w:hAnsi="宋体" w:cs="宋体"/>
                <w:color w:val="333333"/>
                <w:kern w:val="0"/>
                <w:sz w:val="24"/>
                <w:szCs w:val="24"/>
              </w:rPr>
              <w:t>公开数量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对外公开总数量</w:t>
            </w:r>
          </w:p>
        </w:tc>
      </w:tr>
      <w:tr>
        <w:tblPrEx>
          <w:tblCellMar>
            <w:top w:w="0" w:type="dxa"/>
            <w:left w:w="108" w:type="dxa"/>
            <w:bottom w:w="0" w:type="dxa"/>
            <w:right w:w="108" w:type="dxa"/>
          </w:tblCellMar>
        </w:tblPrEx>
        <w:trPr>
          <w:trHeight w:val="69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规章</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0</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宋体" w:eastAsia="宋体" w:cs="宋体"/>
                <w:color w:val="333333"/>
                <w:kern w:val="0"/>
                <w:sz w:val="24"/>
                <w:szCs w:val="24"/>
                <w:lang w:val="en-US" w:eastAsia="zh-CN"/>
              </w:rPr>
            </w:pPr>
            <w:r>
              <w:rPr>
                <w:rFonts w:ascii="宋体"/>
                <w:color w:val="000000"/>
                <w:kern w:val="0"/>
                <w:sz w:val="24"/>
                <w:szCs w:val="24"/>
              </w:rPr>
              <w:t> </w:t>
            </w:r>
            <w:r>
              <w:rPr>
                <w:rFonts w:hint="eastAsia" w:ascii="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规范性文件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ascii="宋体" w:hAnsi="宋体" w:cs="宋体"/>
                <w:color w:val="000000"/>
                <w:kern w:val="0"/>
                <w:sz w:val="24"/>
                <w:szCs w:val="24"/>
              </w:rPr>
              <w:t xml:space="preserve">  </w:t>
            </w:r>
            <w:r>
              <w:rPr>
                <w:rFonts w:hint="eastAsia" w:ascii="宋体" w:hAnsi="宋体" w:cs="宋体"/>
                <w:color w:val="000000"/>
                <w:kern w:val="0"/>
                <w:sz w:val="24"/>
                <w:szCs w:val="24"/>
                <w:lang w:val="en-US" w:eastAsia="zh-CN"/>
              </w:rPr>
              <w:t>0</w:t>
            </w:r>
          </w:p>
        </w:tc>
        <w:tc>
          <w:tcPr>
            <w:tcW w:w="1985" w:type="dxa"/>
            <w:tcBorders>
              <w:top w:val="nil"/>
              <w:left w:val="nil"/>
              <w:bottom w:val="single" w:color="auto" w:sz="4" w:space="0"/>
              <w:right w:val="single" w:color="auto" w:sz="4" w:space="0"/>
            </w:tcBorders>
            <w:vAlign w:val="center"/>
          </w:tcPr>
          <w:p>
            <w:pPr>
              <w:widowControl/>
              <w:spacing w:line="360" w:lineRule="auto"/>
              <w:jc w:val="left"/>
              <w:rPr>
                <w:rFonts w:hint="eastAsia" w:ascii="宋体" w:eastAsia="宋体" w:cs="宋体"/>
                <w:color w:val="333333"/>
                <w:kern w:val="0"/>
                <w:sz w:val="24"/>
                <w:szCs w:val="24"/>
                <w:lang w:val="en-US" w:eastAsia="zh-CN"/>
              </w:rPr>
            </w:pPr>
            <w:r>
              <w:rPr>
                <w:rFonts w:ascii="宋体"/>
                <w:color w:val="000000"/>
                <w:kern w:val="0"/>
                <w:sz w:val="24"/>
                <w:szCs w:val="24"/>
              </w:rPr>
              <w:t> </w:t>
            </w:r>
            <w:r>
              <w:rPr>
                <w:rFonts w:hint="eastAsia" w:ascii="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r>
      <w:tr>
        <w:tblPrEx>
          <w:tblCellMar>
            <w:top w:w="0" w:type="dxa"/>
            <w:left w:w="108" w:type="dxa"/>
            <w:bottom w:w="0" w:type="dxa"/>
            <w:right w:w="108" w:type="dxa"/>
          </w:tblCellMar>
        </w:tblPrEx>
        <w:trPr>
          <w:trHeight w:val="480" w:hRule="atLeast"/>
          <w:jc w:val="center"/>
        </w:trPr>
        <w:tc>
          <w:tcPr>
            <w:tcW w:w="870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b/>
                <w:color w:val="333333"/>
                <w:kern w:val="0"/>
                <w:sz w:val="24"/>
                <w:szCs w:val="24"/>
              </w:rPr>
              <w:t>第二十条第（五）项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本年增</w:t>
            </w:r>
            <w:r>
              <w:rPr>
                <w:rFonts w:ascii="宋体" w:hAnsi="宋体" w:cs="宋体"/>
                <w:color w:val="000000"/>
                <w:kern w:val="0"/>
                <w:sz w:val="24"/>
                <w:szCs w:val="24"/>
              </w:rPr>
              <w:t>/</w:t>
            </w:r>
            <w:r>
              <w:rPr>
                <w:rFonts w:hint="eastAsia" w:ascii="宋体" w:hAnsi="宋体" w:cs="宋体"/>
                <w:color w:val="000000"/>
                <w:kern w:val="0"/>
                <w:sz w:val="24"/>
                <w:szCs w:val="24"/>
              </w:rPr>
              <w:t>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处理决定数量</w:t>
            </w:r>
          </w:p>
        </w:tc>
      </w:tr>
      <w:tr>
        <w:tblPrEx>
          <w:tblCellMar>
            <w:top w:w="0" w:type="dxa"/>
            <w:left w:w="108" w:type="dxa"/>
            <w:bottom w:w="0" w:type="dxa"/>
            <w:right w:w="108" w:type="dxa"/>
          </w:tblCellMar>
        </w:tblPrEx>
        <w:trPr>
          <w:trHeight w:val="6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行政许可</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23</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46</w:t>
            </w:r>
          </w:p>
        </w:tc>
      </w:tr>
      <w:tr>
        <w:tblPrEx>
          <w:tblCellMar>
            <w:top w:w="0" w:type="dxa"/>
            <w:left w:w="108" w:type="dxa"/>
            <w:bottom w:w="0" w:type="dxa"/>
            <w:right w:w="108" w:type="dxa"/>
          </w:tblCellMar>
        </w:tblPrEx>
        <w:trPr>
          <w:trHeight w:val="69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其他对外管理服务事项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7</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630</w:t>
            </w:r>
          </w:p>
        </w:tc>
      </w:tr>
      <w:tr>
        <w:tblPrEx>
          <w:tblCellMar>
            <w:top w:w="0" w:type="dxa"/>
            <w:left w:w="108" w:type="dxa"/>
            <w:bottom w:w="0" w:type="dxa"/>
            <w:right w:w="108" w:type="dxa"/>
          </w:tblCellMar>
        </w:tblPrEx>
        <w:trPr>
          <w:trHeight w:val="406" w:hRule="atLeast"/>
          <w:jc w:val="center"/>
        </w:trPr>
        <w:tc>
          <w:tcPr>
            <w:tcW w:w="870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b/>
                <w:color w:val="333333"/>
                <w:kern w:val="0"/>
                <w:sz w:val="24"/>
                <w:szCs w:val="24"/>
              </w:rPr>
              <w:t>第二十条第（六）项</w:t>
            </w:r>
          </w:p>
        </w:tc>
      </w:tr>
      <w:tr>
        <w:tblPrEx>
          <w:tblCellMar>
            <w:top w:w="0" w:type="dxa"/>
            <w:left w:w="108" w:type="dxa"/>
            <w:bottom w:w="0" w:type="dxa"/>
            <w:right w:w="108" w:type="dxa"/>
          </w:tblCellMar>
        </w:tblPrEx>
        <w:trPr>
          <w:trHeight w:val="63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信息内容</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上一年项目数量</w:t>
            </w:r>
          </w:p>
        </w:tc>
        <w:tc>
          <w:tcPr>
            <w:tcW w:w="19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本年增</w:t>
            </w:r>
            <w:r>
              <w:rPr>
                <w:rFonts w:ascii="宋体" w:hAnsi="宋体" w:cs="宋体"/>
                <w:color w:val="000000"/>
                <w:kern w:val="0"/>
                <w:sz w:val="24"/>
                <w:szCs w:val="24"/>
              </w:rPr>
              <w:t>/</w:t>
            </w:r>
            <w:r>
              <w:rPr>
                <w:rFonts w:hint="eastAsia" w:ascii="宋体" w:hAnsi="宋体" w:cs="宋体"/>
                <w:color w:val="000000"/>
                <w:kern w:val="0"/>
                <w:sz w:val="24"/>
                <w:szCs w:val="24"/>
              </w:rPr>
              <w:t>减</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处理决定数量</w:t>
            </w:r>
          </w:p>
        </w:tc>
      </w:tr>
      <w:tr>
        <w:tblPrEx>
          <w:tblCellMar>
            <w:top w:w="0" w:type="dxa"/>
            <w:left w:w="108" w:type="dxa"/>
            <w:bottom w:w="0" w:type="dxa"/>
            <w:right w:w="108" w:type="dxa"/>
          </w:tblCellMar>
        </w:tblPrEx>
        <w:trPr>
          <w:trHeight w:val="564"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行政处罚</w:t>
            </w:r>
          </w:p>
        </w:tc>
        <w:tc>
          <w:tcPr>
            <w:tcW w:w="1984"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111</w:t>
            </w:r>
          </w:p>
        </w:tc>
        <w:tc>
          <w:tcPr>
            <w:tcW w:w="1985" w:type="dxa"/>
            <w:tcBorders>
              <w:top w:val="single" w:color="auto" w:sz="4" w:space="0"/>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125</w:t>
            </w:r>
            <w:bookmarkStart w:id="0" w:name="_GoBack"/>
            <w:bookmarkEnd w:id="0"/>
          </w:p>
        </w:tc>
      </w:tr>
      <w:tr>
        <w:tblPrEx>
          <w:tblCellMar>
            <w:top w:w="0" w:type="dxa"/>
            <w:left w:w="108" w:type="dxa"/>
            <w:bottom w:w="0" w:type="dxa"/>
            <w:right w:w="108" w:type="dxa"/>
          </w:tblCellMar>
        </w:tblPrEx>
        <w:trPr>
          <w:trHeight w:val="57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行政强制</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24</w:t>
            </w:r>
          </w:p>
        </w:tc>
        <w:tc>
          <w:tcPr>
            <w:tcW w:w="198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0</w:t>
            </w:r>
          </w:p>
        </w:tc>
      </w:tr>
      <w:tr>
        <w:tblPrEx>
          <w:tblCellMar>
            <w:top w:w="0" w:type="dxa"/>
            <w:left w:w="108" w:type="dxa"/>
            <w:bottom w:w="0" w:type="dxa"/>
            <w:right w:w="108" w:type="dxa"/>
          </w:tblCellMar>
        </w:tblPrEx>
        <w:trPr>
          <w:trHeight w:val="474" w:hRule="atLeast"/>
          <w:jc w:val="center"/>
        </w:trPr>
        <w:tc>
          <w:tcPr>
            <w:tcW w:w="870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b/>
                <w:color w:val="333333"/>
                <w:kern w:val="0"/>
                <w:sz w:val="24"/>
                <w:szCs w:val="24"/>
              </w:rPr>
              <w:t>第二十条第（八）项</w:t>
            </w:r>
          </w:p>
        </w:tc>
      </w:tr>
      <w:tr>
        <w:tblPrEx>
          <w:tblCellMar>
            <w:top w:w="0" w:type="dxa"/>
            <w:left w:w="108" w:type="dxa"/>
            <w:bottom w:w="0" w:type="dxa"/>
            <w:right w:w="108" w:type="dxa"/>
          </w:tblCellMar>
        </w:tblPrEx>
        <w:trPr>
          <w:trHeight w:val="270"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上一年项目数量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本年增</w:t>
            </w:r>
            <w:r>
              <w:rPr>
                <w:rFonts w:ascii="宋体" w:hAnsi="宋体" w:cs="宋体"/>
                <w:color w:val="000000"/>
                <w:kern w:val="0"/>
                <w:sz w:val="24"/>
                <w:szCs w:val="24"/>
              </w:rPr>
              <w:t>/</w:t>
            </w:r>
            <w:r>
              <w:rPr>
                <w:rFonts w:hint="eastAsia" w:ascii="宋体" w:hAnsi="宋体" w:cs="宋体"/>
                <w:color w:val="000000"/>
                <w:kern w:val="0"/>
                <w:sz w:val="24"/>
                <w:szCs w:val="24"/>
              </w:rPr>
              <w:t>减</w:t>
            </w:r>
          </w:p>
        </w:tc>
      </w:tr>
      <w:tr>
        <w:tblPrEx>
          <w:tblCellMar>
            <w:top w:w="0" w:type="dxa"/>
            <w:left w:w="108" w:type="dxa"/>
            <w:bottom w:w="0" w:type="dxa"/>
            <w:right w:w="108" w:type="dxa"/>
          </w:tblCellMar>
        </w:tblPrEx>
        <w:trPr>
          <w:trHeight w:val="722"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行政事业性收费</w:t>
            </w:r>
          </w:p>
        </w:tc>
        <w:tc>
          <w:tcPr>
            <w:tcW w:w="198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eastAsia="宋体" w:cs="宋体"/>
                <w:color w:val="333333"/>
                <w:kern w:val="0"/>
                <w:sz w:val="24"/>
                <w:szCs w:val="24"/>
                <w:lang w:val="en-US" w:eastAsia="zh-CN"/>
              </w:rPr>
            </w:pPr>
            <w:r>
              <w:rPr>
                <w:rFonts w:hint="eastAsia" w:ascii="宋体" w:hAnsi="宋体" w:cs="宋体"/>
                <w:color w:val="000000"/>
                <w:kern w:val="0"/>
                <w:sz w:val="24"/>
                <w:szCs w:val="24"/>
              </w:rPr>
              <w:t>　</w:t>
            </w:r>
            <w:r>
              <w:rPr>
                <w:rFonts w:hint="eastAsia" w:ascii="宋体" w:hAnsi="宋体" w:cs="宋体"/>
                <w:color w:val="000000"/>
                <w:kern w:val="0"/>
                <w:sz w:val="24"/>
                <w:szCs w:val="24"/>
                <w:lang w:val="en-US" w:eastAsia="zh-CN"/>
              </w:rPr>
              <w:t>3</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cs="宋体"/>
                <w:color w:val="333333"/>
                <w:kern w:val="0"/>
                <w:sz w:val="24"/>
                <w:szCs w:val="24"/>
              </w:rPr>
            </w:pPr>
            <w:r>
              <w:rPr>
                <w:rFonts w:hint="eastAsia" w:ascii="宋体"/>
                <w:color w:val="000000"/>
                <w:kern w:val="0"/>
                <w:sz w:val="24"/>
                <w:szCs w:val="24"/>
                <w:lang w:val="en-US" w:eastAsia="zh-CN"/>
              </w:rPr>
              <w:t>0</w:t>
            </w:r>
            <w:r>
              <w:rPr>
                <w:rFonts w:ascii="宋体"/>
                <w:color w:val="000000"/>
                <w:kern w:val="0"/>
                <w:sz w:val="24"/>
                <w:szCs w:val="24"/>
              </w:rPr>
              <w:t> </w:t>
            </w:r>
          </w:p>
        </w:tc>
      </w:tr>
      <w:tr>
        <w:tblPrEx>
          <w:tblCellMar>
            <w:top w:w="0" w:type="dxa"/>
            <w:left w:w="108" w:type="dxa"/>
            <w:bottom w:w="0" w:type="dxa"/>
            <w:right w:w="108" w:type="dxa"/>
          </w:tblCellMar>
        </w:tblPrEx>
        <w:trPr>
          <w:trHeight w:val="476" w:hRule="atLeast"/>
          <w:jc w:val="center"/>
        </w:trPr>
        <w:tc>
          <w:tcPr>
            <w:tcW w:w="8705"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b/>
                <w:color w:val="333333"/>
                <w:kern w:val="0"/>
                <w:sz w:val="24"/>
                <w:szCs w:val="24"/>
              </w:rPr>
              <w:t>第二十条第（九）项</w:t>
            </w:r>
          </w:p>
        </w:tc>
      </w:tr>
      <w:tr>
        <w:tblPrEx>
          <w:tblCellMar>
            <w:top w:w="0" w:type="dxa"/>
            <w:left w:w="108" w:type="dxa"/>
            <w:bottom w:w="0" w:type="dxa"/>
            <w:right w:w="108" w:type="dxa"/>
          </w:tblCellMar>
        </w:tblPrEx>
        <w:trPr>
          <w:trHeight w:val="585"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信息内容</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采购项目数量</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cs="宋体"/>
                <w:color w:val="333333"/>
                <w:kern w:val="0"/>
                <w:sz w:val="24"/>
                <w:szCs w:val="24"/>
              </w:rPr>
            </w:pPr>
            <w:r>
              <w:rPr>
                <w:rFonts w:hint="eastAsia" w:ascii="宋体" w:hAnsi="宋体" w:cs="宋体"/>
                <w:color w:val="000000"/>
                <w:kern w:val="0"/>
                <w:sz w:val="24"/>
                <w:szCs w:val="24"/>
              </w:rPr>
              <w:t>采购总金额</w:t>
            </w:r>
          </w:p>
        </w:tc>
      </w:tr>
      <w:tr>
        <w:tblPrEx>
          <w:tblCellMar>
            <w:top w:w="0" w:type="dxa"/>
            <w:left w:w="108" w:type="dxa"/>
            <w:bottom w:w="0" w:type="dxa"/>
            <w:right w:w="108" w:type="dxa"/>
          </w:tblCellMar>
        </w:tblPrEx>
        <w:trPr>
          <w:trHeight w:val="748" w:hRule="atLeast"/>
          <w:jc w:val="center"/>
        </w:trPr>
        <w:tc>
          <w:tcPr>
            <w:tcW w:w="2752"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cs="宋体"/>
                <w:color w:val="333333"/>
                <w:kern w:val="0"/>
                <w:sz w:val="24"/>
                <w:szCs w:val="24"/>
              </w:rPr>
            </w:pPr>
            <w:r>
              <w:rPr>
                <w:rFonts w:hint="eastAsia" w:ascii="宋体" w:hAnsi="宋体" w:cs="宋体"/>
                <w:color w:val="000000"/>
                <w:kern w:val="0"/>
                <w:sz w:val="24"/>
                <w:szCs w:val="24"/>
              </w:rPr>
              <w:t>政府集中采购</w:t>
            </w:r>
          </w:p>
        </w:tc>
        <w:tc>
          <w:tcPr>
            <w:tcW w:w="1984"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eastAsia="宋体" w:cs="宋体"/>
                <w:color w:val="333333"/>
                <w:kern w:val="0"/>
                <w:sz w:val="24"/>
                <w:szCs w:val="24"/>
                <w:lang w:val="en-US" w:eastAsia="zh-CN"/>
              </w:rPr>
            </w:pPr>
            <w:r>
              <w:rPr>
                <w:rFonts w:hint="eastAsia" w:ascii="宋体" w:hAnsi="宋体" w:cs="宋体"/>
                <w:color w:val="000000"/>
                <w:kern w:val="0"/>
                <w:sz w:val="24"/>
                <w:szCs w:val="24"/>
                <w:lang w:val="en-US" w:eastAsia="zh-CN"/>
              </w:rPr>
              <w:t>18</w:t>
            </w:r>
          </w:p>
        </w:tc>
        <w:tc>
          <w:tcPr>
            <w:tcW w:w="3969"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eastAsia" w:ascii="宋体" w:eastAsia="宋体" w:cs="宋体"/>
                <w:color w:val="333333"/>
                <w:kern w:val="0"/>
                <w:sz w:val="24"/>
                <w:szCs w:val="24"/>
                <w:lang w:val="en-US" w:eastAsia="zh-CN"/>
              </w:rPr>
            </w:pPr>
            <w:r>
              <w:rPr>
                <w:rFonts w:hint="eastAsia" w:ascii="宋体" w:cs="宋体"/>
                <w:color w:val="333333"/>
                <w:kern w:val="0"/>
                <w:sz w:val="24"/>
                <w:szCs w:val="24"/>
                <w:lang w:val="en-US" w:eastAsia="zh-CN"/>
              </w:rPr>
              <w:t>189.63万元</w:t>
            </w:r>
          </w:p>
        </w:tc>
      </w:tr>
    </w:tbl>
    <w:p>
      <w:pPr>
        <w:spacing w:line="560" w:lineRule="exact"/>
        <w:rPr>
          <w:rFonts w:ascii="仿宋_GB2312" w:eastAsia="仿宋_GB2312"/>
          <w:sz w:val="32"/>
          <w:szCs w:val="32"/>
        </w:rPr>
      </w:pPr>
    </w:p>
    <w:p>
      <w:pPr>
        <w:spacing w:line="560" w:lineRule="exact"/>
        <w:ind w:firstLine="640" w:firstLineChars="200"/>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vAlign w:val="center"/>
          </w:tcPr>
          <w:p>
            <w:pPr>
              <w:widowControl/>
              <w:jc w:val="center"/>
              <w:rPr>
                <w:rFonts w:ascii="宋体" w:cs="宋体"/>
                <w:color w:val="333333"/>
                <w:kern w:val="0"/>
                <w:szCs w:val="21"/>
              </w:rPr>
            </w:pPr>
            <w:r>
              <w:rPr>
                <w:rFonts w:hint="eastAsia"/>
                <w:color w:val="333333"/>
                <w:szCs w:val="21"/>
              </w:rPr>
              <w:t>（本列数据的勾稽关系为：第一项加第二项之和，等于第三项加第四项之和）</w:t>
            </w:r>
          </w:p>
        </w:tc>
        <w:tc>
          <w:tcPr>
            <w:tcW w:w="5592" w:type="dxa"/>
            <w:gridSpan w:val="7"/>
            <w:tcBorders>
              <w:left w:val="nil"/>
            </w:tcBorders>
            <w:vAlign w:val="center"/>
          </w:tcPr>
          <w:p>
            <w:pPr>
              <w:widowControl/>
              <w:jc w:val="center"/>
              <w:rPr>
                <w:rFonts w:ascii="宋体" w:cs="宋体"/>
                <w:color w:val="333333"/>
                <w:kern w:val="0"/>
                <w:szCs w:val="21"/>
              </w:rPr>
            </w:pPr>
            <w:r>
              <w:rPr>
                <w:rFonts w:hint="eastAsia"/>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vAlign w:val="center"/>
          </w:tcPr>
          <w:p>
            <w:pPr>
              <w:widowControl/>
              <w:jc w:val="left"/>
              <w:rPr>
                <w:rFonts w:ascii="宋体" w:cs="宋体"/>
                <w:color w:val="333333"/>
                <w:kern w:val="0"/>
                <w:szCs w:val="21"/>
              </w:rPr>
            </w:pPr>
          </w:p>
        </w:tc>
        <w:tc>
          <w:tcPr>
            <w:tcW w:w="825" w:type="dxa"/>
            <w:vMerge w:val="restart"/>
            <w:tcBorders>
              <w:top w:val="nil"/>
              <w:left w:val="nil"/>
            </w:tcBorders>
            <w:vAlign w:val="center"/>
          </w:tcPr>
          <w:p>
            <w:pPr>
              <w:widowControl/>
              <w:jc w:val="center"/>
              <w:rPr>
                <w:rFonts w:ascii="宋体" w:cs="宋体"/>
                <w:color w:val="333333"/>
                <w:kern w:val="0"/>
                <w:szCs w:val="21"/>
              </w:rPr>
            </w:pPr>
            <w:r>
              <w:rPr>
                <w:rFonts w:hint="eastAsia"/>
                <w:color w:val="333333"/>
                <w:szCs w:val="21"/>
              </w:rPr>
              <w:t>自然人</w:t>
            </w:r>
          </w:p>
        </w:tc>
        <w:tc>
          <w:tcPr>
            <w:tcW w:w="4065" w:type="dxa"/>
            <w:gridSpan w:val="5"/>
            <w:tcBorders>
              <w:left w:val="nil"/>
            </w:tcBorders>
            <w:vAlign w:val="center"/>
          </w:tcPr>
          <w:p>
            <w:pPr>
              <w:widowControl/>
              <w:jc w:val="center"/>
              <w:rPr>
                <w:rFonts w:ascii="宋体" w:cs="宋体"/>
                <w:color w:val="333333"/>
                <w:kern w:val="0"/>
                <w:szCs w:val="21"/>
              </w:rPr>
            </w:pPr>
            <w:r>
              <w:rPr>
                <w:rFonts w:hint="eastAsia"/>
                <w:color w:val="333333"/>
                <w:szCs w:val="21"/>
              </w:rPr>
              <w:t>法人或其他组织</w:t>
            </w:r>
          </w:p>
        </w:tc>
        <w:tc>
          <w:tcPr>
            <w:tcW w:w="702" w:type="dxa"/>
            <w:vMerge w:val="restart"/>
            <w:tcBorders>
              <w:left w:val="nil"/>
            </w:tcBorders>
            <w:vAlign w:val="center"/>
          </w:tcPr>
          <w:p>
            <w:pPr>
              <w:widowControl/>
              <w:jc w:val="center"/>
              <w:rPr>
                <w:rFonts w:ascii="宋体" w:cs="宋体"/>
                <w:color w:val="333333"/>
                <w:kern w:val="0"/>
                <w:szCs w:val="21"/>
              </w:rPr>
            </w:pPr>
            <w:r>
              <w:rPr>
                <w:rFonts w:hint="eastAsia"/>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4" w:type="dxa"/>
            <w:gridSpan w:val="3"/>
            <w:vMerge w:val="continue"/>
            <w:vAlign w:val="center"/>
          </w:tcPr>
          <w:p>
            <w:pPr>
              <w:widowControl/>
              <w:jc w:val="left"/>
              <w:rPr>
                <w:rFonts w:ascii="宋体" w:cs="宋体"/>
                <w:color w:val="333333"/>
                <w:kern w:val="0"/>
                <w:szCs w:val="21"/>
              </w:rPr>
            </w:pPr>
          </w:p>
        </w:tc>
        <w:tc>
          <w:tcPr>
            <w:tcW w:w="5592" w:type="dxa"/>
            <w:vMerge w:val="continue"/>
            <w:tcBorders>
              <w:top w:val="nil"/>
              <w:left w:val="nil"/>
            </w:tcBorders>
            <w:vAlign w:val="center"/>
          </w:tcPr>
          <w:p>
            <w:pPr>
              <w:widowControl/>
              <w:jc w:val="left"/>
              <w:rPr>
                <w:rFonts w:ascii="宋体" w:cs="宋体"/>
                <w:color w:val="333333"/>
                <w:kern w:val="0"/>
                <w:szCs w:val="21"/>
              </w:rPr>
            </w:pP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rPr>
              <w:t>商业企业</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rPr>
              <w:t>科研机构</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rPr>
              <w:t>社会公益组织</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rPr>
              <w:t>法律服务机构</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rPr>
              <w:t>其他</w:t>
            </w:r>
          </w:p>
        </w:tc>
        <w:tc>
          <w:tcPr>
            <w:tcW w:w="702" w:type="dxa"/>
            <w:vMerge w:val="continue"/>
            <w:tcBorders>
              <w:left w:val="nil"/>
            </w:tcBorders>
            <w:vAlign w:val="center"/>
          </w:tcPr>
          <w:p>
            <w:pPr>
              <w:widowControl/>
              <w:jc w:val="left"/>
              <w:rPr>
                <w:rFonts w:ascii="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vAlign w:val="center"/>
          </w:tcPr>
          <w:p>
            <w:pPr>
              <w:widowControl/>
              <w:jc w:val="left"/>
              <w:rPr>
                <w:rFonts w:ascii="宋体" w:cs="宋体"/>
                <w:color w:val="333333"/>
                <w:kern w:val="0"/>
                <w:szCs w:val="21"/>
              </w:rPr>
            </w:pPr>
            <w:r>
              <w:rPr>
                <w:rFonts w:hint="eastAsia"/>
                <w:color w:val="333333"/>
                <w:szCs w:val="21"/>
              </w:rPr>
              <w:t>一、本年新收政府信息公开申请数量</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1</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1</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vAlign w:val="center"/>
          </w:tcPr>
          <w:p>
            <w:pPr>
              <w:widowControl/>
              <w:jc w:val="left"/>
              <w:rPr>
                <w:rFonts w:ascii="宋体" w:cs="宋体"/>
                <w:color w:val="333333"/>
                <w:kern w:val="0"/>
                <w:szCs w:val="21"/>
              </w:rPr>
            </w:pPr>
            <w:r>
              <w:rPr>
                <w:rFonts w:hint="eastAsia"/>
                <w:color w:val="333333"/>
                <w:szCs w:val="21"/>
              </w:rPr>
              <w:t>二、上年结转政府信息公开申请数量</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tcBorders>
            <w:vAlign w:val="center"/>
          </w:tcPr>
          <w:p>
            <w:pPr>
              <w:widowControl/>
              <w:jc w:val="center"/>
              <w:rPr>
                <w:rFonts w:ascii="宋体" w:cs="宋体"/>
                <w:color w:val="333333"/>
                <w:kern w:val="0"/>
                <w:szCs w:val="21"/>
              </w:rPr>
            </w:pPr>
            <w:r>
              <w:rPr>
                <w:rFonts w:hint="eastAsia"/>
                <w:color w:val="333333"/>
                <w:szCs w:val="21"/>
              </w:rPr>
              <w:t>三、本年度办理结果</w:t>
            </w:r>
          </w:p>
        </w:tc>
        <w:tc>
          <w:tcPr>
            <w:tcW w:w="2985" w:type="dxa"/>
            <w:gridSpan w:val="2"/>
            <w:tcBorders>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（一）予以公开</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1</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1</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gridSpan w:val="2"/>
            <w:tcBorders>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855" w:type="dxa"/>
            <w:vMerge w:val="restart"/>
            <w:tcBorders>
              <w:top w:val="nil"/>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（三）不予公开</w:t>
            </w: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1.</w:t>
            </w:r>
            <w:r>
              <w:rPr>
                <w:rFonts w:hint="eastAsia" w:ascii="楷体" w:hAnsi="楷体" w:eastAsia="楷体" w:cs="宋体"/>
                <w:color w:val="333333"/>
                <w:szCs w:val="21"/>
              </w:rPr>
              <w:t>属于国家秘密</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2.</w:t>
            </w:r>
            <w:r>
              <w:rPr>
                <w:rFonts w:hint="eastAsia" w:ascii="楷体" w:hAnsi="楷体" w:eastAsia="楷体" w:cs="宋体"/>
                <w:color w:val="333333"/>
                <w:szCs w:val="21"/>
              </w:rPr>
              <w:t>其他法律行政法规禁止公开</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3.</w:t>
            </w:r>
            <w:r>
              <w:rPr>
                <w:rFonts w:hint="eastAsia" w:ascii="楷体" w:hAnsi="楷体" w:eastAsia="楷体" w:cs="宋体"/>
                <w:color w:val="333333"/>
                <w:szCs w:val="21"/>
              </w:rPr>
              <w:t>危及“三安全一稳定”</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4.</w:t>
            </w:r>
            <w:r>
              <w:rPr>
                <w:rFonts w:hint="eastAsia" w:ascii="楷体" w:hAnsi="楷体" w:eastAsia="楷体" w:cs="宋体"/>
                <w:color w:val="333333"/>
                <w:szCs w:val="21"/>
              </w:rPr>
              <w:t>保护第三方合法权益</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5.</w:t>
            </w:r>
            <w:r>
              <w:rPr>
                <w:rFonts w:hint="eastAsia" w:ascii="楷体" w:hAnsi="楷体" w:eastAsia="楷体" w:cs="宋体"/>
                <w:color w:val="333333"/>
                <w:szCs w:val="21"/>
              </w:rPr>
              <w:t>属于三类内部事务信息</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6.</w:t>
            </w:r>
            <w:r>
              <w:rPr>
                <w:rFonts w:hint="eastAsia" w:ascii="楷体" w:hAnsi="楷体" w:eastAsia="楷体" w:cs="宋体"/>
                <w:color w:val="333333"/>
                <w:szCs w:val="21"/>
              </w:rPr>
              <w:t>属于四类过程性信息</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7.</w:t>
            </w:r>
            <w:r>
              <w:rPr>
                <w:rFonts w:hint="eastAsia" w:ascii="楷体" w:hAnsi="楷体" w:eastAsia="楷体" w:cs="宋体"/>
                <w:color w:val="333333"/>
                <w:szCs w:val="21"/>
              </w:rPr>
              <w:t>属于行政执法案卷</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02"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8.</w:t>
            </w:r>
            <w:r>
              <w:rPr>
                <w:rFonts w:hint="eastAsia" w:ascii="楷体" w:hAnsi="楷体" w:eastAsia="楷体" w:cs="宋体"/>
                <w:color w:val="333333"/>
                <w:szCs w:val="21"/>
              </w:rPr>
              <w:t>属于行政查询事项</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2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855" w:type="dxa"/>
            <w:vMerge w:val="restart"/>
            <w:tcBorders>
              <w:top w:val="nil"/>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（四）无法提供</w:t>
            </w: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1.</w:t>
            </w:r>
            <w:r>
              <w:rPr>
                <w:rFonts w:hint="eastAsia" w:ascii="楷体" w:hAnsi="楷体" w:eastAsia="楷体" w:cs="宋体"/>
                <w:color w:val="333333"/>
                <w:szCs w:val="21"/>
              </w:rPr>
              <w:t>本机关不掌握相关政府信息</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2.</w:t>
            </w:r>
            <w:r>
              <w:rPr>
                <w:rFonts w:hint="eastAsia" w:ascii="楷体" w:hAnsi="楷体" w:eastAsia="楷体" w:cs="宋体"/>
                <w:color w:val="333333"/>
                <w:szCs w:val="21"/>
              </w:rPr>
              <w:t>没有现成信息需要另行制作</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3.</w:t>
            </w:r>
            <w:r>
              <w:rPr>
                <w:rFonts w:hint="eastAsia" w:ascii="楷体" w:hAnsi="楷体" w:eastAsia="楷体" w:cs="宋体"/>
                <w:color w:val="333333"/>
                <w:szCs w:val="21"/>
              </w:rPr>
              <w:t>补正后申请内容仍不明确</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855" w:type="dxa"/>
            <w:vMerge w:val="restart"/>
            <w:tcBorders>
              <w:top w:val="nil"/>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（五）不予处理</w:t>
            </w: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1.</w:t>
            </w:r>
            <w:r>
              <w:rPr>
                <w:rFonts w:hint="eastAsia" w:ascii="楷体" w:hAnsi="楷体" w:eastAsia="楷体" w:cs="宋体"/>
                <w:color w:val="333333"/>
                <w:szCs w:val="21"/>
              </w:rPr>
              <w:t>信访举报投诉类申请</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2.</w:t>
            </w:r>
            <w:r>
              <w:rPr>
                <w:rFonts w:hint="eastAsia" w:ascii="楷体" w:hAnsi="楷体" w:eastAsia="楷体" w:cs="宋体"/>
                <w:color w:val="333333"/>
                <w:szCs w:val="21"/>
              </w:rPr>
              <w:t>重复申请</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3.</w:t>
            </w:r>
            <w:r>
              <w:rPr>
                <w:rFonts w:hint="eastAsia" w:ascii="楷体" w:hAnsi="楷体" w:eastAsia="楷体" w:cs="宋体"/>
                <w:color w:val="333333"/>
                <w:szCs w:val="21"/>
              </w:rPr>
              <w:t>要求提供公开出版物</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4.</w:t>
            </w:r>
            <w:r>
              <w:rPr>
                <w:rFonts w:hint="eastAsia" w:ascii="楷体" w:hAnsi="楷体" w:eastAsia="楷体" w:cs="宋体"/>
                <w:color w:val="333333"/>
                <w:szCs w:val="21"/>
              </w:rPr>
              <w:t>无正当理由大量反复申请</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vMerge w:val="continue"/>
            <w:tcBorders>
              <w:top w:val="nil"/>
              <w:left w:val="nil"/>
            </w:tcBorders>
            <w:vAlign w:val="center"/>
          </w:tcPr>
          <w:p>
            <w:pPr>
              <w:widowControl/>
              <w:jc w:val="left"/>
              <w:rPr>
                <w:rFonts w:ascii="宋体" w:cs="宋体"/>
                <w:color w:val="333333"/>
                <w:kern w:val="0"/>
                <w:szCs w:val="21"/>
              </w:rPr>
            </w:pPr>
          </w:p>
        </w:tc>
        <w:tc>
          <w:tcPr>
            <w:tcW w:w="2130" w:type="dxa"/>
            <w:tcBorders>
              <w:left w:val="nil"/>
            </w:tcBorders>
            <w:vAlign w:val="center"/>
          </w:tcPr>
          <w:p>
            <w:pPr>
              <w:widowControl/>
              <w:jc w:val="left"/>
              <w:rPr>
                <w:rFonts w:ascii="宋体" w:cs="宋体"/>
                <w:color w:val="333333"/>
                <w:kern w:val="0"/>
                <w:szCs w:val="21"/>
              </w:rPr>
            </w:pPr>
            <w:r>
              <w:rPr>
                <w:rFonts w:ascii="楷体" w:hAnsi="楷体" w:eastAsia="楷体" w:cs="宋体"/>
                <w:color w:val="333333"/>
                <w:szCs w:val="21"/>
              </w:rPr>
              <w:t>5.</w:t>
            </w:r>
            <w:r>
              <w:rPr>
                <w:rFonts w:hint="eastAsia" w:ascii="楷体" w:hAnsi="楷体" w:eastAsia="楷体" w:cs="宋体"/>
                <w:color w:val="333333"/>
                <w:szCs w:val="21"/>
              </w:rPr>
              <w:t>要求行政机关确认或重新出具已获取信息</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gridSpan w:val="2"/>
            <w:tcBorders>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（六）其他处理</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vMerge w:val="continue"/>
            <w:tcBorders>
              <w:top w:val="nil"/>
            </w:tcBorders>
            <w:vAlign w:val="center"/>
          </w:tcPr>
          <w:p>
            <w:pPr>
              <w:widowControl/>
              <w:jc w:val="left"/>
              <w:rPr>
                <w:rFonts w:ascii="宋体" w:cs="宋体"/>
                <w:color w:val="333333"/>
                <w:kern w:val="0"/>
                <w:szCs w:val="21"/>
              </w:rPr>
            </w:pPr>
          </w:p>
        </w:tc>
        <w:tc>
          <w:tcPr>
            <w:tcW w:w="2985" w:type="dxa"/>
            <w:gridSpan w:val="2"/>
            <w:tcBorders>
              <w:left w:val="nil"/>
            </w:tcBorders>
            <w:vAlign w:val="center"/>
          </w:tcPr>
          <w:p>
            <w:pPr>
              <w:widowControl/>
              <w:jc w:val="left"/>
              <w:rPr>
                <w:rFonts w:ascii="宋体" w:cs="宋体"/>
                <w:color w:val="333333"/>
                <w:kern w:val="0"/>
                <w:szCs w:val="21"/>
              </w:rPr>
            </w:pPr>
            <w:r>
              <w:rPr>
                <w:rFonts w:hint="eastAsia" w:ascii="楷体" w:hAnsi="楷体" w:eastAsia="楷体" w:cs="宋体"/>
                <w:color w:val="333333"/>
                <w:szCs w:val="21"/>
              </w:rPr>
              <w:t>（七）总计</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1</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02"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1</w:t>
            </w:r>
            <w:r>
              <w:rPr>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Align w:val="center"/>
          </w:tcPr>
          <w:p>
            <w:pPr>
              <w:widowControl/>
              <w:jc w:val="left"/>
              <w:rPr>
                <w:rFonts w:ascii="宋体" w:cs="宋体"/>
                <w:color w:val="333333"/>
                <w:kern w:val="0"/>
                <w:szCs w:val="21"/>
              </w:rPr>
            </w:pPr>
            <w:r>
              <w:rPr>
                <w:rFonts w:hint="eastAsia"/>
                <w:color w:val="333333"/>
                <w:szCs w:val="21"/>
              </w:rPr>
              <w:t>四、结转下年度继续办理</w:t>
            </w:r>
          </w:p>
        </w:tc>
        <w:tc>
          <w:tcPr>
            <w:tcW w:w="82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6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65"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825"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990" w:type="dxa"/>
            <w:tcBorders>
              <w:left w:val="nil"/>
            </w:tcBorders>
            <w:vAlign w:val="center"/>
          </w:tcPr>
          <w:p>
            <w:pPr>
              <w:widowControl/>
              <w:jc w:val="center"/>
              <w:rPr>
                <w:rFonts w:ascii="宋体" w:cs="宋体"/>
                <w:color w:val="333333"/>
                <w:kern w:val="0"/>
                <w:szCs w:val="21"/>
              </w:rPr>
            </w:pPr>
            <w:r>
              <w:rPr>
                <w:rFonts w:hint="eastAsia"/>
                <w:color w:val="333333"/>
                <w:szCs w:val="21"/>
                <w:lang w:val="en-US" w:eastAsia="zh-CN"/>
              </w:rPr>
              <w:t>0</w:t>
            </w:r>
            <w:r>
              <w:rPr>
                <w:color w:val="333333"/>
                <w:szCs w:val="21"/>
              </w:rPr>
              <w:t> </w:t>
            </w:r>
          </w:p>
        </w:tc>
        <w:tc>
          <w:tcPr>
            <w:tcW w:w="720" w:type="dxa"/>
            <w:tcBorders>
              <w:left w:val="nil"/>
            </w:tcBorders>
            <w:vAlign w:val="center"/>
          </w:tcPr>
          <w:p>
            <w:pPr>
              <w:widowControl/>
              <w:jc w:val="center"/>
              <w:rPr>
                <w:rFonts w:hint="eastAsia" w:ascii="宋体" w:eastAsia="宋体" w:cs="宋体"/>
                <w:color w:val="333333"/>
                <w:kern w:val="0"/>
                <w:szCs w:val="21"/>
                <w:lang w:val="en-US" w:eastAsia="zh-CN"/>
              </w:rPr>
            </w:pPr>
            <w:r>
              <w:rPr>
                <w:color w:val="333333"/>
                <w:szCs w:val="21"/>
              </w:rPr>
              <w:t> </w:t>
            </w:r>
            <w:r>
              <w:rPr>
                <w:rFonts w:hint="eastAsia"/>
                <w:color w:val="333333"/>
                <w:szCs w:val="21"/>
                <w:lang w:val="en-US" w:eastAsia="zh-CN"/>
              </w:rPr>
              <w:t>0</w:t>
            </w:r>
          </w:p>
        </w:tc>
        <w:tc>
          <w:tcPr>
            <w:tcW w:w="702" w:type="dxa"/>
            <w:tcBorders>
              <w:left w:val="nil"/>
            </w:tcBorders>
            <w:vAlign w:val="center"/>
          </w:tcPr>
          <w:p>
            <w:pPr>
              <w:widowControl/>
              <w:jc w:val="left"/>
              <w:rPr>
                <w:rFonts w:hint="eastAsia" w:ascii="宋体" w:eastAsia="宋体" w:cs="宋体"/>
                <w:color w:val="333333"/>
                <w:kern w:val="0"/>
                <w:szCs w:val="21"/>
                <w:lang w:val="en-US" w:eastAsia="zh-CN"/>
              </w:rPr>
            </w:pPr>
            <w:r>
              <w:rPr>
                <w:rFonts w:hint="eastAsia" w:ascii="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pgBorders>
            <w:top w:val="none" w:sz="0" w:space="0"/>
            <w:left w:val="none" w:sz="0" w:space="0"/>
            <w:bottom w:val="none" w:sz="0" w:space="0"/>
            <w:right w:val="none" w:sz="0" w:space="0"/>
          </w:pgBorders>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8"/>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7" w:type="dxa"/>
            <w:gridSpan w:val="5"/>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rPr>
              <w:t>行政复议</w:t>
            </w:r>
          </w:p>
        </w:tc>
        <w:tc>
          <w:tcPr>
            <w:tcW w:w="6629" w:type="dxa"/>
            <w:gridSpan w:val="10"/>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3" w:type="dxa"/>
            <w:vMerge w:val="restart"/>
            <w:tcBorders>
              <w:top w:val="nil"/>
            </w:tcBorders>
            <w:vAlign w:val="center"/>
          </w:tcPr>
          <w:p>
            <w:pPr>
              <w:widowControl/>
              <w:jc w:val="center"/>
              <w:rPr>
                <w:color w:val="333333"/>
                <w:sz w:val="20"/>
                <w:szCs w:val="20"/>
              </w:rPr>
            </w:pPr>
            <w:r>
              <w:rPr>
                <w:rFonts w:hint="eastAsia"/>
                <w:color w:val="333333"/>
                <w:sz w:val="20"/>
                <w:szCs w:val="20"/>
              </w:rPr>
              <w:t>结果</w:t>
            </w:r>
          </w:p>
          <w:p>
            <w:pPr>
              <w:widowControl/>
              <w:jc w:val="center"/>
              <w:rPr>
                <w:rFonts w:ascii="宋体" w:cs="宋体"/>
                <w:color w:val="333333"/>
                <w:kern w:val="0"/>
                <w:sz w:val="24"/>
                <w:szCs w:val="24"/>
              </w:rPr>
            </w:pPr>
            <w:r>
              <w:rPr>
                <w:rFonts w:hint="eastAsia"/>
                <w:color w:val="333333"/>
                <w:sz w:val="20"/>
                <w:szCs w:val="20"/>
              </w:rPr>
              <w:t>维持</w:t>
            </w:r>
          </w:p>
        </w:tc>
        <w:tc>
          <w:tcPr>
            <w:tcW w:w="709" w:type="dxa"/>
            <w:vMerge w:val="restart"/>
            <w:tcBorders>
              <w:top w:val="nil"/>
              <w:left w:val="nil"/>
            </w:tcBorders>
            <w:vAlign w:val="center"/>
          </w:tcPr>
          <w:p>
            <w:pPr>
              <w:widowControl/>
              <w:jc w:val="center"/>
              <w:rPr>
                <w:rFonts w:ascii="宋体" w:cs="宋体"/>
                <w:color w:val="333333"/>
                <w:kern w:val="0"/>
                <w:sz w:val="24"/>
                <w:szCs w:val="24"/>
              </w:rPr>
            </w:pPr>
            <w:r>
              <w:rPr>
                <w:rFonts w:hint="eastAsia"/>
                <w:color w:val="333333"/>
                <w:sz w:val="20"/>
                <w:szCs w:val="20"/>
              </w:rPr>
              <w:t>结果纠正</w:t>
            </w:r>
          </w:p>
        </w:tc>
        <w:tc>
          <w:tcPr>
            <w:tcW w:w="709" w:type="dxa"/>
            <w:vMerge w:val="restart"/>
            <w:tcBorders>
              <w:left w:val="nil"/>
            </w:tcBorders>
            <w:vAlign w:val="center"/>
          </w:tcPr>
          <w:p>
            <w:pPr>
              <w:widowControl/>
              <w:jc w:val="center"/>
              <w:rPr>
                <w:rFonts w:ascii="宋体" w:cs="宋体"/>
                <w:color w:val="333333"/>
                <w:kern w:val="0"/>
                <w:sz w:val="24"/>
                <w:szCs w:val="24"/>
              </w:rPr>
            </w:pPr>
            <w:r>
              <w:rPr>
                <w:rFonts w:hint="eastAsia"/>
                <w:color w:val="333333"/>
                <w:sz w:val="20"/>
                <w:szCs w:val="20"/>
              </w:rPr>
              <w:t>其他结果</w:t>
            </w:r>
          </w:p>
        </w:tc>
        <w:tc>
          <w:tcPr>
            <w:tcW w:w="709" w:type="dxa"/>
            <w:vMerge w:val="restart"/>
            <w:tcBorders>
              <w:left w:val="nil"/>
            </w:tcBorders>
            <w:vAlign w:val="center"/>
          </w:tcPr>
          <w:p>
            <w:pPr>
              <w:widowControl/>
              <w:jc w:val="center"/>
              <w:rPr>
                <w:rFonts w:ascii="宋体" w:cs="宋体"/>
                <w:color w:val="333333"/>
                <w:kern w:val="0"/>
                <w:sz w:val="24"/>
                <w:szCs w:val="24"/>
              </w:rPr>
            </w:pPr>
            <w:r>
              <w:rPr>
                <w:rFonts w:hint="eastAsia"/>
                <w:color w:val="333333"/>
                <w:sz w:val="20"/>
                <w:szCs w:val="20"/>
              </w:rPr>
              <w:t>尚未审结</w:t>
            </w:r>
          </w:p>
        </w:tc>
        <w:tc>
          <w:tcPr>
            <w:tcW w:w="567" w:type="dxa"/>
            <w:vMerge w:val="restart"/>
            <w:tcBorders>
              <w:left w:val="nil"/>
            </w:tcBorders>
            <w:vAlign w:val="center"/>
          </w:tcPr>
          <w:p>
            <w:pPr>
              <w:widowControl/>
              <w:jc w:val="center"/>
              <w:rPr>
                <w:rFonts w:ascii="宋体" w:cs="宋体"/>
                <w:color w:val="333333"/>
                <w:kern w:val="0"/>
                <w:sz w:val="24"/>
                <w:szCs w:val="24"/>
              </w:rPr>
            </w:pPr>
            <w:r>
              <w:rPr>
                <w:rFonts w:hint="eastAsia"/>
                <w:color w:val="333333"/>
                <w:sz w:val="20"/>
                <w:szCs w:val="20"/>
              </w:rPr>
              <w:t>总计</w:t>
            </w:r>
          </w:p>
        </w:tc>
        <w:tc>
          <w:tcPr>
            <w:tcW w:w="3384" w:type="dxa"/>
            <w:gridSpan w:val="5"/>
            <w:tcBorders>
              <w:left w:val="nil"/>
            </w:tcBorders>
            <w:vAlign w:val="center"/>
          </w:tcPr>
          <w:p>
            <w:pPr>
              <w:widowControl/>
              <w:jc w:val="center"/>
              <w:rPr>
                <w:rFonts w:ascii="宋体" w:cs="宋体"/>
                <w:color w:val="333333"/>
                <w:kern w:val="0"/>
                <w:sz w:val="24"/>
                <w:szCs w:val="24"/>
              </w:rPr>
            </w:pPr>
            <w:r>
              <w:rPr>
                <w:rFonts w:hint="eastAsia"/>
                <w:color w:val="333333"/>
                <w:sz w:val="20"/>
                <w:szCs w:val="20"/>
              </w:rPr>
              <w:t>未经复议直接起诉</w:t>
            </w:r>
          </w:p>
        </w:tc>
        <w:tc>
          <w:tcPr>
            <w:tcW w:w="3245" w:type="dxa"/>
            <w:gridSpan w:val="5"/>
            <w:tcBorders>
              <w:left w:val="nil"/>
            </w:tcBorders>
            <w:vAlign w:val="center"/>
          </w:tcPr>
          <w:p>
            <w:pPr>
              <w:widowControl/>
              <w:jc w:val="center"/>
              <w:rPr>
                <w:rFonts w:ascii="宋体" w:cs="宋体"/>
                <w:color w:val="333333"/>
                <w:kern w:val="0"/>
                <w:sz w:val="24"/>
                <w:szCs w:val="24"/>
              </w:rPr>
            </w:pPr>
            <w:r>
              <w:rPr>
                <w:rFonts w:hint="eastAsia"/>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3" w:type="dxa"/>
            <w:vMerge w:val="continue"/>
            <w:tcBorders>
              <w:top w:val="nil"/>
            </w:tcBorders>
            <w:vAlign w:val="center"/>
          </w:tcPr>
          <w:p>
            <w:pPr>
              <w:widowControl/>
              <w:jc w:val="left"/>
              <w:rPr>
                <w:rFonts w:ascii="宋体" w:cs="宋体"/>
                <w:color w:val="333333"/>
                <w:kern w:val="0"/>
                <w:sz w:val="24"/>
                <w:szCs w:val="24"/>
              </w:rPr>
            </w:pPr>
          </w:p>
        </w:tc>
        <w:tc>
          <w:tcPr>
            <w:tcW w:w="709" w:type="dxa"/>
            <w:vMerge w:val="continue"/>
            <w:tcBorders>
              <w:top w:val="nil"/>
              <w:left w:val="nil"/>
            </w:tcBorders>
            <w:vAlign w:val="center"/>
          </w:tcPr>
          <w:p>
            <w:pPr>
              <w:widowControl/>
              <w:jc w:val="left"/>
              <w:rPr>
                <w:rFonts w:ascii="宋体" w:cs="宋体"/>
                <w:color w:val="333333"/>
                <w:kern w:val="0"/>
                <w:sz w:val="24"/>
                <w:szCs w:val="24"/>
              </w:rPr>
            </w:pPr>
          </w:p>
        </w:tc>
        <w:tc>
          <w:tcPr>
            <w:tcW w:w="709" w:type="dxa"/>
            <w:vMerge w:val="continue"/>
            <w:tcBorders>
              <w:left w:val="nil"/>
            </w:tcBorders>
            <w:vAlign w:val="center"/>
          </w:tcPr>
          <w:p>
            <w:pPr>
              <w:widowControl/>
              <w:jc w:val="left"/>
              <w:rPr>
                <w:rFonts w:ascii="宋体" w:cs="宋体"/>
                <w:color w:val="333333"/>
                <w:kern w:val="0"/>
                <w:sz w:val="24"/>
                <w:szCs w:val="24"/>
              </w:rPr>
            </w:pPr>
          </w:p>
        </w:tc>
        <w:tc>
          <w:tcPr>
            <w:tcW w:w="709" w:type="dxa"/>
            <w:vMerge w:val="continue"/>
            <w:tcBorders>
              <w:left w:val="nil"/>
            </w:tcBorders>
            <w:vAlign w:val="center"/>
          </w:tcPr>
          <w:p>
            <w:pPr>
              <w:widowControl/>
              <w:jc w:val="left"/>
              <w:rPr>
                <w:rFonts w:ascii="宋体" w:cs="宋体"/>
                <w:color w:val="333333"/>
                <w:kern w:val="0"/>
                <w:sz w:val="24"/>
                <w:szCs w:val="24"/>
              </w:rPr>
            </w:pPr>
          </w:p>
        </w:tc>
        <w:tc>
          <w:tcPr>
            <w:tcW w:w="567" w:type="dxa"/>
            <w:vMerge w:val="continue"/>
            <w:tcBorders>
              <w:left w:val="nil"/>
            </w:tcBorders>
            <w:vAlign w:val="center"/>
          </w:tcPr>
          <w:p>
            <w:pPr>
              <w:widowControl/>
              <w:jc w:val="left"/>
              <w:rPr>
                <w:rFonts w:ascii="宋体" w:cs="宋体"/>
                <w:color w:val="333333"/>
                <w:kern w:val="0"/>
                <w:sz w:val="24"/>
                <w:szCs w:val="24"/>
              </w:rPr>
            </w:pPr>
          </w:p>
        </w:tc>
        <w:tc>
          <w:tcPr>
            <w:tcW w:w="709"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结果维持</w:t>
            </w:r>
          </w:p>
        </w:tc>
        <w:tc>
          <w:tcPr>
            <w:tcW w:w="708"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结果纠正</w:t>
            </w:r>
          </w:p>
        </w:tc>
        <w:tc>
          <w:tcPr>
            <w:tcW w:w="757"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其他结果</w:t>
            </w:r>
          </w:p>
        </w:tc>
        <w:tc>
          <w:tcPr>
            <w:tcW w:w="661"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尚未审结</w:t>
            </w:r>
          </w:p>
        </w:tc>
        <w:tc>
          <w:tcPr>
            <w:tcW w:w="549" w:type="dxa"/>
            <w:tcBorders>
              <w:left w:val="nil"/>
            </w:tcBorders>
            <w:vAlign w:val="center"/>
          </w:tcPr>
          <w:p>
            <w:pPr>
              <w:widowControl/>
              <w:jc w:val="center"/>
              <w:rPr>
                <w:rFonts w:ascii="宋体" w:cs="宋体"/>
                <w:color w:val="333333"/>
                <w:kern w:val="0"/>
                <w:sz w:val="24"/>
                <w:szCs w:val="24"/>
              </w:rPr>
            </w:pPr>
            <w:r>
              <w:rPr>
                <w:rFonts w:hint="eastAsia" w:ascii="宋体" w:hAnsi="宋体" w:cs="宋体"/>
                <w:color w:val="000000"/>
                <w:kern w:val="0"/>
                <w:sz w:val="20"/>
                <w:szCs w:val="20"/>
              </w:rPr>
              <w:t>总计</w:t>
            </w:r>
          </w:p>
        </w:tc>
        <w:tc>
          <w:tcPr>
            <w:tcW w:w="727"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结果维持</w:t>
            </w:r>
          </w:p>
        </w:tc>
        <w:tc>
          <w:tcPr>
            <w:tcW w:w="701"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结果纠正</w:t>
            </w:r>
          </w:p>
        </w:tc>
        <w:tc>
          <w:tcPr>
            <w:tcW w:w="716" w:type="dxa"/>
            <w:tcBorders>
              <w:left w:val="nil"/>
            </w:tcBorders>
            <w:vAlign w:val="center"/>
          </w:tcPr>
          <w:p>
            <w:pPr>
              <w:widowControl/>
              <w:jc w:val="center"/>
              <w:rPr>
                <w:rFonts w:ascii="宋体" w:cs="宋体"/>
                <w:color w:val="333333"/>
                <w:kern w:val="0"/>
                <w:sz w:val="24"/>
                <w:szCs w:val="24"/>
              </w:rPr>
            </w:pPr>
            <w:r>
              <w:rPr>
                <w:rFonts w:hint="eastAsia" w:ascii="宋体" w:hAnsi="宋体" w:cs="宋体"/>
                <w:color w:val="000000"/>
                <w:kern w:val="0"/>
                <w:sz w:val="20"/>
                <w:szCs w:val="20"/>
              </w:rPr>
              <w:t>其他结果</w:t>
            </w:r>
          </w:p>
        </w:tc>
        <w:tc>
          <w:tcPr>
            <w:tcW w:w="709" w:type="dxa"/>
            <w:tcBorders>
              <w:left w:val="nil"/>
            </w:tcBorders>
            <w:vAlign w:val="center"/>
          </w:tcPr>
          <w:p>
            <w:pPr>
              <w:widowControl/>
              <w:jc w:val="center"/>
              <w:rPr>
                <w:rFonts w:ascii="宋体" w:cs="宋体"/>
                <w:color w:val="333333"/>
                <w:kern w:val="0"/>
                <w:sz w:val="24"/>
                <w:szCs w:val="24"/>
              </w:rPr>
            </w:pPr>
            <w:r>
              <w:rPr>
                <w:rFonts w:hint="eastAsia"/>
                <w:color w:val="333333"/>
                <w:sz w:val="20"/>
                <w:szCs w:val="20"/>
              </w:rPr>
              <w:t>尚未审结</w:t>
            </w:r>
          </w:p>
        </w:tc>
        <w:tc>
          <w:tcPr>
            <w:tcW w:w="392" w:type="dxa"/>
            <w:tcBorders>
              <w:left w:val="nil"/>
            </w:tcBorders>
            <w:vAlign w:val="center"/>
          </w:tcPr>
          <w:p>
            <w:pPr>
              <w:widowControl/>
              <w:jc w:val="center"/>
              <w:rPr>
                <w:rFonts w:ascii="宋体" w:cs="宋体"/>
                <w:color w:val="333333"/>
                <w:kern w:val="0"/>
                <w:sz w:val="24"/>
                <w:szCs w:val="24"/>
              </w:rPr>
            </w:pPr>
            <w:r>
              <w:rPr>
                <w:rFonts w:hint="eastAsia" w:ascii="宋体" w:hAnsi="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3" w:type="dxa"/>
            <w:vAlign w:val="center"/>
          </w:tcPr>
          <w:p>
            <w:pPr>
              <w:widowControl/>
              <w:spacing w:before="100" w:beforeAutospacing="1" w:after="180" w:line="480" w:lineRule="auto"/>
              <w:jc w:val="center"/>
              <w:rPr>
                <w:rFonts w:hint="eastAsia" w:ascii="宋体" w:eastAsia="宋体" w:cs="宋体"/>
                <w:color w:val="333333"/>
                <w:kern w:val="0"/>
                <w:sz w:val="24"/>
                <w:szCs w:val="24"/>
                <w:lang w:val="en-US" w:eastAsia="zh-CN"/>
              </w:rPr>
            </w:pPr>
            <w:r>
              <w:rPr>
                <w:color w:val="333333"/>
                <w:sz w:val="20"/>
                <w:szCs w:val="20"/>
              </w:rPr>
              <w:t> </w:t>
            </w:r>
            <w:r>
              <w:rPr>
                <w:rFonts w:hint="eastAsia"/>
                <w:color w:val="333333"/>
                <w:sz w:val="20"/>
                <w:szCs w:val="20"/>
                <w:lang w:val="en-US" w:eastAsia="zh-CN"/>
              </w:rPr>
              <w:t>1</w:t>
            </w:r>
          </w:p>
        </w:tc>
        <w:tc>
          <w:tcPr>
            <w:tcW w:w="709"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709" w:type="dxa"/>
            <w:tcBorders>
              <w:left w:val="nil"/>
            </w:tcBorders>
            <w:vAlign w:val="center"/>
          </w:tcPr>
          <w:p>
            <w:pPr>
              <w:widowControl/>
              <w:spacing w:before="100" w:beforeAutospacing="1" w:after="180" w:line="480" w:lineRule="auto"/>
              <w:jc w:val="center"/>
              <w:rPr>
                <w:rFonts w:hint="eastAsia" w:ascii="宋体" w:eastAsia="宋体" w:cs="宋体"/>
                <w:color w:val="333333"/>
                <w:kern w:val="0"/>
                <w:sz w:val="24"/>
                <w:szCs w:val="24"/>
                <w:lang w:val="en-US" w:eastAsia="zh-CN"/>
              </w:rPr>
            </w:pPr>
            <w:r>
              <w:rPr>
                <w:color w:val="333333"/>
                <w:sz w:val="20"/>
                <w:szCs w:val="20"/>
              </w:rPr>
              <w:t> </w:t>
            </w:r>
            <w:r>
              <w:rPr>
                <w:rFonts w:hint="eastAsia"/>
                <w:color w:val="333333"/>
                <w:sz w:val="20"/>
                <w:szCs w:val="20"/>
                <w:lang w:val="en-US" w:eastAsia="zh-CN"/>
              </w:rPr>
              <w:t>0</w:t>
            </w:r>
          </w:p>
        </w:tc>
        <w:tc>
          <w:tcPr>
            <w:tcW w:w="709"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567"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1</w:t>
            </w:r>
            <w:r>
              <w:rPr>
                <w:color w:val="333333"/>
                <w:sz w:val="20"/>
                <w:szCs w:val="20"/>
              </w:rPr>
              <w:t> </w:t>
            </w:r>
          </w:p>
        </w:tc>
        <w:tc>
          <w:tcPr>
            <w:tcW w:w="709"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708" w:type="dxa"/>
            <w:tcBorders>
              <w:left w:val="nil"/>
            </w:tcBorders>
            <w:vAlign w:val="center"/>
          </w:tcPr>
          <w:p>
            <w:pPr>
              <w:widowControl/>
              <w:spacing w:before="100" w:beforeAutospacing="1" w:after="180" w:line="480" w:lineRule="auto"/>
              <w:jc w:val="center"/>
              <w:rPr>
                <w:rFonts w:hint="eastAsia" w:ascii="宋体" w:eastAsia="宋体" w:cs="宋体"/>
                <w:color w:val="333333"/>
                <w:kern w:val="0"/>
                <w:sz w:val="24"/>
                <w:szCs w:val="24"/>
                <w:lang w:val="en-US" w:eastAsia="zh-CN"/>
              </w:rPr>
            </w:pPr>
            <w:r>
              <w:rPr>
                <w:color w:val="333333"/>
                <w:sz w:val="20"/>
                <w:szCs w:val="20"/>
              </w:rPr>
              <w:t> </w:t>
            </w:r>
            <w:r>
              <w:rPr>
                <w:rFonts w:hint="eastAsia"/>
                <w:color w:val="333333"/>
                <w:sz w:val="20"/>
                <w:szCs w:val="20"/>
                <w:lang w:val="en-US" w:eastAsia="zh-CN"/>
              </w:rPr>
              <w:t>0</w:t>
            </w:r>
          </w:p>
        </w:tc>
        <w:tc>
          <w:tcPr>
            <w:tcW w:w="757" w:type="dxa"/>
            <w:tcBorders>
              <w:left w:val="nil"/>
            </w:tcBorders>
            <w:vAlign w:val="center"/>
          </w:tcPr>
          <w:p>
            <w:pPr>
              <w:widowControl/>
              <w:spacing w:before="100" w:beforeAutospacing="1" w:after="180" w:line="480" w:lineRule="auto"/>
              <w:jc w:val="center"/>
              <w:rPr>
                <w:rFonts w:hint="eastAsia" w:ascii="宋体" w:eastAsia="宋体" w:cs="宋体"/>
                <w:color w:val="333333"/>
                <w:kern w:val="0"/>
                <w:sz w:val="24"/>
                <w:szCs w:val="24"/>
                <w:lang w:val="en-US" w:eastAsia="zh-CN"/>
              </w:rPr>
            </w:pPr>
            <w:r>
              <w:rPr>
                <w:color w:val="333333"/>
                <w:sz w:val="20"/>
                <w:szCs w:val="20"/>
              </w:rPr>
              <w:t> </w:t>
            </w:r>
            <w:r>
              <w:rPr>
                <w:rFonts w:hint="eastAsia"/>
                <w:color w:val="333333"/>
                <w:sz w:val="20"/>
                <w:szCs w:val="20"/>
                <w:lang w:val="en-US" w:eastAsia="zh-CN"/>
              </w:rPr>
              <w:t>0</w:t>
            </w:r>
          </w:p>
        </w:tc>
        <w:tc>
          <w:tcPr>
            <w:tcW w:w="661"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549" w:type="dxa"/>
            <w:tcBorders>
              <w:left w:val="nil"/>
            </w:tcBorders>
            <w:vAlign w:val="center"/>
          </w:tcPr>
          <w:p>
            <w:pPr>
              <w:widowControl/>
              <w:spacing w:before="100" w:beforeAutospacing="1" w:after="180" w:line="480" w:lineRule="auto"/>
              <w:jc w:val="center"/>
              <w:rPr>
                <w:rFonts w:hint="eastAsia" w:ascii="宋体" w:eastAsia="宋体" w:cs="宋体"/>
                <w:color w:val="333333"/>
                <w:kern w:val="0"/>
                <w:sz w:val="24"/>
                <w:szCs w:val="24"/>
                <w:lang w:val="en-US" w:eastAsia="zh-CN"/>
              </w:rPr>
            </w:pPr>
            <w:r>
              <w:rPr>
                <w:rFonts w:ascii="宋体" w:cs="宋体"/>
                <w:color w:val="000000"/>
                <w:kern w:val="0"/>
                <w:sz w:val="20"/>
                <w:szCs w:val="20"/>
              </w:rPr>
              <w:t> </w:t>
            </w:r>
            <w:r>
              <w:rPr>
                <w:rFonts w:hint="eastAsia" w:ascii="宋体" w:cs="宋体"/>
                <w:color w:val="000000"/>
                <w:kern w:val="0"/>
                <w:sz w:val="20"/>
                <w:szCs w:val="20"/>
                <w:lang w:val="en-US" w:eastAsia="zh-CN"/>
              </w:rPr>
              <w:t>0</w:t>
            </w:r>
          </w:p>
        </w:tc>
        <w:tc>
          <w:tcPr>
            <w:tcW w:w="727"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701"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716"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ascii="宋体" w:cs="宋体"/>
                <w:color w:val="000000"/>
                <w:kern w:val="0"/>
                <w:sz w:val="20"/>
                <w:szCs w:val="20"/>
                <w:lang w:val="en-US" w:eastAsia="zh-CN"/>
              </w:rPr>
              <w:t>0</w:t>
            </w:r>
            <w:r>
              <w:rPr>
                <w:rFonts w:ascii="宋体" w:cs="宋体"/>
                <w:color w:val="000000"/>
                <w:kern w:val="0"/>
                <w:sz w:val="20"/>
                <w:szCs w:val="20"/>
              </w:rPr>
              <w:t> </w:t>
            </w:r>
          </w:p>
        </w:tc>
        <w:tc>
          <w:tcPr>
            <w:tcW w:w="709" w:type="dxa"/>
            <w:tcBorders>
              <w:left w:val="nil"/>
            </w:tcBorders>
            <w:vAlign w:val="center"/>
          </w:tcPr>
          <w:p>
            <w:pPr>
              <w:widowControl/>
              <w:spacing w:before="100" w:beforeAutospacing="1" w:after="180" w:line="480" w:lineRule="auto"/>
              <w:jc w:val="center"/>
              <w:rPr>
                <w:rFonts w:ascii="宋体" w:cs="宋体"/>
                <w:color w:val="333333"/>
                <w:kern w:val="0"/>
                <w:sz w:val="24"/>
                <w:szCs w:val="24"/>
              </w:rPr>
            </w:pPr>
            <w:r>
              <w:rPr>
                <w:rFonts w:hint="eastAsia"/>
                <w:color w:val="333333"/>
                <w:sz w:val="20"/>
                <w:szCs w:val="20"/>
                <w:lang w:val="en-US" w:eastAsia="zh-CN"/>
              </w:rPr>
              <w:t>0</w:t>
            </w:r>
            <w:r>
              <w:rPr>
                <w:color w:val="333333"/>
                <w:sz w:val="20"/>
                <w:szCs w:val="20"/>
              </w:rPr>
              <w:t> </w:t>
            </w:r>
          </w:p>
        </w:tc>
        <w:tc>
          <w:tcPr>
            <w:tcW w:w="392" w:type="dxa"/>
            <w:tcBorders>
              <w:left w:val="nil"/>
            </w:tcBorders>
            <w:vAlign w:val="center"/>
          </w:tcPr>
          <w:p>
            <w:pPr>
              <w:widowControl/>
              <w:spacing w:line="480" w:lineRule="auto"/>
              <w:jc w:val="left"/>
              <w:rPr>
                <w:rFonts w:hint="eastAsia" w:ascii="宋体" w:eastAsia="宋体" w:cs="宋体"/>
                <w:color w:val="333333"/>
                <w:kern w:val="0"/>
                <w:szCs w:val="21"/>
                <w:lang w:val="en-US" w:eastAsia="zh-CN"/>
              </w:rPr>
            </w:pPr>
            <w:r>
              <w:rPr>
                <w:rFonts w:hint="eastAsia" w:ascii="宋体" w:cs="宋体"/>
                <w:color w:val="333333"/>
                <w:kern w:val="0"/>
                <w:szCs w:val="21"/>
                <w:lang w:val="en-US" w:eastAsia="zh-CN"/>
              </w:rPr>
              <w:t>0</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（一）主要问题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一是公开内容需要进一步充实。主动公开的政府信息与公众的需求还存在一些距离，有关决策、规定、规划、计划、方案的公开需要进一步加强。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二是宣传教育培训工作需要进一步加强。由于政府信息公开制度实行时间短，信息公开工作的社会宣传力度有待加强。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三是公安内容公布的局限性。当前，维稳形势严峻，公安工作信息内容敏感，而且大部分涉密，公开程度受限。</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（二）改进措施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1</w:t>
      </w:r>
      <w:r>
        <w:rPr>
          <w:rFonts w:hint="eastAsia" w:ascii="仿宋_GB2312" w:hAnsi="仿宋_GB2312" w:eastAsia="仿宋_GB2312" w:cs="仿宋_GB2312"/>
        </w:rPr>
        <w:t>年,</w:t>
      </w:r>
      <w:r>
        <w:rPr>
          <w:rFonts w:hint="eastAsia" w:ascii="仿宋_GB2312" w:hAnsi="仿宋_GB2312" w:eastAsia="仿宋_GB2312" w:cs="仿宋_GB2312"/>
          <w:lang w:eastAsia="zh-CN"/>
        </w:rPr>
        <w:t>县公安</w:t>
      </w:r>
      <w:r>
        <w:rPr>
          <w:rFonts w:hint="eastAsia" w:ascii="仿宋_GB2312" w:hAnsi="仿宋_GB2312" w:eastAsia="仿宋_GB2312" w:cs="仿宋_GB2312"/>
        </w:rPr>
        <w:t>局将严格照《中华人民共和国政府信息公开条例》的要求和目标，建立健全公开透明的政府信息公开系统。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是充实公开内容。按照“以公开为原则，不公开为例外”的总体要求，进一步做好政府信息公开工作，提供准确的政府信息公开指南，完善主动公开的政府信息目录，加强充实政府决策、规定、规划、计划、方案等各类文件内容，提高信息公开工作的质量和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二是加强培训学习。进一步加强对政府信息公开工作的宣传力度和组织有关人员进行培训学习，继续深入学习《中华人民共和国政府信息公开条例》，加深干部职工对信息公开工作的认识，进一步提高政府信息公开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三是建立健全长效工作机制。建立健全政府信息公开内容审查、更新维护、培训宣传等工作制度，确保政府信息公开工作深入、持续、高效地开展。</w:t>
      </w:r>
    </w:p>
    <w:p>
      <w:pPr>
        <w:numPr>
          <w:ilvl w:val="0"/>
          <w:numId w:val="1"/>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其他需要报告的事项</w:t>
      </w:r>
    </w:p>
    <w:p>
      <w:pPr>
        <w:numPr>
          <w:ilvl w:val="0"/>
          <w:numId w:val="0"/>
        </w:numPr>
        <w:spacing w:line="560" w:lineRule="exact"/>
        <w:ind w:firstLine="1280" w:firstLineChars="4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640" w:firstLineChars="200"/>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DD1E22"/>
    <w:multiLevelType w:val="singleLevel"/>
    <w:tmpl w:val="46DD1E2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1FF"/>
    <w:rsid w:val="00003766"/>
    <w:rsid w:val="00010EB4"/>
    <w:rsid w:val="00011351"/>
    <w:rsid w:val="00033FFE"/>
    <w:rsid w:val="000406A0"/>
    <w:rsid w:val="00050F08"/>
    <w:rsid w:val="00067D0C"/>
    <w:rsid w:val="00097400"/>
    <w:rsid w:val="000B0330"/>
    <w:rsid w:val="000B0934"/>
    <w:rsid w:val="000E4BD9"/>
    <w:rsid w:val="000E69DA"/>
    <w:rsid w:val="000E6B32"/>
    <w:rsid w:val="000F2D8A"/>
    <w:rsid w:val="001010D4"/>
    <w:rsid w:val="00117B4D"/>
    <w:rsid w:val="00123B08"/>
    <w:rsid w:val="001245D4"/>
    <w:rsid w:val="00124A11"/>
    <w:rsid w:val="001366B4"/>
    <w:rsid w:val="00151924"/>
    <w:rsid w:val="00154708"/>
    <w:rsid w:val="00161940"/>
    <w:rsid w:val="00164480"/>
    <w:rsid w:val="0016467B"/>
    <w:rsid w:val="00186A62"/>
    <w:rsid w:val="001A6BB5"/>
    <w:rsid w:val="001B2DBB"/>
    <w:rsid w:val="001B7C65"/>
    <w:rsid w:val="001E217A"/>
    <w:rsid w:val="001E5229"/>
    <w:rsid w:val="001E6FDD"/>
    <w:rsid w:val="002008A2"/>
    <w:rsid w:val="00206BB2"/>
    <w:rsid w:val="00214DF2"/>
    <w:rsid w:val="00216242"/>
    <w:rsid w:val="00216CCB"/>
    <w:rsid w:val="00234030"/>
    <w:rsid w:val="00241314"/>
    <w:rsid w:val="00251CC7"/>
    <w:rsid w:val="00256608"/>
    <w:rsid w:val="00266C64"/>
    <w:rsid w:val="002710D2"/>
    <w:rsid w:val="00286935"/>
    <w:rsid w:val="0029082F"/>
    <w:rsid w:val="0029284C"/>
    <w:rsid w:val="0029383C"/>
    <w:rsid w:val="002942DD"/>
    <w:rsid w:val="002A7F25"/>
    <w:rsid w:val="002B5369"/>
    <w:rsid w:val="002D09A1"/>
    <w:rsid w:val="002E3859"/>
    <w:rsid w:val="00310B91"/>
    <w:rsid w:val="00317F8F"/>
    <w:rsid w:val="003336C5"/>
    <w:rsid w:val="003343A1"/>
    <w:rsid w:val="00342B75"/>
    <w:rsid w:val="00361769"/>
    <w:rsid w:val="003A551A"/>
    <w:rsid w:val="003B7614"/>
    <w:rsid w:val="003C1CCB"/>
    <w:rsid w:val="003C66CF"/>
    <w:rsid w:val="003D1317"/>
    <w:rsid w:val="003F3C5A"/>
    <w:rsid w:val="004020BC"/>
    <w:rsid w:val="004130A0"/>
    <w:rsid w:val="00417E4F"/>
    <w:rsid w:val="00431DC0"/>
    <w:rsid w:val="0044469E"/>
    <w:rsid w:val="0044565B"/>
    <w:rsid w:val="004622B9"/>
    <w:rsid w:val="00465EE7"/>
    <w:rsid w:val="00474F8C"/>
    <w:rsid w:val="004A3770"/>
    <w:rsid w:val="004A61D9"/>
    <w:rsid w:val="004B1E38"/>
    <w:rsid w:val="004B5FAC"/>
    <w:rsid w:val="004D63DE"/>
    <w:rsid w:val="004D692C"/>
    <w:rsid w:val="004F225D"/>
    <w:rsid w:val="00503DC2"/>
    <w:rsid w:val="00506018"/>
    <w:rsid w:val="0052384C"/>
    <w:rsid w:val="00530FAE"/>
    <w:rsid w:val="005357E0"/>
    <w:rsid w:val="00561095"/>
    <w:rsid w:val="00565E58"/>
    <w:rsid w:val="00572EE9"/>
    <w:rsid w:val="00575039"/>
    <w:rsid w:val="0058410F"/>
    <w:rsid w:val="005A2D30"/>
    <w:rsid w:val="005A679F"/>
    <w:rsid w:val="005A6855"/>
    <w:rsid w:val="005B2C9D"/>
    <w:rsid w:val="005B60B9"/>
    <w:rsid w:val="005C4E55"/>
    <w:rsid w:val="005C6267"/>
    <w:rsid w:val="005D2717"/>
    <w:rsid w:val="005E176C"/>
    <w:rsid w:val="006437E8"/>
    <w:rsid w:val="0067385D"/>
    <w:rsid w:val="00684540"/>
    <w:rsid w:val="00685243"/>
    <w:rsid w:val="00685FD6"/>
    <w:rsid w:val="0069145A"/>
    <w:rsid w:val="006A5602"/>
    <w:rsid w:val="006C1D61"/>
    <w:rsid w:val="006C61E3"/>
    <w:rsid w:val="006D2B9E"/>
    <w:rsid w:val="006F2052"/>
    <w:rsid w:val="006F32A9"/>
    <w:rsid w:val="0070575A"/>
    <w:rsid w:val="00706842"/>
    <w:rsid w:val="00707521"/>
    <w:rsid w:val="00710874"/>
    <w:rsid w:val="0072048C"/>
    <w:rsid w:val="00746ECD"/>
    <w:rsid w:val="00747284"/>
    <w:rsid w:val="0075282D"/>
    <w:rsid w:val="00754F25"/>
    <w:rsid w:val="00776012"/>
    <w:rsid w:val="0077715A"/>
    <w:rsid w:val="007D6C57"/>
    <w:rsid w:val="007E4180"/>
    <w:rsid w:val="00807CC0"/>
    <w:rsid w:val="00816B92"/>
    <w:rsid w:val="00825613"/>
    <w:rsid w:val="00835FA9"/>
    <w:rsid w:val="00852C30"/>
    <w:rsid w:val="00867D9F"/>
    <w:rsid w:val="0087437C"/>
    <w:rsid w:val="00874582"/>
    <w:rsid w:val="0087509A"/>
    <w:rsid w:val="00885D12"/>
    <w:rsid w:val="008A46AC"/>
    <w:rsid w:val="008D4B35"/>
    <w:rsid w:val="008D62E4"/>
    <w:rsid w:val="008E6862"/>
    <w:rsid w:val="008F0C7F"/>
    <w:rsid w:val="00902E17"/>
    <w:rsid w:val="00937389"/>
    <w:rsid w:val="009437D0"/>
    <w:rsid w:val="00971010"/>
    <w:rsid w:val="0099580A"/>
    <w:rsid w:val="009C36DF"/>
    <w:rsid w:val="009D2A19"/>
    <w:rsid w:val="009D5915"/>
    <w:rsid w:val="009F4207"/>
    <w:rsid w:val="009F435B"/>
    <w:rsid w:val="009F4D5A"/>
    <w:rsid w:val="009F5FE5"/>
    <w:rsid w:val="009F6DCB"/>
    <w:rsid w:val="00A16507"/>
    <w:rsid w:val="00A304B2"/>
    <w:rsid w:val="00A427EB"/>
    <w:rsid w:val="00A52A9C"/>
    <w:rsid w:val="00A6389A"/>
    <w:rsid w:val="00A7136A"/>
    <w:rsid w:val="00A858D2"/>
    <w:rsid w:val="00A9750E"/>
    <w:rsid w:val="00AD32E2"/>
    <w:rsid w:val="00AD7912"/>
    <w:rsid w:val="00AE68F1"/>
    <w:rsid w:val="00AE6F46"/>
    <w:rsid w:val="00AF6C2E"/>
    <w:rsid w:val="00B0527D"/>
    <w:rsid w:val="00B10618"/>
    <w:rsid w:val="00B209C0"/>
    <w:rsid w:val="00B222E6"/>
    <w:rsid w:val="00B2447E"/>
    <w:rsid w:val="00B52FB0"/>
    <w:rsid w:val="00B6207B"/>
    <w:rsid w:val="00B70AA5"/>
    <w:rsid w:val="00B72BE8"/>
    <w:rsid w:val="00B905A0"/>
    <w:rsid w:val="00B95A40"/>
    <w:rsid w:val="00BA1D87"/>
    <w:rsid w:val="00BA408A"/>
    <w:rsid w:val="00BB0CB9"/>
    <w:rsid w:val="00BD15C4"/>
    <w:rsid w:val="00BE34C2"/>
    <w:rsid w:val="00BF33DF"/>
    <w:rsid w:val="00BF78AB"/>
    <w:rsid w:val="00C01B55"/>
    <w:rsid w:val="00C01FA7"/>
    <w:rsid w:val="00C0203D"/>
    <w:rsid w:val="00C24D73"/>
    <w:rsid w:val="00C421DB"/>
    <w:rsid w:val="00C5174E"/>
    <w:rsid w:val="00C53C40"/>
    <w:rsid w:val="00C615D5"/>
    <w:rsid w:val="00CB0401"/>
    <w:rsid w:val="00CB2F48"/>
    <w:rsid w:val="00CC6D06"/>
    <w:rsid w:val="00CF7A58"/>
    <w:rsid w:val="00D00DA1"/>
    <w:rsid w:val="00D11086"/>
    <w:rsid w:val="00D36A59"/>
    <w:rsid w:val="00D41DCE"/>
    <w:rsid w:val="00D47806"/>
    <w:rsid w:val="00D53DFE"/>
    <w:rsid w:val="00D601F0"/>
    <w:rsid w:val="00D628BA"/>
    <w:rsid w:val="00D72CD5"/>
    <w:rsid w:val="00D847D8"/>
    <w:rsid w:val="00DA5B47"/>
    <w:rsid w:val="00DB1A24"/>
    <w:rsid w:val="00DD1EFA"/>
    <w:rsid w:val="00DE0F65"/>
    <w:rsid w:val="00DE7653"/>
    <w:rsid w:val="00DF152D"/>
    <w:rsid w:val="00E0243C"/>
    <w:rsid w:val="00E2313C"/>
    <w:rsid w:val="00E271FF"/>
    <w:rsid w:val="00E44D4C"/>
    <w:rsid w:val="00E66D92"/>
    <w:rsid w:val="00E76CEC"/>
    <w:rsid w:val="00E8666D"/>
    <w:rsid w:val="00EA56A0"/>
    <w:rsid w:val="00EC4878"/>
    <w:rsid w:val="00F07DF7"/>
    <w:rsid w:val="00F227DD"/>
    <w:rsid w:val="00F241FE"/>
    <w:rsid w:val="00F250FA"/>
    <w:rsid w:val="00F33CEA"/>
    <w:rsid w:val="00F43078"/>
    <w:rsid w:val="00F53375"/>
    <w:rsid w:val="00F63D59"/>
    <w:rsid w:val="00F7222E"/>
    <w:rsid w:val="00F81217"/>
    <w:rsid w:val="00F84A56"/>
    <w:rsid w:val="00F85382"/>
    <w:rsid w:val="00F85A95"/>
    <w:rsid w:val="00F86849"/>
    <w:rsid w:val="00F97C97"/>
    <w:rsid w:val="00FD6BCF"/>
    <w:rsid w:val="00FE7C2B"/>
    <w:rsid w:val="03B54068"/>
    <w:rsid w:val="0443207A"/>
    <w:rsid w:val="049C6BDA"/>
    <w:rsid w:val="078C7266"/>
    <w:rsid w:val="0B131FC7"/>
    <w:rsid w:val="0B6B2F58"/>
    <w:rsid w:val="0E1E755A"/>
    <w:rsid w:val="0E9B6052"/>
    <w:rsid w:val="11EF4D9E"/>
    <w:rsid w:val="15A7629A"/>
    <w:rsid w:val="16744A22"/>
    <w:rsid w:val="1E171ADD"/>
    <w:rsid w:val="227F7ED6"/>
    <w:rsid w:val="262E3395"/>
    <w:rsid w:val="37965580"/>
    <w:rsid w:val="3B0E5124"/>
    <w:rsid w:val="491B1337"/>
    <w:rsid w:val="4C2136C8"/>
    <w:rsid w:val="4EAB66EE"/>
    <w:rsid w:val="51D74CEA"/>
    <w:rsid w:val="52AA7CEF"/>
    <w:rsid w:val="588E77F2"/>
    <w:rsid w:val="58A43D2D"/>
    <w:rsid w:val="65AE50CB"/>
    <w:rsid w:val="6B1131E0"/>
    <w:rsid w:val="6BFB1041"/>
    <w:rsid w:val="7400130D"/>
    <w:rsid w:val="7AA35E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paragraph" w:styleId="2">
    <w:name w:val="heading 1"/>
    <w:basedOn w:val="1"/>
    <w:next w:val="1"/>
    <w:link w:val="12"/>
    <w:qFormat/>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rPr>
      <w:b/>
      <w:color w:val="FF0000"/>
    </w:rPr>
  </w:style>
  <w:style w:type="paragraph" w:styleId="4">
    <w:name w:val="Balloon Text"/>
    <w:basedOn w:val="1"/>
    <w:link w:val="13"/>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99"/>
    <w:rPr>
      <w:rFonts w:ascii="Verdana" w:hAnsi="Verdana" w:eastAsia="仿宋_GB2312" w:cs="Times New Roman"/>
      <w:b/>
      <w:kern w:val="0"/>
      <w:sz w:val="28"/>
      <w:lang w:eastAsia="en-US"/>
    </w:rPr>
  </w:style>
  <w:style w:type="character" w:styleId="11">
    <w:name w:val="annotation reference"/>
    <w:basedOn w:val="9"/>
    <w:semiHidden/>
    <w:unhideWhenUsed/>
    <w:qFormat/>
    <w:uiPriority w:val="99"/>
    <w:rPr>
      <w:sz w:val="21"/>
      <w:szCs w:val="21"/>
    </w:rPr>
  </w:style>
  <w:style w:type="character" w:customStyle="1" w:styleId="12">
    <w:name w:val="Heading 1 Char"/>
    <w:basedOn w:val="9"/>
    <w:link w:val="2"/>
    <w:qFormat/>
    <w:locked/>
    <w:uiPriority w:val="99"/>
    <w:rPr>
      <w:rFonts w:ascii="宋体" w:hAnsi="宋体" w:eastAsia="宋体" w:cs="宋体"/>
      <w:b/>
      <w:bCs/>
      <w:kern w:val="36"/>
      <w:sz w:val="48"/>
      <w:szCs w:val="48"/>
    </w:rPr>
  </w:style>
  <w:style w:type="character" w:customStyle="1" w:styleId="13">
    <w:name w:val="Balloon Text Char"/>
    <w:basedOn w:val="9"/>
    <w:link w:val="4"/>
    <w:semiHidden/>
    <w:qFormat/>
    <w:locked/>
    <w:uiPriority w:val="99"/>
    <w:rPr>
      <w:rFonts w:cs="Times New Roman"/>
      <w:sz w:val="18"/>
      <w:szCs w:val="18"/>
    </w:rPr>
  </w:style>
  <w:style w:type="character" w:customStyle="1" w:styleId="14">
    <w:name w:val="Header Char"/>
    <w:basedOn w:val="9"/>
    <w:link w:val="6"/>
    <w:qFormat/>
    <w:locked/>
    <w:uiPriority w:val="99"/>
    <w:rPr>
      <w:rFonts w:cs="Times New Roman"/>
      <w:sz w:val="18"/>
      <w:szCs w:val="18"/>
    </w:rPr>
  </w:style>
  <w:style w:type="character" w:customStyle="1" w:styleId="15">
    <w:name w:val="Footer Char"/>
    <w:basedOn w:val="9"/>
    <w:link w:val="5"/>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gq</Company>
  <Pages>6</Pages>
  <Words>280</Words>
  <Characters>1601</Characters>
  <Lines>0</Lines>
  <Paragraphs>0</Paragraphs>
  <TotalTime>18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2021-01-08T09:26:00Z</dcterms:created>
  <dc:creator>lb</dc:creator>
  <cp:lastModifiedBy>Lenovo</cp:lastModifiedBy>
  <dcterms:modified xsi:type="dcterms:W3CDTF">2021-01-25T02:19:18Z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