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高城镇人民政府</w:t>
      </w:r>
      <w:r>
        <w:rPr>
          <w:rFonts w:hint="eastAsia" w:asciiTheme="minorEastAsia" w:hAnsiTheme="minorEastAsia"/>
          <w:b/>
          <w:sz w:val="44"/>
          <w:szCs w:val="44"/>
        </w:rPr>
        <w:t>201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/>
          <w:b/>
          <w:sz w:val="44"/>
          <w:szCs w:val="44"/>
        </w:rPr>
        <w:t>年政府信息公开工作年度报告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年1月1日始，至201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高城镇人民政府党政办公室联系，</w:t>
      </w:r>
      <w:r>
        <w:rPr>
          <w:rFonts w:hint="eastAsia" w:ascii="仿宋_GB2312" w:eastAsia="仿宋_GB2312"/>
          <w:sz w:val="32"/>
          <w:szCs w:val="32"/>
        </w:rPr>
        <w:t>（地址：高青县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高城镇高淄路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505号</w:t>
      </w:r>
      <w:r>
        <w:rPr>
          <w:rFonts w:hint="eastAsia" w:ascii="仿宋_GB2312" w:eastAsia="仿宋_GB2312"/>
          <w:sz w:val="32"/>
          <w:szCs w:val="32"/>
        </w:rPr>
        <w:t>；邮编：25630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；电话：0533-6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315004</w:t>
      </w:r>
      <w:r>
        <w:rPr>
          <w:rFonts w:hint="eastAsia" w:ascii="仿宋_GB2312" w:eastAsia="仿宋_GB2312"/>
          <w:sz w:val="32"/>
          <w:szCs w:val="32"/>
        </w:rPr>
        <w:t>；传真：0533-6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315994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（一）强化组织领导。</w:t>
      </w:r>
      <w:r>
        <w:rPr>
          <w:rFonts w:hint="eastAsia" w:ascii="仿宋_GB2312" w:eastAsia="仿宋_GB2312"/>
          <w:sz w:val="32"/>
          <w:szCs w:val="32"/>
        </w:rPr>
        <w:t>政务公开工作列入单位领导分工。进一步明确党政办作为政务公开工作主管科室，具体负责组织协调、指导推进、监督检查全镇政务公开工作，切实做到机构到位、责任到位、人员到位、经费到位，政务公开工作队伍建设进一步加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将高城镇信息公开重点定位于全面公开机构职能、业务工作、政策法规、规划计划、统计数据、其他等相关信息。通过对政府信息、工作机制以及制度建设的主动公开，自觉接受公众监督，全力打造群众满意的阳光政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2017年度,高城镇人民政府政务网主动公开政府信息共计171条。</w:t>
      </w:r>
      <w:r>
        <w:rPr>
          <w:rFonts w:hint="default" w:ascii="仿宋_GB2312" w:eastAsia="仿宋_GB2312"/>
          <w:sz w:val="32"/>
          <w:szCs w:val="32"/>
        </w:rPr>
        <w:t>政府政务栏中主动公开信息，刊登政府工作方案、政策规章、机构职能、政府公告公示、城镇规划、工作动态等内容。通过微信平台、报纸、广播电视及其他途径公开信息300余条。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12765" cy="3709035"/>
            <wp:effectExtent l="0" t="0" r="6985" b="5715"/>
            <wp:docPr id="2" name="图片 2" descr="201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7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年，共主动公开人大代表建议和政协委员提案办理结果、办理情况3件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pStyle w:val="5"/>
        <w:widowControl/>
        <w:spacing w:after="0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,高城镇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共收到政府信息公开申请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件，结转下年度继续办理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件，上年结转政府信息公开申请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高城镇</w:t>
      </w:r>
      <w:r>
        <w:rPr>
          <w:rFonts w:hint="eastAsia" w:ascii="仿宋" w:hAnsi="仿宋" w:eastAsia="仿宋" w:cs="宋体"/>
          <w:kern w:val="0"/>
          <w:sz w:val="32"/>
          <w:szCs w:val="32"/>
        </w:rPr>
        <w:t>因政府信息公开引起的行政复议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件，行政诉讼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hint="eastAsia"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县政府办公室作为全县政府信息公开主管部门，统筹负责全县政府信息公开组织协调、指导推进、监督检查等工作。县政府办公室信息调研科作为政府信息公开工作具体科室，2人负责政务公开工作，其中1人专职，1人兼职。 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全镇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六、存在的主要问题及改进措施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我镇政府信息公开工作虽然取得了一定的成效，但与建设法治政府的新要求、人民群众的新期待，还存在一些差距。主要表现为：部分单位对信息公开的重视程度不够，信息公开不够及时主动；政策解读形式单一、解读质量不高；政府信息公开目录不够规范，不便于公众查询信息等。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，我镇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度高城人民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城镇</w:t>
      </w:r>
      <w:r>
        <w:rPr>
          <w:rFonts w:hint="eastAsia" w:ascii="仿宋_GB2312" w:eastAsia="仿宋_GB2312"/>
          <w:sz w:val="32"/>
          <w:szCs w:val="32"/>
        </w:rPr>
        <w:t>人民政府办公室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</w:t>
      </w:r>
      <w:r>
        <w:rPr>
          <w:rFonts w:hint="eastAsia" w:ascii="文星标宋" w:hAnsi="文星标宋" w:eastAsia="文星标宋"/>
          <w:bCs/>
          <w:sz w:val="36"/>
          <w:lang w:val="en-US" w:eastAsia="zh-CN"/>
        </w:rPr>
        <w:t>7</w:t>
      </w:r>
      <w:bookmarkStart w:id="0" w:name="_GoBack"/>
      <w:bookmarkEnd w:id="0"/>
      <w:r>
        <w:rPr>
          <w:rFonts w:hint="eastAsia" w:ascii="文星标宋" w:hAnsi="文星标宋" w:eastAsia="文星标宋"/>
          <w:bCs/>
          <w:sz w:val="36"/>
        </w:rPr>
        <w:t>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高城镇人民政府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471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154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</w:t>
    </w: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高城镇人民政府</w:t>
    </w:r>
    <w:r>
      <w:rPr>
        <w:rFonts w:hint="eastAsia" w:ascii="仿宋_GB2312" w:hAnsi="仿宋_GB2312" w:eastAsia="仿宋_GB2312" w:cs="仿宋_GB2312"/>
        <w:sz w:val="24"/>
        <w:szCs w:val="24"/>
      </w:rPr>
      <w:t>201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7</w:t>
    </w:r>
    <w:r>
      <w:rPr>
        <w:rFonts w:hint="eastAsia" w:ascii="仿宋_GB2312" w:hAnsi="仿宋_GB2312" w:eastAsia="仿宋_GB2312" w:cs="仿宋_GB2312"/>
        <w:sz w:val="24"/>
        <w:szCs w:val="24"/>
      </w:rPr>
      <w:t>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1BCE1AAC"/>
    <w:rsid w:val="42CC4501"/>
    <w:rsid w:val="44B73DF0"/>
    <w:rsid w:val="4CF75FE7"/>
    <w:rsid w:val="53A430D3"/>
    <w:rsid w:val="6D554955"/>
    <w:rsid w:val="7787385C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2768</Words>
  <Characters>2903</Characters>
  <Lines>24</Lines>
  <Paragraphs>6</Paragraphs>
  <TotalTime>23</TotalTime>
  <ScaleCrop>false</ScaleCrop>
  <LinksUpToDate>false</LinksUpToDate>
  <CharactersWithSpaces>3187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WANGXIAO</cp:lastModifiedBy>
  <cp:lastPrinted>2020-06-15T03:27:00Z</cp:lastPrinted>
  <dcterms:modified xsi:type="dcterms:W3CDTF">2020-06-28T01:22:33Z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