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cs="宋体"/>
          <w:b/>
          <w:sz w:val="52"/>
          <w:szCs w:val="52"/>
        </w:rPr>
      </w:pPr>
    </w:p>
    <w:p>
      <w:pPr>
        <w:spacing w:line="560" w:lineRule="exact"/>
        <w:jc w:val="center"/>
        <w:rPr>
          <w:rFonts w:ascii="宋体" w:hAnsi="宋体" w:cs="宋体"/>
          <w:b/>
          <w:sz w:val="52"/>
          <w:szCs w:val="52"/>
        </w:rPr>
      </w:pPr>
    </w:p>
    <w:p>
      <w:pPr>
        <w:jc w:val="center"/>
        <w:rPr>
          <w:rFonts w:ascii="宋体" w:hAnsi="宋体" w:cs="宋体"/>
          <w:b/>
          <w:sz w:val="52"/>
          <w:szCs w:val="52"/>
        </w:rPr>
      </w:pPr>
    </w:p>
    <w:p>
      <w:pPr>
        <w:jc w:val="center"/>
        <w:rPr>
          <w:rFonts w:ascii="宋体" w:hAnsi="宋体" w:cs="宋体"/>
          <w:b/>
          <w:sz w:val="52"/>
          <w:szCs w:val="52"/>
        </w:rPr>
      </w:pPr>
      <w:r>
        <w:rPr>
          <w:rFonts w:hint="eastAsia" w:ascii="宋体" w:hAnsi="宋体" w:cs="宋体"/>
          <w:b/>
          <w:sz w:val="52"/>
          <w:szCs w:val="52"/>
        </w:rPr>
        <w:t>高</w:t>
      </w:r>
      <w:r>
        <w:rPr>
          <w:rFonts w:hint="eastAsia" w:ascii="宋体" w:hAnsi="宋体" w:cs="宋体"/>
          <w:b/>
          <w:sz w:val="52"/>
          <w:szCs w:val="52"/>
          <w:lang w:eastAsia="zh-CN"/>
        </w:rPr>
        <w:t>城镇</w:t>
      </w:r>
      <w:r>
        <w:rPr>
          <w:rFonts w:hint="eastAsia" w:ascii="宋体" w:hAnsi="宋体" w:cs="宋体"/>
          <w:b/>
          <w:sz w:val="52"/>
          <w:szCs w:val="52"/>
        </w:rPr>
        <w:t>人民政府</w:t>
      </w:r>
    </w:p>
    <w:p>
      <w:pPr>
        <w:jc w:val="center"/>
        <w:rPr>
          <w:rFonts w:ascii="宋体" w:hAnsi="宋体" w:cs="宋体"/>
          <w:b/>
          <w:sz w:val="52"/>
          <w:szCs w:val="52"/>
        </w:rPr>
      </w:pPr>
      <w:r>
        <w:rPr>
          <w:rFonts w:hint="eastAsia" w:ascii="宋体" w:hAnsi="宋体" w:cs="宋体"/>
          <w:b/>
          <w:sz w:val="52"/>
          <w:szCs w:val="52"/>
        </w:rPr>
        <w:t>2019年政府信息公开工作年度报告</w:t>
      </w:r>
    </w:p>
    <w:p>
      <w:pPr>
        <w:spacing w:line="560" w:lineRule="exact"/>
        <w:jc w:val="center"/>
        <w:rPr>
          <w:rFonts w:ascii="宋体" w:hAnsi="宋体" w:cs="宋体"/>
          <w:b/>
          <w:sz w:val="44"/>
          <w:szCs w:val="44"/>
        </w:rPr>
      </w:pPr>
    </w:p>
    <w:p>
      <w:pPr>
        <w:spacing w:line="560" w:lineRule="exact"/>
        <w:jc w:val="center"/>
        <w:rPr>
          <w:rFonts w:ascii="宋体" w:hAnsi="宋体" w:cs="宋体"/>
          <w:b/>
          <w:sz w:val="44"/>
          <w:szCs w:val="44"/>
        </w:rPr>
      </w:pPr>
    </w:p>
    <w:p>
      <w:pPr>
        <w:spacing w:line="560" w:lineRule="exact"/>
        <w:jc w:val="center"/>
        <w:rPr>
          <w:rFonts w:ascii="宋体" w:hAnsi="宋体" w:cs="宋体"/>
          <w:b/>
          <w:sz w:val="44"/>
          <w:szCs w:val="44"/>
        </w:rPr>
      </w:pPr>
    </w:p>
    <w:p>
      <w:pPr>
        <w:spacing w:line="560" w:lineRule="exact"/>
        <w:jc w:val="center"/>
        <w:rPr>
          <w:rFonts w:ascii="宋体" w:hAnsi="宋体" w:cs="宋体"/>
          <w:b/>
          <w:sz w:val="44"/>
          <w:szCs w:val="44"/>
        </w:rPr>
      </w:pPr>
    </w:p>
    <w:p>
      <w:pPr>
        <w:spacing w:line="560" w:lineRule="exact"/>
        <w:jc w:val="center"/>
        <w:rPr>
          <w:rFonts w:ascii="宋体" w:hAnsi="宋体" w:cs="宋体"/>
          <w:b/>
          <w:sz w:val="44"/>
          <w:szCs w:val="44"/>
        </w:rPr>
      </w:pPr>
    </w:p>
    <w:p>
      <w:pPr>
        <w:spacing w:line="560" w:lineRule="exact"/>
        <w:jc w:val="center"/>
        <w:rPr>
          <w:rFonts w:ascii="宋体" w:hAnsi="宋体" w:cs="宋体"/>
          <w:b/>
          <w:sz w:val="44"/>
          <w:szCs w:val="44"/>
        </w:rPr>
      </w:pPr>
    </w:p>
    <w:p>
      <w:pPr>
        <w:spacing w:line="560" w:lineRule="exact"/>
        <w:jc w:val="center"/>
        <w:rPr>
          <w:rFonts w:ascii="宋体" w:hAnsi="宋体" w:cs="宋体"/>
          <w:b/>
          <w:sz w:val="44"/>
          <w:szCs w:val="44"/>
        </w:rPr>
      </w:pPr>
    </w:p>
    <w:p>
      <w:pPr>
        <w:spacing w:line="560" w:lineRule="exact"/>
        <w:jc w:val="center"/>
        <w:rPr>
          <w:rFonts w:ascii="宋体" w:hAnsi="宋体" w:cs="宋体"/>
          <w:b/>
          <w:sz w:val="44"/>
          <w:szCs w:val="44"/>
        </w:rPr>
      </w:pPr>
    </w:p>
    <w:p>
      <w:pPr>
        <w:spacing w:line="560" w:lineRule="exact"/>
        <w:jc w:val="center"/>
        <w:rPr>
          <w:rFonts w:ascii="宋体" w:hAnsi="宋体" w:cs="宋体"/>
          <w:b/>
          <w:sz w:val="44"/>
          <w:szCs w:val="44"/>
        </w:rPr>
      </w:pPr>
    </w:p>
    <w:p>
      <w:pPr>
        <w:spacing w:line="560" w:lineRule="exact"/>
        <w:jc w:val="center"/>
        <w:rPr>
          <w:rFonts w:ascii="宋体" w:hAnsi="宋体" w:cs="宋体"/>
          <w:b/>
          <w:sz w:val="44"/>
          <w:szCs w:val="44"/>
        </w:rPr>
      </w:pPr>
    </w:p>
    <w:p>
      <w:pPr>
        <w:spacing w:line="560" w:lineRule="exact"/>
        <w:jc w:val="center"/>
        <w:rPr>
          <w:rFonts w:ascii="宋体" w:hAnsi="宋体" w:cs="宋体"/>
          <w:b/>
          <w:sz w:val="44"/>
          <w:szCs w:val="44"/>
        </w:rPr>
      </w:pPr>
    </w:p>
    <w:p>
      <w:pPr>
        <w:spacing w:line="560" w:lineRule="exact"/>
        <w:jc w:val="center"/>
        <w:rPr>
          <w:rFonts w:ascii="宋体" w:hAnsi="宋体" w:cs="宋体"/>
          <w:b/>
          <w:sz w:val="44"/>
          <w:szCs w:val="44"/>
        </w:rPr>
      </w:pPr>
    </w:p>
    <w:p>
      <w:pPr>
        <w:spacing w:line="560" w:lineRule="exact"/>
        <w:jc w:val="center"/>
        <w:rPr>
          <w:rFonts w:ascii="仿宋_GB2312" w:hAnsi="仿宋" w:eastAsia="仿宋_GB2312" w:cs="仿宋"/>
          <w:color w:val="000000" w:themeColor="text1"/>
          <w:sz w:val="32"/>
          <w:szCs w:val="32"/>
          <w14:textFill>
            <w14:solidFill>
              <w14:schemeClr w14:val="tx1"/>
            </w14:solidFill>
          </w14:textFill>
        </w:rPr>
      </w:pPr>
    </w:p>
    <w:p>
      <w:pPr>
        <w:pStyle w:val="8"/>
        <w:widowControl/>
        <w:spacing w:after="0" w:line="560" w:lineRule="exact"/>
        <w:jc w:val="center"/>
        <w:rPr>
          <w:rFonts w:ascii="仿宋_GB2312" w:hAnsi="仿宋" w:eastAsia="仿宋_GB2312" w:cs="仿宋"/>
          <w:color w:val="000000" w:themeColor="text1"/>
          <w:kern w:val="2"/>
          <w:sz w:val="32"/>
          <w:szCs w:val="32"/>
          <w14:textFill>
            <w14:solidFill>
              <w14:schemeClr w14:val="tx1"/>
            </w14:solidFill>
          </w14:textFill>
        </w:rPr>
      </w:pPr>
      <w:r>
        <w:rPr>
          <w:rFonts w:hint="eastAsia" w:ascii="仿宋_GB2312" w:hAnsi="仿宋" w:eastAsia="仿宋_GB2312" w:cs="仿宋"/>
          <w:color w:val="000000" w:themeColor="text1"/>
          <w:kern w:val="2"/>
          <w:sz w:val="32"/>
          <w:szCs w:val="32"/>
          <w14:textFill>
            <w14:solidFill>
              <w14:schemeClr w14:val="tx1"/>
            </w14:solidFill>
          </w14:textFill>
        </w:rPr>
        <w:t>高</w:t>
      </w:r>
      <w:r>
        <w:rPr>
          <w:rFonts w:hint="eastAsia" w:ascii="仿宋_GB2312" w:hAnsi="仿宋" w:eastAsia="仿宋_GB2312" w:cs="仿宋"/>
          <w:color w:val="000000" w:themeColor="text1"/>
          <w:kern w:val="2"/>
          <w:sz w:val="32"/>
          <w:szCs w:val="32"/>
          <w:lang w:eastAsia="zh-CN"/>
          <w14:textFill>
            <w14:solidFill>
              <w14:schemeClr w14:val="tx1"/>
            </w14:solidFill>
          </w14:textFill>
        </w:rPr>
        <w:t>城镇</w:t>
      </w:r>
      <w:r>
        <w:rPr>
          <w:rFonts w:hint="eastAsia" w:ascii="仿宋_GB2312" w:hAnsi="仿宋" w:eastAsia="仿宋_GB2312" w:cs="仿宋"/>
          <w:color w:val="000000" w:themeColor="text1"/>
          <w:kern w:val="2"/>
          <w:sz w:val="32"/>
          <w:szCs w:val="32"/>
          <w14:textFill>
            <w14:solidFill>
              <w14:schemeClr w14:val="tx1"/>
            </w14:solidFill>
          </w14:textFill>
        </w:rPr>
        <w:t>人民政府办公室</w:t>
      </w:r>
    </w:p>
    <w:p>
      <w:pPr>
        <w:pStyle w:val="8"/>
        <w:widowControl/>
        <w:spacing w:after="0" w:line="560" w:lineRule="exact"/>
        <w:jc w:val="center"/>
        <w:rPr>
          <w:rFonts w:ascii="仿宋_GB2312" w:hAnsi="仿宋" w:eastAsia="仿宋_GB2312" w:cs="仿宋"/>
          <w:color w:val="000000" w:themeColor="text1"/>
          <w:kern w:val="2"/>
          <w:sz w:val="32"/>
          <w:szCs w:val="32"/>
          <w14:textFill>
            <w14:solidFill>
              <w14:schemeClr w14:val="tx1"/>
            </w14:solidFill>
          </w14:textFill>
        </w:rPr>
      </w:pPr>
      <w:r>
        <w:rPr>
          <w:rFonts w:hint="eastAsia" w:ascii="仿宋_GB2312" w:hAnsi="仿宋" w:eastAsia="仿宋_GB2312" w:cs="仿宋"/>
          <w:color w:val="000000" w:themeColor="text1"/>
          <w:kern w:val="2"/>
          <w:sz w:val="32"/>
          <w:szCs w:val="32"/>
          <w14:textFill>
            <w14:solidFill>
              <w14:schemeClr w14:val="tx1"/>
            </w14:solidFill>
          </w14:textFill>
        </w:rPr>
        <w:t>2020年</w:t>
      </w:r>
      <w:r>
        <w:rPr>
          <w:rFonts w:hint="eastAsia" w:ascii="仿宋_GB2312" w:hAnsi="仿宋" w:eastAsia="仿宋_GB2312" w:cs="仿宋"/>
          <w:color w:val="000000" w:themeColor="text1"/>
          <w:kern w:val="2"/>
          <w:sz w:val="32"/>
          <w:szCs w:val="32"/>
          <w:lang w:val="en-US" w:eastAsia="zh-CN"/>
          <w14:textFill>
            <w14:solidFill>
              <w14:schemeClr w14:val="tx1"/>
            </w14:solidFill>
          </w14:textFill>
        </w:rPr>
        <w:t>1</w:t>
      </w:r>
      <w:r>
        <w:rPr>
          <w:rFonts w:hint="eastAsia" w:ascii="仿宋_GB2312" w:hAnsi="仿宋" w:eastAsia="仿宋_GB2312" w:cs="仿宋"/>
          <w:color w:val="000000" w:themeColor="text1"/>
          <w:kern w:val="2"/>
          <w:sz w:val="32"/>
          <w:szCs w:val="32"/>
          <w14:textFill>
            <w14:solidFill>
              <w14:schemeClr w14:val="tx1"/>
            </w14:solidFill>
          </w14:textFill>
        </w:rPr>
        <w:t>月</w:t>
      </w:r>
    </w:p>
    <w:p>
      <w:pPr>
        <w:spacing w:line="560" w:lineRule="exact"/>
        <w:jc w:val="center"/>
        <w:rPr>
          <w:rFonts w:ascii="宋体" w:hAnsi="宋体" w:cs="宋体"/>
          <w:b/>
          <w:sz w:val="44"/>
          <w:szCs w:val="44"/>
        </w:rPr>
      </w:pPr>
    </w:p>
    <w:p>
      <w:pPr>
        <w:spacing w:line="56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p>
    <w:p>
      <w:pPr>
        <w:spacing w:line="56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本报告根据《中华人民共和国政府信息公开条例》（</w:t>
      </w:r>
      <w:r>
        <w:rPr>
          <w:rFonts w:hint="eastAsia" w:ascii="Times New Roman" w:hAnsi="Times New Roman" w:eastAsia="仿宋_GB2312"/>
          <w:sz w:val="32"/>
          <w:szCs w:val="32"/>
        </w:rPr>
        <w:t>国务院令第</w:t>
      </w:r>
      <w:r>
        <w:rPr>
          <w:rFonts w:ascii="Times New Roman" w:hAnsi="Times New Roman" w:eastAsia="仿宋_GB2312"/>
          <w:sz w:val="32"/>
          <w:szCs w:val="32"/>
        </w:rPr>
        <w:t>711</w:t>
      </w:r>
      <w:r>
        <w:rPr>
          <w:rFonts w:hint="eastAsia" w:ascii="Times New Roman" w:hAnsi="Times New Roman" w:eastAsia="仿宋_GB2312"/>
          <w:sz w:val="32"/>
          <w:szCs w:val="32"/>
        </w:rPr>
        <w:t>号，以下简称《条例》</w:t>
      </w:r>
      <w:r>
        <w:rPr>
          <w:rFonts w:hint="eastAsia" w:ascii="仿宋_GB2312" w:hAnsi="仿宋" w:eastAsia="仿宋_GB2312" w:cs="仿宋"/>
          <w:color w:val="000000" w:themeColor="text1"/>
          <w:sz w:val="32"/>
          <w:szCs w:val="32"/>
          <w14:textFill>
            <w14:solidFill>
              <w14:schemeClr w14:val="tx1"/>
            </w14:solidFill>
          </w14:textFill>
        </w:rPr>
        <w:t>）要求，由高青县人民政府办公室综合各乡镇人民政府、街道办事处、经济开发区管委会和县政府各部门、各有关单位政府信息公开工作情况编制。</w:t>
      </w:r>
    </w:p>
    <w:p>
      <w:pPr>
        <w:ind w:firstLine="640" w:firstLineChars="200"/>
        <w:jc w:val="left"/>
        <w:rPr>
          <w:rFonts w:ascii="黑体" w:hAnsi="黑体" w:eastAsia="黑体"/>
          <w:kern w:val="22"/>
          <w:sz w:val="32"/>
          <w:szCs w:val="32"/>
        </w:rPr>
      </w:pPr>
      <w:r>
        <w:rPr>
          <w:rFonts w:hint="eastAsia" w:ascii="仿宋_GB2312" w:hAnsi="仿宋" w:eastAsia="仿宋_GB2312" w:cs="仿宋"/>
          <w:color w:val="000000" w:themeColor="text1"/>
          <w:sz w:val="32"/>
          <w:szCs w:val="32"/>
          <w14:textFill>
            <w14:solidFill>
              <w14:schemeClr w14:val="tx1"/>
            </w14:solidFill>
          </w14:textFill>
        </w:rPr>
        <w:t>报告全文由总体情况、主动公开政府信息情况、收到和处理政府信息公开申请情况、政府信息公开行政复议行政诉讼情况、存在的主要问题及改进情况、其他需要报告的事项6个部分组成。</w:t>
      </w:r>
    </w:p>
    <w:p>
      <w:pPr>
        <w:spacing w:line="560" w:lineRule="exact"/>
        <w:ind w:firstLine="640" w:firstLineChars="200"/>
        <w:jc w:val="both"/>
        <w:rPr>
          <w:rFonts w:ascii="黑体" w:hAnsi="黑体" w:eastAsia="黑体"/>
          <w:kern w:val="22"/>
          <w:sz w:val="32"/>
          <w:szCs w:val="32"/>
        </w:rPr>
      </w:pPr>
      <w:r>
        <w:rPr>
          <w:rFonts w:hint="eastAsia" w:ascii="仿宋_GB2312" w:hAnsi="仿宋" w:eastAsia="仿宋_GB2312" w:cs="仿宋"/>
          <w:color w:val="000000" w:themeColor="text1"/>
          <w:sz w:val="32"/>
          <w:szCs w:val="32"/>
          <w14:textFill>
            <w14:solidFill>
              <w14:schemeClr w14:val="tx1"/>
            </w14:solidFill>
          </w14:textFill>
        </w:rPr>
        <w:t>报告中所列数据统计期限自2019年1月1日始，至2019年12月31日止。报告电子版可在高青县人民政府门户网站（www.gaoqing.gov.cn）查阅和下载。如对报告内容有疑问，</w:t>
      </w:r>
      <w:r>
        <w:rPr>
          <w:rFonts w:hint="eastAsia" w:ascii="Times New Roman" w:hAnsi="Times New Roman" w:eastAsia="仿宋_GB2312"/>
          <w:kern w:val="22"/>
          <w:sz w:val="32"/>
          <w:szCs w:val="32"/>
        </w:rPr>
        <w:t>请与请与高青县高城镇</w:t>
      </w:r>
      <w:r>
        <w:rPr>
          <w:rFonts w:hint="eastAsia" w:ascii="Times New Roman" w:hAnsi="Times New Roman" w:eastAsia="仿宋_GB2312"/>
          <w:kern w:val="22"/>
          <w:sz w:val="32"/>
          <w:szCs w:val="32"/>
          <w:lang w:eastAsia="zh-CN"/>
        </w:rPr>
        <w:t>党政</w:t>
      </w:r>
      <w:r>
        <w:rPr>
          <w:rFonts w:hint="eastAsia" w:ascii="Times New Roman" w:hAnsi="Times New Roman" w:eastAsia="仿宋_GB2312"/>
          <w:kern w:val="22"/>
          <w:sz w:val="32"/>
          <w:szCs w:val="32"/>
        </w:rPr>
        <w:t>办公室联系，</w:t>
      </w:r>
      <w:r>
        <w:rPr>
          <w:rFonts w:hint="eastAsia" w:ascii="Times New Roman" w:hAnsi="Times New Roman" w:eastAsia="仿宋_GB2312"/>
          <w:kern w:val="22"/>
          <w:sz w:val="32"/>
          <w:szCs w:val="32"/>
          <w:lang w:eastAsia="zh-CN"/>
        </w:rPr>
        <w:t>（</w:t>
      </w:r>
      <w:r>
        <w:rPr>
          <w:rFonts w:hint="eastAsia" w:ascii="Times New Roman" w:hAnsi="Times New Roman" w:eastAsia="仿宋_GB2312"/>
          <w:kern w:val="22"/>
          <w:sz w:val="32"/>
          <w:szCs w:val="32"/>
        </w:rPr>
        <w:t>联系电话：</w:t>
      </w:r>
      <w:r>
        <w:rPr>
          <w:rFonts w:hint="eastAsia" w:ascii="Times New Roman" w:hAnsi="Times New Roman" w:eastAsia="仿宋_GB2312"/>
          <w:kern w:val="22"/>
          <w:sz w:val="32"/>
          <w:szCs w:val="32"/>
          <w:lang w:val="en-US" w:eastAsia="zh-CN"/>
        </w:rPr>
        <w:t>0533-6315004</w:t>
      </w:r>
      <w:r>
        <w:rPr>
          <w:rFonts w:hint="eastAsia" w:ascii="Times New Roman" w:hAnsi="Times New Roman" w:eastAsia="仿宋_GB2312"/>
          <w:kern w:val="22"/>
          <w:sz w:val="32"/>
          <w:szCs w:val="32"/>
        </w:rPr>
        <w:t>；邮箱：gqxgcz@zb.shandong.cn;传真：</w:t>
      </w:r>
      <w:r>
        <w:rPr>
          <w:rFonts w:hint="eastAsia" w:ascii="Times New Roman" w:hAnsi="Times New Roman" w:eastAsia="仿宋_GB2312"/>
          <w:kern w:val="22"/>
          <w:sz w:val="32"/>
          <w:szCs w:val="32"/>
          <w:lang w:val="en-US" w:eastAsia="zh-CN"/>
        </w:rPr>
        <w:t>0533-6315994</w:t>
      </w:r>
      <w:r>
        <w:rPr>
          <w:rFonts w:hint="eastAsia" w:ascii="Times New Roman" w:hAnsi="Times New Roman" w:eastAsia="仿宋_GB2312"/>
          <w:kern w:val="22"/>
          <w:sz w:val="32"/>
          <w:szCs w:val="32"/>
          <w:lang w:eastAsia="zh-CN"/>
        </w:rPr>
        <w:t>）。</w:t>
      </w:r>
    </w:p>
    <w:p>
      <w:pPr>
        <w:spacing w:line="560" w:lineRule="exact"/>
        <w:ind w:firstLine="640" w:firstLineChars="200"/>
        <w:jc w:val="left"/>
        <w:rPr>
          <w:rFonts w:ascii="黑体" w:hAnsi="黑体" w:eastAsia="黑体"/>
          <w:kern w:val="22"/>
          <w:sz w:val="32"/>
          <w:szCs w:val="32"/>
        </w:rPr>
      </w:pPr>
    </w:p>
    <w:p>
      <w:pPr>
        <w:spacing w:line="560" w:lineRule="exact"/>
        <w:ind w:firstLine="640" w:firstLineChars="200"/>
        <w:jc w:val="left"/>
        <w:rPr>
          <w:rFonts w:ascii="黑体" w:hAnsi="黑体" w:eastAsia="黑体"/>
          <w:kern w:val="22"/>
          <w:sz w:val="32"/>
          <w:szCs w:val="32"/>
        </w:rPr>
      </w:pPr>
    </w:p>
    <w:p>
      <w:pPr>
        <w:spacing w:line="560" w:lineRule="exact"/>
        <w:ind w:firstLine="640" w:firstLineChars="200"/>
        <w:jc w:val="left"/>
        <w:rPr>
          <w:rFonts w:ascii="黑体" w:hAnsi="黑体" w:eastAsia="黑体"/>
          <w:kern w:val="22"/>
          <w:sz w:val="32"/>
          <w:szCs w:val="32"/>
        </w:rPr>
      </w:pPr>
    </w:p>
    <w:p>
      <w:pPr>
        <w:spacing w:line="560" w:lineRule="exact"/>
        <w:ind w:firstLine="640" w:firstLineChars="200"/>
        <w:jc w:val="left"/>
        <w:rPr>
          <w:rFonts w:ascii="黑体" w:hAnsi="黑体" w:eastAsia="黑体"/>
          <w:kern w:val="22"/>
          <w:sz w:val="32"/>
          <w:szCs w:val="32"/>
        </w:rPr>
      </w:pPr>
    </w:p>
    <w:p>
      <w:pPr>
        <w:spacing w:line="560" w:lineRule="exact"/>
        <w:ind w:firstLine="640" w:firstLineChars="200"/>
        <w:jc w:val="left"/>
        <w:rPr>
          <w:rFonts w:ascii="黑体" w:hAnsi="黑体" w:eastAsia="黑体"/>
          <w:kern w:val="22"/>
          <w:sz w:val="32"/>
          <w:szCs w:val="32"/>
        </w:rPr>
      </w:pPr>
    </w:p>
    <w:p>
      <w:pPr>
        <w:spacing w:line="560" w:lineRule="exact"/>
        <w:ind w:firstLine="640" w:firstLineChars="200"/>
        <w:jc w:val="left"/>
        <w:rPr>
          <w:rFonts w:ascii="黑体" w:hAnsi="黑体" w:eastAsia="黑体"/>
          <w:kern w:val="22"/>
          <w:sz w:val="32"/>
          <w:szCs w:val="32"/>
        </w:rPr>
      </w:pPr>
    </w:p>
    <w:p>
      <w:pPr>
        <w:spacing w:line="560" w:lineRule="exact"/>
        <w:ind w:firstLine="640" w:firstLineChars="200"/>
        <w:jc w:val="left"/>
        <w:rPr>
          <w:rFonts w:ascii="黑体" w:hAnsi="黑体" w:eastAsia="黑体"/>
          <w:kern w:val="22"/>
          <w:sz w:val="32"/>
          <w:szCs w:val="32"/>
        </w:rPr>
      </w:pPr>
    </w:p>
    <w:p>
      <w:pPr>
        <w:spacing w:line="560" w:lineRule="exact"/>
        <w:ind w:firstLine="640" w:firstLineChars="200"/>
        <w:jc w:val="left"/>
        <w:rPr>
          <w:rFonts w:ascii="黑体" w:hAnsi="黑体" w:eastAsia="黑体"/>
          <w:kern w:val="22"/>
          <w:sz w:val="32"/>
          <w:szCs w:val="32"/>
        </w:rPr>
      </w:pPr>
    </w:p>
    <w:p>
      <w:pPr>
        <w:spacing w:line="560" w:lineRule="exact"/>
        <w:ind w:firstLine="640" w:firstLineChars="200"/>
        <w:jc w:val="left"/>
        <w:rPr>
          <w:rFonts w:ascii="黑体" w:hAnsi="黑体" w:eastAsia="黑体"/>
          <w:kern w:val="22"/>
          <w:sz w:val="32"/>
          <w:szCs w:val="32"/>
        </w:rPr>
      </w:pPr>
    </w:p>
    <w:p>
      <w:pPr>
        <w:spacing w:line="560" w:lineRule="exact"/>
        <w:ind w:firstLine="640" w:firstLineChars="200"/>
        <w:jc w:val="left"/>
        <w:rPr>
          <w:rFonts w:ascii="黑体" w:hAnsi="黑体" w:eastAsia="黑体"/>
          <w:kern w:val="22"/>
          <w:sz w:val="32"/>
          <w:szCs w:val="32"/>
        </w:rPr>
      </w:pPr>
      <w:r>
        <w:rPr>
          <w:rFonts w:hint="eastAsia" w:ascii="黑体" w:hAnsi="黑体" w:eastAsia="黑体"/>
          <w:kern w:val="22"/>
          <w:sz w:val="32"/>
          <w:szCs w:val="32"/>
        </w:rPr>
        <w:t>一、总体情况</w:t>
      </w:r>
    </w:p>
    <w:p>
      <w:pPr>
        <w:pStyle w:val="8"/>
        <w:widowControl/>
        <w:spacing w:after="0" w:line="560" w:lineRule="exact"/>
        <w:ind w:firstLine="640" w:firstLineChars="200"/>
        <w:jc w:val="both"/>
        <w:rPr>
          <w:rFonts w:ascii="Times New Roman" w:hAnsi="Times New Roman" w:eastAsia="仿宋_GB2312"/>
          <w:kern w:val="22"/>
          <w:sz w:val="32"/>
          <w:szCs w:val="32"/>
        </w:rPr>
      </w:pPr>
      <w:r>
        <w:rPr>
          <w:rFonts w:hint="eastAsia" w:ascii="Times New Roman" w:hAnsi="Times New Roman" w:eastAsia="仿宋_GB2312"/>
          <w:kern w:val="22"/>
          <w:sz w:val="32"/>
          <w:szCs w:val="32"/>
        </w:rPr>
        <w:t>2019年，高</w:t>
      </w:r>
      <w:r>
        <w:rPr>
          <w:rFonts w:hint="eastAsia" w:ascii="Times New Roman" w:hAnsi="Times New Roman" w:eastAsia="仿宋_GB2312"/>
          <w:kern w:val="22"/>
          <w:sz w:val="32"/>
          <w:szCs w:val="32"/>
          <w:lang w:eastAsia="zh-CN"/>
        </w:rPr>
        <w:t>城镇</w:t>
      </w:r>
      <w:r>
        <w:rPr>
          <w:rFonts w:hint="eastAsia" w:ascii="Times New Roman" w:hAnsi="Times New Roman" w:eastAsia="仿宋_GB2312"/>
          <w:kern w:val="22"/>
          <w:sz w:val="32"/>
          <w:szCs w:val="32"/>
        </w:rPr>
        <w:t>深入贯彻新修订的《中华人民共和国政府信息公开条例》，认真落实《国务院办公厅关于印发2019年政务公开工作要点的通知》（国办发〔2019〕14号）、《山东省人民政府办公厅关于印发2019年山东省政务公开工作要点的通知》（鲁政办发〔2019〕15号）和《淄博市人民政府办公室关于印发2019年淄博市政务公开工作方案的通知》（淄政办发〔2019〕5号）部署的各项任务，持续做好信息发布、解读回应、政民互动、平台建设，着力推动行政权力全过程公开、公共服务全流程公开、社会关切全方位回应，切实提升政务公开质量，为全年经济社会发展创造更加开放透明的政务环境。</w:t>
      </w:r>
    </w:p>
    <w:p>
      <w:pPr>
        <w:pStyle w:val="8"/>
        <w:widowControl/>
        <w:spacing w:after="0" w:line="560" w:lineRule="exact"/>
        <w:ind w:firstLine="640" w:firstLineChars="200"/>
        <w:jc w:val="both"/>
        <w:rPr>
          <w:rFonts w:ascii="楷体_GB2312" w:hAnsi="Times New Roman" w:eastAsia="楷体_GB2312"/>
          <w:color w:val="auto"/>
          <w:kern w:val="22"/>
          <w:sz w:val="32"/>
          <w:szCs w:val="32"/>
        </w:rPr>
      </w:pPr>
      <w:r>
        <w:rPr>
          <w:rFonts w:hint="eastAsia" w:ascii="楷体_GB2312" w:hAnsi="Times New Roman" w:eastAsia="楷体_GB2312"/>
          <w:color w:val="auto"/>
          <w:kern w:val="22"/>
          <w:sz w:val="32"/>
          <w:szCs w:val="32"/>
        </w:rPr>
        <w:t>（一）政府信息公开体制机制建设情况</w:t>
      </w:r>
    </w:p>
    <w:p>
      <w:pPr>
        <w:pStyle w:val="8"/>
        <w:widowControl/>
        <w:spacing w:after="0" w:line="560" w:lineRule="exact"/>
        <w:ind w:firstLine="643" w:firstLineChars="200"/>
        <w:jc w:val="both"/>
        <w:rPr>
          <w:rFonts w:hint="eastAsia" w:ascii="仿宋_GB2312" w:hAnsi="仿宋_GB2312" w:eastAsia="仿宋_GB2312" w:cs="仿宋_GB2312"/>
          <w:kern w:val="22"/>
          <w:sz w:val="32"/>
          <w:szCs w:val="32"/>
        </w:rPr>
      </w:pPr>
      <w:r>
        <w:rPr>
          <w:rFonts w:hint="eastAsia" w:ascii="Times New Roman" w:hAnsi="Times New Roman" w:eastAsia="仿宋_GB2312"/>
          <w:b/>
          <w:kern w:val="22"/>
          <w:sz w:val="32"/>
          <w:szCs w:val="32"/>
        </w:rPr>
        <w:t>一是强化部署推动。</w:t>
      </w:r>
      <w:r>
        <w:rPr>
          <w:rFonts w:hint="eastAsia" w:ascii="仿宋_GB2312" w:hAnsi="仿宋_GB2312" w:eastAsia="仿宋_GB2312" w:cs="仿宋_GB2312"/>
          <w:kern w:val="22"/>
          <w:sz w:val="32"/>
          <w:szCs w:val="32"/>
        </w:rPr>
        <w:t>进一步明确党政办作为政务公开工作主管科室，具体负责组织协调、指导推进、监督检查全镇政务公开工作，切实做到机构到位、责任到位、人员到位、经费到位，政务公开工作队伍建设进一步加强。</w:t>
      </w:r>
    </w:p>
    <w:p>
      <w:pPr>
        <w:pStyle w:val="8"/>
        <w:widowControl/>
        <w:spacing w:after="0" w:line="560" w:lineRule="exact"/>
        <w:ind w:firstLine="640" w:firstLineChars="200"/>
        <w:jc w:val="both"/>
        <w:rPr>
          <w:rFonts w:hint="eastAsia" w:ascii="楷体_GB2312" w:hAnsi="Times New Roman" w:eastAsia="楷体_GB2312"/>
          <w:color w:val="auto"/>
          <w:kern w:val="22"/>
          <w:sz w:val="32"/>
          <w:szCs w:val="32"/>
        </w:rPr>
      </w:pPr>
      <w:r>
        <w:rPr>
          <w:rFonts w:hint="eastAsia" w:ascii="楷体_GB2312" w:hAnsi="Times New Roman" w:eastAsia="楷体_GB2312"/>
          <w:color w:val="auto"/>
          <w:kern w:val="22"/>
          <w:sz w:val="32"/>
          <w:szCs w:val="32"/>
          <w:lang w:eastAsia="zh-CN"/>
        </w:rPr>
        <w:t>（</w:t>
      </w:r>
      <w:r>
        <w:rPr>
          <w:rFonts w:hint="eastAsia" w:ascii="楷体_GB2312" w:hAnsi="Times New Roman" w:eastAsia="楷体_GB2312"/>
          <w:color w:val="auto"/>
          <w:kern w:val="22"/>
          <w:sz w:val="32"/>
          <w:szCs w:val="32"/>
        </w:rPr>
        <w:t>二）主动公开政府信息情况</w:t>
      </w:r>
    </w:p>
    <w:p>
      <w:pPr>
        <w:pStyle w:val="8"/>
        <w:widowControl/>
        <w:spacing w:after="0" w:line="560" w:lineRule="exact"/>
        <w:ind w:firstLine="643" w:firstLineChars="200"/>
        <w:jc w:val="both"/>
        <w:rPr>
          <w:sz w:val="24"/>
          <w:szCs w:val="24"/>
        </w:rPr>
      </w:pPr>
      <w:r>
        <w:rPr>
          <w:rFonts w:hint="eastAsia" w:ascii="Times New Roman" w:hAnsi="Times New Roman" w:eastAsia="仿宋_GB2312"/>
          <w:b/>
          <w:kern w:val="22"/>
          <w:sz w:val="32"/>
          <w:szCs w:val="32"/>
        </w:rPr>
        <w:t>人大代表建议和政协委员提案办理结果公开</w:t>
      </w:r>
      <w:r>
        <w:rPr>
          <w:rFonts w:hint="eastAsia" w:ascii="Times New Roman" w:hAnsi="Times New Roman" w:eastAsia="仿宋_GB2312"/>
          <w:b/>
          <w:kern w:val="22"/>
          <w:sz w:val="32"/>
          <w:szCs w:val="32"/>
          <w:lang w:eastAsia="zh-CN"/>
        </w:rPr>
        <w:t>方面：</w:t>
      </w:r>
      <w:r>
        <w:rPr>
          <w:rFonts w:hint="eastAsia" w:ascii="Times New Roman" w:hAnsi="Times New Roman" w:eastAsia="仿宋_GB2312"/>
          <w:kern w:val="22"/>
          <w:sz w:val="32"/>
          <w:szCs w:val="32"/>
        </w:rPr>
        <w:t>按照《高青县人民政府办公室关于做好2019年度政府系统建议提案办理工作的通知》（高政办字〔2019〕14号）要求，在县政府网站“建议提案办理”栏目主动公开人大代表建议</w:t>
      </w:r>
      <w:r>
        <w:rPr>
          <w:rFonts w:hint="eastAsia" w:ascii="仿宋_GB2312" w:eastAsia="仿宋_GB2312"/>
          <w:sz w:val="32"/>
          <w:szCs w:val="32"/>
        </w:rPr>
        <w:t>和政协委员提案办理情况。2019年主动公开</w:t>
      </w:r>
      <w:r>
        <w:rPr>
          <w:rFonts w:hint="eastAsia" w:ascii="仿宋_GB2312" w:eastAsia="仿宋_GB2312"/>
          <w:sz w:val="32"/>
          <w:szCs w:val="32"/>
          <w:lang w:eastAsia="zh-CN"/>
        </w:rPr>
        <w:t>高城镇</w:t>
      </w:r>
      <w:r>
        <w:rPr>
          <w:rFonts w:hint="eastAsia" w:ascii="仿宋_GB2312" w:eastAsia="仿宋_GB2312"/>
          <w:sz w:val="32"/>
          <w:szCs w:val="32"/>
        </w:rPr>
        <w:t>承办县人大代表建议</w:t>
      </w:r>
      <w:r>
        <w:rPr>
          <w:rFonts w:hint="eastAsia" w:ascii="Times New Roman" w:hAnsi="Times New Roman" w:eastAsia="仿宋_GB2312" w:cstheme="minorBidi"/>
          <w:kern w:val="22"/>
          <w:sz w:val="32"/>
          <w:szCs w:val="32"/>
          <w:lang w:val="en-US" w:eastAsia="zh-CN" w:bidi="ar"/>
        </w:rPr>
        <w:t>11</w:t>
      </w:r>
      <w:r>
        <w:rPr>
          <w:rFonts w:hint="eastAsia" w:ascii="仿宋_GB2312" w:eastAsia="仿宋_GB2312"/>
          <w:sz w:val="32"/>
          <w:szCs w:val="32"/>
        </w:rPr>
        <w:t>件</w:t>
      </w:r>
      <w:r>
        <w:rPr>
          <w:rFonts w:hint="eastAsia" w:ascii="仿宋_GB2312" w:eastAsia="仿宋_GB2312"/>
          <w:sz w:val="32"/>
          <w:szCs w:val="32"/>
          <w:lang w:eastAsia="zh-CN"/>
        </w:rPr>
        <w:t>，</w:t>
      </w:r>
      <w:r>
        <w:rPr>
          <w:rFonts w:hint="eastAsia" w:ascii="仿宋_GB2312" w:eastAsia="仿宋_GB2312"/>
          <w:sz w:val="32"/>
          <w:szCs w:val="32"/>
        </w:rPr>
        <w:t>县政协委员提案的整体办理情况</w:t>
      </w:r>
      <w:r>
        <w:rPr>
          <w:rFonts w:hint="eastAsia" w:ascii="Times New Roman" w:hAnsi="Times New Roman" w:eastAsia="仿宋_GB2312" w:cstheme="minorBidi"/>
          <w:kern w:val="22"/>
          <w:sz w:val="32"/>
          <w:szCs w:val="32"/>
          <w:lang w:val="en-US" w:eastAsia="zh-CN" w:bidi="ar"/>
        </w:rPr>
        <w:t>7</w:t>
      </w:r>
      <w:r>
        <w:rPr>
          <w:rFonts w:hint="eastAsia" w:ascii="仿宋_GB2312" w:eastAsia="仿宋_GB2312"/>
          <w:sz w:val="32"/>
          <w:szCs w:val="32"/>
        </w:rPr>
        <w:t>件，</w:t>
      </w:r>
      <w:r>
        <w:rPr>
          <w:rFonts w:hint="eastAsia" w:ascii="仿宋_GB2312" w:eastAsia="仿宋_GB2312"/>
          <w:sz w:val="32"/>
          <w:szCs w:val="32"/>
          <w:lang w:eastAsia="zh-CN"/>
        </w:rPr>
        <w:t>并</w:t>
      </w:r>
      <w:r>
        <w:rPr>
          <w:rFonts w:hint="eastAsia" w:ascii="仿宋_GB2312" w:eastAsia="仿宋_GB2312"/>
          <w:sz w:val="32"/>
          <w:szCs w:val="32"/>
        </w:rPr>
        <w:t>对涉及公共利益、公众权益、社会关切及需要社会广泛知晓的建议和提案办理复文全文予以公开。</w:t>
      </w:r>
    </w:p>
    <w:p>
      <w:pPr>
        <w:pStyle w:val="8"/>
        <w:widowControl/>
        <w:spacing w:after="0" w:line="560" w:lineRule="exact"/>
        <w:ind w:firstLine="643" w:firstLineChars="200"/>
        <w:jc w:val="both"/>
        <w:rPr>
          <w:rFonts w:ascii="楷体_GB2312" w:hAnsi="Times New Roman" w:eastAsia="楷体_GB2312"/>
          <w:kern w:val="22"/>
          <w:sz w:val="32"/>
          <w:szCs w:val="32"/>
        </w:rPr>
      </w:pPr>
      <w:r>
        <w:rPr>
          <w:rFonts w:hint="eastAsia" w:ascii="Times New Roman" w:hAnsi="Times New Roman" w:eastAsia="仿宋_GB2312" w:cs="Times New Roman"/>
          <w:b/>
          <w:kern w:val="22"/>
          <w:sz w:val="32"/>
          <w:szCs w:val="32"/>
          <w:lang w:val="en-US" w:eastAsia="zh-CN" w:bidi="ar-SA"/>
        </w:rPr>
        <w:t>财政信息公开方面：</w:t>
      </w:r>
      <w:r>
        <w:rPr>
          <w:rFonts w:ascii="仿宋_GB2312" w:eastAsia="仿宋_GB2312"/>
          <w:sz w:val="32"/>
          <w:szCs w:val="32"/>
        </w:rPr>
        <w:t>按照《高青县政府预算决算公开暂行办法》(高财字〔2014〕88号)和《高青县县级</w:t>
      </w:r>
      <w:r>
        <w:rPr>
          <w:rFonts w:hint="eastAsia" w:ascii="仿宋_GB2312" w:eastAsia="仿宋_GB2312"/>
          <w:sz w:val="32"/>
          <w:szCs w:val="32"/>
        </w:rPr>
        <w:t>“</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经费预算管理和公开暂行办法》(高财字〔2014〕89号)要求，除涉密信息外，将</w:t>
      </w:r>
      <w:r>
        <w:rPr>
          <w:rFonts w:hint="eastAsia" w:ascii="仿宋_GB2312" w:eastAsia="仿宋_GB2312"/>
          <w:sz w:val="32"/>
          <w:szCs w:val="32"/>
          <w:lang w:val="en-US" w:eastAsia="zh-CN"/>
        </w:rPr>
        <w:t>2019年</w:t>
      </w:r>
      <w:r>
        <w:rPr>
          <w:rFonts w:hint="eastAsia" w:ascii="仿宋_GB2312" w:eastAsia="仿宋_GB2312"/>
          <w:sz w:val="32"/>
          <w:szCs w:val="32"/>
          <w:lang w:eastAsia="zh-CN"/>
        </w:rPr>
        <w:t>全镇</w:t>
      </w:r>
      <w:r>
        <w:rPr>
          <w:rFonts w:ascii="仿宋_GB2312" w:eastAsia="仿宋_GB2312"/>
          <w:sz w:val="32"/>
          <w:szCs w:val="32"/>
        </w:rPr>
        <w:t>政府预算和2018年政府决算信息全部在</w:t>
      </w:r>
      <w:r>
        <w:rPr>
          <w:rFonts w:hint="eastAsia" w:ascii="仿宋_GB2312" w:eastAsia="仿宋_GB2312"/>
          <w:sz w:val="32"/>
          <w:szCs w:val="32"/>
        </w:rPr>
        <w:t>县政府网站</w:t>
      </w:r>
      <w:r>
        <w:rPr>
          <w:rFonts w:ascii="仿宋_GB2312" w:eastAsia="仿宋_GB2312"/>
          <w:sz w:val="32"/>
          <w:szCs w:val="32"/>
        </w:rPr>
        <w:t>进行公开</w:t>
      </w:r>
      <w:r>
        <w:rPr>
          <w:rFonts w:hint="eastAsia" w:ascii="仿宋_GB2312" w:eastAsia="仿宋_GB2312"/>
          <w:sz w:val="32"/>
          <w:szCs w:val="32"/>
          <w:lang w:eastAsia="zh-CN"/>
        </w:rPr>
        <w:t>。</w:t>
      </w:r>
    </w:p>
    <w:p>
      <w:pPr>
        <w:pStyle w:val="8"/>
        <w:widowControl/>
        <w:spacing w:after="0" w:line="560" w:lineRule="exact"/>
        <w:ind w:firstLine="640" w:firstLineChars="200"/>
        <w:jc w:val="both"/>
        <w:rPr>
          <w:rFonts w:ascii="楷体_GB2312" w:hAnsi="Times New Roman" w:eastAsia="楷体_GB2312"/>
          <w:color w:val="auto"/>
          <w:kern w:val="22"/>
          <w:sz w:val="32"/>
          <w:szCs w:val="32"/>
        </w:rPr>
      </w:pPr>
      <w:r>
        <w:rPr>
          <w:rFonts w:hint="eastAsia" w:ascii="楷体_GB2312" w:hAnsi="Times New Roman" w:eastAsia="楷体_GB2312"/>
          <w:color w:val="auto"/>
          <w:kern w:val="22"/>
          <w:sz w:val="32"/>
          <w:szCs w:val="32"/>
        </w:rPr>
        <w:t>（三）依申请公开情况</w:t>
      </w:r>
    </w:p>
    <w:p>
      <w:pPr>
        <w:pStyle w:val="8"/>
        <w:widowControl/>
        <w:spacing w:after="0" w:line="560" w:lineRule="exact"/>
        <w:ind w:firstLine="643" w:firstLineChars="200"/>
        <w:jc w:val="both"/>
        <w:rPr>
          <w:rFonts w:hint="eastAsia" w:ascii="Times New Roman" w:hAnsi="Times New Roman" w:eastAsia="仿宋_GB2312"/>
          <w:b/>
          <w:kern w:val="22"/>
          <w:sz w:val="32"/>
          <w:szCs w:val="32"/>
        </w:rPr>
      </w:pPr>
      <w:r>
        <w:rPr>
          <w:rFonts w:hint="eastAsia" w:ascii="Times New Roman" w:hAnsi="Times New Roman" w:eastAsia="仿宋_GB2312"/>
          <w:b/>
          <w:kern w:val="22"/>
          <w:sz w:val="32"/>
          <w:szCs w:val="32"/>
        </w:rPr>
        <w:t>1.收到和处理政府信息公开申请情况</w:t>
      </w:r>
    </w:p>
    <w:p>
      <w:pPr>
        <w:pStyle w:val="8"/>
        <w:widowControl/>
        <w:spacing w:after="0"/>
        <w:ind w:firstLine="640" w:firstLineChars="200"/>
        <w:jc w:val="both"/>
        <w:rPr>
          <w:rFonts w:hint="eastAsia" w:ascii="Times New Roman" w:hAnsi="Times New Roman" w:eastAsia="仿宋_GB2312"/>
          <w:b/>
          <w:color w:val="FF0000"/>
          <w:kern w:val="0"/>
          <w:sz w:val="32"/>
          <w:szCs w:val="32"/>
        </w:rPr>
      </w:pPr>
      <w:r>
        <w:rPr>
          <w:rFonts w:hint="eastAsia" w:ascii="仿宋_GB2312" w:hAnsi="仿宋" w:eastAsia="仿宋_GB2312" w:cs="仿宋"/>
          <w:color w:val="000000"/>
          <w:sz w:val="32"/>
          <w:szCs w:val="32"/>
        </w:rPr>
        <w:t>2019年度</w:t>
      </w:r>
      <w:r>
        <w:rPr>
          <w:rFonts w:hint="eastAsia" w:ascii="仿宋_GB2312" w:hAnsi="仿宋" w:eastAsia="仿宋_GB2312" w:cs="仿宋"/>
          <w:color w:val="000000"/>
          <w:sz w:val="32"/>
          <w:szCs w:val="32"/>
          <w:lang w:val="en-US" w:eastAsia="zh-CN"/>
        </w:rPr>
        <w:t>,高城镇</w:t>
      </w:r>
      <w:r>
        <w:rPr>
          <w:rFonts w:hint="eastAsia" w:ascii="仿宋_GB2312" w:hAnsi="仿宋" w:eastAsia="仿宋_GB2312" w:cs="仿宋"/>
          <w:color w:val="000000"/>
          <w:sz w:val="32"/>
          <w:szCs w:val="32"/>
        </w:rPr>
        <w:t>共收到政府信息公开申请</w:t>
      </w:r>
      <w:r>
        <w:rPr>
          <w:rFonts w:hint="eastAsia" w:ascii="仿宋_GB2312" w:hAnsi="仿宋" w:eastAsia="仿宋_GB2312" w:cs="仿宋"/>
          <w:color w:val="000000"/>
          <w:sz w:val="32"/>
          <w:szCs w:val="32"/>
          <w:u w:val="single"/>
          <w:lang w:val="en-US" w:eastAsia="zh-CN"/>
        </w:rPr>
        <w:t>0</w:t>
      </w:r>
      <w:r>
        <w:rPr>
          <w:rFonts w:hint="eastAsia" w:ascii="仿宋_GB2312" w:hAnsi="仿宋" w:eastAsia="仿宋_GB2312" w:cs="仿宋"/>
          <w:color w:val="000000"/>
          <w:sz w:val="32"/>
          <w:szCs w:val="32"/>
        </w:rPr>
        <w:t>件，结转下年度继续办理</w:t>
      </w:r>
      <w:r>
        <w:rPr>
          <w:rFonts w:hint="eastAsia" w:ascii="仿宋_GB2312" w:hAnsi="仿宋" w:eastAsia="仿宋_GB2312" w:cs="仿宋"/>
          <w:color w:val="000000"/>
          <w:sz w:val="32"/>
          <w:szCs w:val="32"/>
          <w:u w:val="single"/>
          <w:lang w:val="en-US" w:eastAsia="zh-CN"/>
        </w:rPr>
        <w:t>0</w:t>
      </w:r>
      <w:r>
        <w:rPr>
          <w:rFonts w:hint="eastAsia" w:ascii="仿宋_GB2312" w:hAnsi="仿宋" w:eastAsia="仿宋_GB2312" w:cs="仿宋"/>
          <w:color w:val="000000"/>
          <w:sz w:val="32"/>
          <w:szCs w:val="32"/>
        </w:rPr>
        <w:t>件，上年结转政府信息公开申请</w:t>
      </w:r>
      <w:r>
        <w:rPr>
          <w:rFonts w:hint="eastAsia" w:ascii="仿宋_GB2312" w:hAnsi="仿宋" w:eastAsia="仿宋_GB2312" w:cs="仿宋"/>
          <w:color w:val="000000"/>
          <w:sz w:val="32"/>
          <w:szCs w:val="32"/>
          <w:u w:val="single"/>
          <w:lang w:val="en-US" w:eastAsia="zh-CN"/>
        </w:rPr>
        <w:t>0</w:t>
      </w:r>
      <w:r>
        <w:rPr>
          <w:rFonts w:hint="eastAsia" w:ascii="仿宋_GB2312" w:hAnsi="仿宋" w:eastAsia="仿宋_GB2312" w:cs="仿宋"/>
          <w:color w:val="000000"/>
          <w:sz w:val="32"/>
          <w:szCs w:val="32"/>
        </w:rPr>
        <w:t>件。</w:t>
      </w:r>
    </w:p>
    <w:p>
      <w:pPr>
        <w:pStyle w:val="8"/>
        <w:widowControl/>
        <w:spacing w:after="0" w:line="560" w:lineRule="exact"/>
        <w:ind w:firstLine="643" w:firstLineChars="200"/>
        <w:jc w:val="both"/>
        <w:rPr>
          <w:rFonts w:hint="eastAsia" w:ascii="Times New Roman" w:hAnsi="Times New Roman" w:eastAsia="仿宋_GB2312"/>
          <w:b/>
          <w:kern w:val="22"/>
          <w:sz w:val="32"/>
          <w:szCs w:val="32"/>
        </w:rPr>
      </w:pPr>
      <w:r>
        <w:rPr>
          <w:rFonts w:hint="eastAsia" w:ascii="Times New Roman" w:hAnsi="Times New Roman" w:eastAsia="仿宋_GB2312"/>
          <w:b/>
          <w:kern w:val="22"/>
          <w:sz w:val="32"/>
          <w:szCs w:val="32"/>
          <w:lang w:val="en-US" w:eastAsia="zh-CN"/>
        </w:rPr>
        <w:t>2.</w:t>
      </w:r>
      <w:r>
        <w:rPr>
          <w:rFonts w:hint="eastAsia" w:ascii="Times New Roman" w:hAnsi="Times New Roman" w:eastAsia="仿宋_GB2312"/>
          <w:b/>
          <w:kern w:val="22"/>
          <w:sz w:val="32"/>
          <w:szCs w:val="32"/>
        </w:rPr>
        <w:t>收费及减免情况</w:t>
      </w:r>
    </w:p>
    <w:p>
      <w:pPr>
        <w:pStyle w:val="8"/>
        <w:widowControl/>
        <w:numPr>
          <w:ilvl w:val="0"/>
          <w:numId w:val="0"/>
        </w:numPr>
        <w:spacing w:after="0" w:line="560" w:lineRule="exact"/>
        <w:ind w:firstLine="640" w:firstLineChars="200"/>
        <w:jc w:val="both"/>
        <w:rPr>
          <w:rFonts w:hint="eastAsia" w:ascii="Times New Roman" w:hAnsi="Times New Roman" w:eastAsia="仿宋_GB2312"/>
          <w:b/>
          <w:color w:val="FF0000"/>
          <w:sz w:val="32"/>
          <w:szCs w:val="32"/>
        </w:rPr>
      </w:pPr>
      <w:r>
        <w:rPr>
          <w:rFonts w:hint="eastAsia" w:ascii="Times New Roman" w:hAnsi="Times New Roman" w:eastAsia="仿宋_GB2312"/>
          <w:kern w:val="22"/>
          <w:sz w:val="32"/>
          <w:szCs w:val="32"/>
        </w:rPr>
        <w:t>本年度，</w:t>
      </w:r>
      <w:r>
        <w:rPr>
          <w:rFonts w:hint="eastAsia" w:ascii="Times New Roman" w:hAnsi="Times New Roman" w:eastAsia="仿宋_GB2312"/>
          <w:kern w:val="22"/>
          <w:sz w:val="32"/>
          <w:szCs w:val="32"/>
          <w:lang w:eastAsia="zh-CN"/>
        </w:rPr>
        <w:t>高青县高城镇人民政府</w:t>
      </w:r>
      <w:r>
        <w:rPr>
          <w:rFonts w:hint="eastAsia" w:ascii="Times New Roman" w:hAnsi="Times New Roman" w:eastAsia="仿宋_GB2312"/>
          <w:kern w:val="22"/>
          <w:sz w:val="32"/>
          <w:szCs w:val="32"/>
        </w:rPr>
        <w:t>在政府信息公开申请办理过程中，未收取任何费用。</w:t>
      </w:r>
    </w:p>
    <w:p>
      <w:pPr>
        <w:pStyle w:val="8"/>
        <w:widowControl/>
        <w:spacing w:after="0" w:line="560" w:lineRule="exact"/>
        <w:ind w:firstLine="643" w:firstLineChars="200"/>
        <w:jc w:val="both"/>
        <w:rPr>
          <w:rFonts w:hint="eastAsia" w:ascii="Times New Roman" w:hAnsi="Times New Roman" w:eastAsia="仿宋_GB2312"/>
          <w:b/>
          <w:kern w:val="22"/>
          <w:sz w:val="32"/>
          <w:szCs w:val="32"/>
        </w:rPr>
      </w:pPr>
      <w:r>
        <w:rPr>
          <w:rFonts w:hint="eastAsia" w:ascii="Times New Roman" w:hAnsi="Times New Roman" w:eastAsia="仿宋_GB2312"/>
          <w:b/>
          <w:kern w:val="22"/>
          <w:sz w:val="32"/>
          <w:szCs w:val="32"/>
          <w:lang w:val="en-US" w:eastAsia="zh-CN"/>
        </w:rPr>
        <w:t>3.</w:t>
      </w:r>
      <w:r>
        <w:rPr>
          <w:rFonts w:hint="eastAsia" w:ascii="Times New Roman" w:hAnsi="Times New Roman" w:eastAsia="仿宋_GB2312"/>
          <w:b/>
          <w:kern w:val="22"/>
          <w:sz w:val="32"/>
          <w:szCs w:val="32"/>
        </w:rPr>
        <w:t>政府信息公开行政复议、行政诉讼情况</w:t>
      </w:r>
    </w:p>
    <w:p>
      <w:pPr>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2019年，</w:t>
      </w:r>
      <w:r>
        <w:rPr>
          <w:rFonts w:hint="eastAsia" w:ascii="仿宋" w:hAnsi="仿宋" w:eastAsia="仿宋" w:cs="宋体"/>
          <w:kern w:val="0"/>
          <w:sz w:val="32"/>
          <w:szCs w:val="32"/>
          <w:lang w:eastAsia="zh-CN"/>
        </w:rPr>
        <w:t>高城镇</w:t>
      </w:r>
      <w:r>
        <w:rPr>
          <w:rFonts w:hint="eastAsia" w:ascii="仿宋" w:hAnsi="仿宋" w:eastAsia="仿宋" w:cs="宋体"/>
          <w:kern w:val="0"/>
          <w:sz w:val="32"/>
          <w:szCs w:val="32"/>
        </w:rPr>
        <w:t>因政府信息公开引起的行政复议</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件，行政诉讼</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件。</w:t>
      </w:r>
    </w:p>
    <w:p>
      <w:pPr>
        <w:pStyle w:val="8"/>
        <w:widowControl/>
        <w:spacing w:after="0" w:line="560" w:lineRule="exact"/>
        <w:ind w:firstLine="640" w:firstLineChars="200"/>
        <w:jc w:val="both"/>
        <w:rPr>
          <w:rFonts w:hint="eastAsia" w:ascii="楷体_GB2312" w:hAnsi="Times New Roman" w:eastAsia="楷体_GB2312"/>
          <w:color w:val="auto"/>
          <w:kern w:val="22"/>
          <w:sz w:val="32"/>
          <w:szCs w:val="32"/>
        </w:rPr>
      </w:pPr>
      <w:r>
        <w:rPr>
          <w:rFonts w:hint="eastAsia" w:ascii="楷体_GB2312" w:hAnsi="Times New Roman" w:eastAsia="楷体_GB2312"/>
          <w:color w:val="auto"/>
          <w:kern w:val="22"/>
          <w:sz w:val="32"/>
          <w:szCs w:val="32"/>
        </w:rPr>
        <w:t>（四）政府信息管理情况</w:t>
      </w:r>
    </w:p>
    <w:p>
      <w:pPr>
        <w:pStyle w:val="8"/>
        <w:widowControl/>
        <w:spacing w:after="0" w:line="560" w:lineRule="exact"/>
        <w:ind w:firstLine="640" w:firstLineChars="200"/>
        <w:jc w:val="both"/>
        <w:rPr>
          <w:rFonts w:hint="eastAsia" w:ascii="Times New Roman" w:hAnsi="Times New Roman" w:eastAsia="仿宋_GB2312"/>
          <w:kern w:val="22"/>
          <w:sz w:val="32"/>
          <w:szCs w:val="32"/>
          <w:lang w:eastAsia="zh-CN"/>
        </w:rPr>
      </w:pPr>
      <w:r>
        <w:rPr>
          <w:rFonts w:hint="eastAsia" w:ascii="Times New Roman" w:hAnsi="Times New Roman" w:eastAsia="仿宋_GB2312"/>
          <w:kern w:val="22"/>
          <w:sz w:val="32"/>
          <w:szCs w:val="32"/>
        </w:rPr>
        <w:t>一是加强政府信息规范管理，及时清理废止、失效的政府信息。二是加强政府信息公开培训，</w:t>
      </w:r>
      <w:r>
        <w:rPr>
          <w:rFonts w:hint="eastAsia" w:ascii="Times New Roman" w:hAnsi="Times New Roman" w:eastAsia="仿宋_GB2312"/>
          <w:kern w:val="22"/>
          <w:sz w:val="32"/>
          <w:szCs w:val="32"/>
          <w:lang w:eastAsia="zh-CN"/>
        </w:rPr>
        <w:t>参加</w:t>
      </w:r>
      <w:r>
        <w:rPr>
          <w:rFonts w:hint="eastAsia" w:ascii="Times New Roman" w:hAnsi="Times New Roman" w:eastAsia="仿宋_GB2312"/>
          <w:kern w:val="22"/>
          <w:sz w:val="32"/>
          <w:szCs w:val="32"/>
        </w:rPr>
        <w:t>了2次培训会，对新修订的《中华人民共和国政府信息公开条例》以及省市政务公开方案进行系统</w:t>
      </w:r>
      <w:r>
        <w:rPr>
          <w:rFonts w:hint="eastAsia" w:ascii="Times New Roman" w:hAnsi="Times New Roman" w:eastAsia="仿宋_GB2312"/>
          <w:kern w:val="22"/>
          <w:sz w:val="32"/>
          <w:szCs w:val="32"/>
          <w:lang w:eastAsia="zh-CN"/>
        </w:rPr>
        <w:t>学习</w:t>
      </w:r>
      <w:r>
        <w:rPr>
          <w:rFonts w:hint="eastAsia" w:ascii="Times New Roman" w:hAnsi="Times New Roman" w:eastAsia="仿宋_GB2312"/>
          <w:kern w:val="22"/>
          <w:sz w:val="32"/>
          <w:szCs w:val="32"/>
        </w:rPr>
        <w:t>，</w:t>
      </w:r>
      <w:r>
        <w:rPr>
          <w:rFonts w:hint="eastAsia" w:ascii="Times New Roman" w:hAnsi="Times New Roman" w:eastAsia="仿宋_GB2312"/>
          <w:kern w:val="22"/>
          <w:sz w:val="32"/>
          <w:szCs w:val="32"/>
          <w:lang w:eastAsia="zh-CN"/>
        </w:rPr>
        <w:t>通过</w:t>
      </w:r>
      <w:r>
        <w:rPr>
          <w:rFonts w:hint="eastAsia" w:ascii="Times New Roman" w:hAnsi="Times New Roman" w:eastAsia="仿宋_GB2312"/>
          <w:kern w:val="22"/>
          <w:sz w:val="32"/>
          <w:szCs w:val="32"/>
        </w:rPr>
        <w:t>对省、市第三方评估考核指标详细讲解，</w:t>
      </w:r>
      <w:r>
        <w:rPr>
          <w:rFonts w:hint="eastAsia" w:ascii="Times New Roman" w:hAnsi="Times New Roman" w:eastAsia="仿宋_GB2312"/>
          <w:kern w:val="22"/>
          <w:sz w:val="32"/>
          <w:szCs w:val="32"/>
          <w:lang w:eastAsia="zh-CN"/>
        </w:rPr>
        <w:t>及</w:t>
      </w:r>
      <w:r>
        <w:rPr>
          <w:rFonts w:hint="eastAsia" w:ascii="Times New Roman" w:hAnsi="Times New Roman" w:eastAsia="仿宋_GB2312"/>
          <w:kern w:val="22"/>
          <w:sz w:val="32"/>
          <w:szCs w:val="32"/>
        </w:rPr>
        <w:t>集中对如何规范依申请公开答复进行现场答疑，进一步提高了政务公开工作人员的业务能力。</w:t>
      </w:r>
      <w:r>
        <w:rPr>
          <w:rFonts w:hint="eastAsia" w:ascii="Times New Roman" w:hAnsi="Times New Roman" w:eastAsia="仿宋_GB2312"/>
          <w:kern w:val="22"/>
          <w:sz w:val="32"/>
          <w:szCs w:val="32"/>
          <w:lang w:val="en-US" w:eastAsia="zh-CN"/>
        </w:rPr>
        <w:t>三是</w:t>
      </w:r>
      <w:r>
        <w:rPr>
          <w:rFonts w:hint="eastAsia" w:ascii="Times New Roman" w:hAnsi="Times New Roman" w:eastAsia="仿宋_GB2312"/>
          <w:kern w:val="22"/>
          <w:sz w:val="32"/>
          <w:szCs w:val="32"/>
        </w:rPr>
        <w:t>聚焦重点领域扩大公开。</w:t>
      </w:r>
      <w:r>
        <w:rPr>
          <w:rFonts w:hint="eastAsia" w:ascii="Times New Roman" w:hAnsi="Times New Roman" w:eastAsia="仿宋_GB2312"/>
          <w:kern w:val="22"/>
          <w:sz w:val="32"/>
          <w:szCs w:val="32"/>
          <w:lang w:val="en-US" w:eastAsia="zh-CN"/>
        </w:rPr>
        <w:t>1.</w:t>
      </w:r>
      <w:r>
        <w:rPr>
          <w:rFonts w:hint="eastAsia" w:ascii="仿宋_GB2312" w:hAnsi="仿宋" w:eastAsia="仿宋_GB2312" w:cs="仿宋_GB2312"/>
          <w:bCs/>
          <w:sz w:val="32"/>
          <w:szCs w:val="32"/>
        </w:rPr>
        <w:t>做好营商环境领域重点领域信息公开。深入开展告知承诺制审批，</w:t>
      </w:r>
      <w:r>
        <w:rPr>
          <w:rFonts w:hint="eastAsia" w:ascii="仿宋_GB2312" w:hAnsi="仿宋" w:eastAsia="仿宋_GB2312" w:cs="仿宋_GB2312"/>
          <w:bCs/>
          <w:sz w:val="32"/>
          <w:szCs w:val="32"/>
          <w:lang w:eastAsia="zh-CN"/>
        </w:rPr>
        <w:t>按照</w:t>
      </w:r>
      <w:r>
        <w:rPr>
          <w:rFonts w:hint="eastAsia" w:ascii="仿宋_GB2312" w:hAnsi="仿宋" w:eastAsia="仿宋_GB2312" w:cs="仿宋_GB2312"/>
          <w:bCs/>
          <w:sz w:val="32"/>
          <w:szCs w:val="32"/>
        </w:rPr>
        <w:t>《高青县审批服务告知承诺制实施办法》，进一步简化流程，降低企业准入门槛，实行了告知承诺制。公开机构改革后政府部门权责清单。</w:t>
      </w:r>
      <w:r>
        <w:rPr>
          <w:rFonts w:hint="eastAsia" w:ascii="仿宋_GB2312" w:hAnsi="仿宋" w:eastAsia="仿宋_GB2312" w:cs="仿宋_GB2312"/>
          <w:bCs/>
          <w:sz w:val="32"/>
          <w:szCs w:val="32"/>
          <w:lang w:val="en-US" w:eastAsia="zh-CN"/>
        </w:rPr>
        <w:t>2.</w:t>
      </w:r>
      <w:r>
        <w:rPr>
          <w:rFonts w:hint="eastAsia" w:ascii="仿宋_GB2312" w:hAnsi="仿宋" w:eastAsia="仿宋_GB2312" w:cs="仿宋_GB2312"/>
          <w:bCs/>
          <w:sz w:val="32"/>
          <w:szCs w:val="32"/>
        </w:rPr>
        <w:t>做好民生保障重点领域信息公开</w:t>
      </w:r>
      <w:r>
        <w:rPr>
          <w:rFonts w:hint="eastAsia" w:ascii="仿宋_GB2312" w:hAnsi="仿宋" w:eastAsia="仿宋_GB2312" w:cs="仿宋_GB2312"/>
          <w:bCs/>
          <w:sz w:val="32"/>
          <w:szCs w:val="32"/>
          <w:lang w:eastAsia="zh-CN"/>
        </w:rPr>
        <w:t>。</w:t>
      </w:r>
    </w:p>
    <w:p>
      <w:pPr>
        <w:pStyle w:val="8"/>
        <w:widowControl/>
        <w:spacing w:after="0" w:line="560" w:lineRule="exact"/>
        <w:ind w:firstLine="640" w:firstLineChars="200"/>
        <w:jc w:val="both"/>
        <w:rPr>
          <w:rFonts w:ascii="楷体_GB2312" w:hAnsi="Times New Roman" w:eastAsia="楷体_GB2312"/>
          <w:color w:val="auto"/>
          <w:kern w:val="22"/>
          <w:sz w:val="32"/>
          <w:szCs w:val="32"/>
        </w:rPr>
      </w:pPr>
      <w:r>
        <w:rPr>
          <w:rFonts w:hint="eastAsia" w:ascii="楷体_GB2312" w:hAnsi="Times New Roman" w:eastAsia="楷体_GB2312"/>
          <w:color w:val="auto"/>
          <w:kern w:val="22"/>
          <w:sz w:val="32"/>
          <w:szCs w:val="32"/>
        </w:rPr>
        <w:t>（五）政府信息公开平台、机构建设和人员情况</w:t>
      </w:r>
    </w:p>
    <w:p>
      <w:pPr>
        <w:pStyle w:val="8"/>
        <w:widowControl/>
        <w:spacing w:after="0" w:line="560" w:lineRule="exact"/>
        <w:ind w:firstLine="480" w:firstLineChars="200"/>
        <w:jc w:val="both"/>
        <w:rPr>
          <w:rFonts w:hint="eastAsia" w:ascii="仿宋_GB2312" w:hAnsi="仿宋_GB2312" w:eastAsia="仿宋_GB2312" w:cs="仿宋_GB2312"/>
          <w:kern w:val="22"/>
          <w:sz w:val="32"/>
          <w:szCs w:val="32"/>
        </w:rPr>
      </w:pPr>
      <w:r>
        <w:drawing>
          <wp:anchor distT="0" distB="0" distL="114300" distR="114300" simplePos="0" relativeHeight="251658240" behindDoc="1" locked="0" layoutInCell="1" allowOverlap="1">
            <wp:simplePos x="0" y="0"/>
            <wp:positionH relativeFrom="column">
              <wp:posOffset>40005</wp:posOffset>
            </wp:positionH>
            <wp:positionV relativeFrom="paragraph">
              <wp:posOffset>5416550</wp:posOffset>
            </wp:positionV>
            <wp:extent cx="5267960" cy="929640"/>
            <wp:effectExtent l="0" t="0" r="8890" b="3810"/>
            <wp:wrapTight wrapText="bothSides">
              <wp:wrapPolygon>
                <wp:start x="0" y="0"/>
                <wp:lineTo x="0" y="21246"/>
                <wp:lineTo x="21558" y="21246"/>
                <wp:lineTo x="21558" y="0"/>
                <wp:lineTo x="0" y="0"/>
              </wp:wrapPolygon>
            </wp:wrapTight>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5267960" cy="929640"/>
                    </a:xfrm>
                    <a:prstGeom prst="rect">
                      <a:avLst/>
                    </a:prstGeom>
                    <a:noFill/>
                    <a:ln>
                      <a:noFill/>
                    </a:ln>
                  </pic:spPr>
                </pic:pic>
              </a:graphicData>
            </a:graphic>
          </wp:anchor>
        </w:drawing>
      </w:r>
      <w:r>
        <w:rPr>
          <w:rFonts w:hint="eastAsia" w:ascii="Times New Roman" w:hAnsi="Times New Roman" w:eastAsia="仿宋_GB2312"/>
          <w:b/>
          <w:kern w:val="22"/>
          <w:sz w:val="32"/>
          <w:szCs w:val="32"/>
        </w:rPr>
        <w:t>一是加强平台建设。</w:t>
      </w:r>
      <w:r>
        <w:rPr>
          <w:rFonts w:ascii="Times New Roman" w:hAnsi="Times New Roman" w:eastAsia="仿宋_GB2312"/>
          <w:kern w:val="22"/>
          <w:sz w:val="32"/>
          <w:szCs w:val="32"/>
        </w:rPr>
        <w:t>强化</w:t>
      </w:r>
      <w:r>
        <w:rPr>
          <w:rFonts w:hint="eastAsia" w:ascii="Times New Roman" w:hAnsi="Times New Roman" w:eastAsia="仿宋_GB2312"/>
          <w:kern w:val="22"/>
          <w:sz w:val="32"/>
          <w:szCs w:val="32"/>
        </w:rPr>
        <w:t>县</w:t>
      </w:r>
      <w:r>
        <w:rPr>
          <w:rFonts w:ascii="Times New Roman" w:hAnsi="Times New Roman" w:eastAsia="仿宋_GB2312"/>
          <w:kern w:val="22"/>
          <w:sz w:val="32"/>
          <w:szCs w:val="32"/>
        </w:rPr>
        <w:t>政府网站</w:t>
      </w:r>
      <w:r>
        <w:rPr>
          <w:rFonts w:hint="eastAsia" w:ascii="Times New Roman" w:hAnsi="Times New Roman" w:eastAsia="仿宋_GB2312"/>
          <w:kern w:val="22"/>
          <w:sz w:val="32"/>
          <w:szCs w:val="32"/>
        </w:rPr>
        <w:t>政务公开</w:t>
      </w:r>
      <w:r>
        <w:rPr>
          <w:rFonts w:ascii="Times New Roman" w:hAnsi="Times New Roman" w:eastAsia="仿宋_GB2312"/>
          <w:kern w:val="22"/>
          <w:sz w:val="32"/>
          <w:szCs w:val="32"/>
        </w:rPr>
        <w:t>第一平台作用</w:t>
      </w:r>
      <w:r>
        <w:rPr>
          <w:rFonts w:hint="eastAsia" w:ascii="Times New Roman" w:hAnsi="Times New Roman" w:eastAsia="仿宋_GB2312"/>
          <w:kern w:val="22"/>
          <w:sz w:val="32"/>
          <w:szCs w:val="32"/>
        </w:rPr>
        <w:t>，调整政务公开栏目，新开设“县政府领导”“建筑市场监管”“社会信用体系”“重要部署执行”等8个栏目。公开高青县政府信息主动公开基本目录，明确“五公开”的主体、内容、时限、方式等。</w:t>
      </w:r>
      <w:r>
        <w:rPr>
          <w:rFonts w:hint="eastAsia" w:ascii="仿宋_GB2312" w:hAnsi="仿宋" w:eastAsia="仿宋_GB2312" w:cs="仿宋_GB2312"/>
          <w:bCs/>
          <w:sz w:val="32"/>
          <w:szCs w:val="32"/>
        </w:rPr>
        <w:t>加大政务微博、微信等新媒体平台的政务公开力度，</w:t>
      </w:r>
      <w:r>
        <w:rPr>
          <w:rFonts w:hint="eastAsia" w:ascii="仿宋_GB2312" w:hAnsi="仿宋" w:eastAsia="仿宋_GB2312" w:cs="仿宋"/>
          <w:color w:val="000000"/>
          <w:sz w:val="32"/>
          <w:szCs w:val="32"/>
        </w:rPr>
        <w:t>提升信息发布、解读回应、政民互动的整体水平。</w:t>
      </w:r>
      <w:r>
        <w:rPr>
          <w:rFonts w:hint="eastAsia" w:ascii="Times New Roman" w:hAnsi="Times New Roman" w:eastAsia="仿宋_GB2312"/>
          <w:kern w:val="22"/>
          <w:sz w:val="32"/>
          <w:szCs w:val="32"/>
          <w:lang w:val="en-US" w:eastAsia="zh-CN"/>
        </w:rPr>
        <w:t>2019</w:t>
      </w:r>
      <w:r>
        <w:rPr>
          <w:rFonts w:hint="eastAsia" w:ascii="仿宋_GB2312" w:hAnsi="仿宋_GB2312" w:eastAsia="仿宋_GB2312" w:cs="仿宋_GB2312"/>
          <w:kern w:val="22"/>
          <w:sz w:val="32"/>
          <w:szCs w:val="32"/>
        </w:rPr>
        <w:t>年，</w:t>
      </w:r>
      <w:r>
        <w:rPr>
          <w:rFonts w:hint="eastAsia" w:ascii="仿宋_GB2312" w:hAnsi="仿宋_GB2312" w:eastAsia="仿宋_GB2312" w:cs="仿宋_GB2312"/>
          <w:kern w:val="22"/>
          <w:sz w:val="32"/>
          <w:szCs w:val="32"/>
          <w:lang w:eastAsia="zh-CN"/>
        </w:rPr>
        <w:t>高城</w:t>
      </w:r>
      <w:r>
        <w:rPr>
          <w:rFonts w:hint="eastAsia" w:ascii="仿宋_GB2312" w:hAnsi="仿宋_GB2312" w:eastAsia="仿宋_GB2312" w:cs="仿宋_GB2312"/>
          <w:kern w:val="22"/>
          <w:sz w:val="32"/>
          <w:szCs w:val="32"/>
        </w:rPr>
        <w:t>镇在县政府网站共计公开各类政府信息</w:t>
      </w:r>
      <w:r>
        <w:rPr>
          <w:rFonts w:hint="eastAsia" w:ascii="Times New Roman" w:hAnsi="Times New Roman" w:eastAsia="仿宋_GB2312"/>
          <w:kern w:val="22"/>
          <w:sz w:val="32"/>
          <w:szCs w:val="32"/>
          <w:lang w:val="en-US" w:eastAsia="zh-CN"/>
        </w:rPr>
        <w:t>20</w:t>
      </w:r>
      <w:r>
        <w:rPr>
          <w:rFonts w:hint="eastAsia" w:ascii="仿宋_GB2312" w:hAnsi="仿宋_GB2312" w:eastAsia="仿宋_GB2312" w:cs="仿宋_GB2312"/>
          <w:kern w:val="22"/>
          <w:sz w:val="32"/>
          <w:szCs w:val="32"/>
        </w:rPr>
        <w:t>条。</w:t>
      </w:r>
      <w:r>
        <w:rPr>
          <w:rFonts w:hint="eastAsia" w:ascii="Times New Roman" w:hAnsi="Times New Roman" w:eastAsia="仿宋_GB2312"/>
          <w:kern w:val="22"/>
          <w:sz w:val="32"/>
          <w:szCs w:val="32"/>
          <w:lang w:val="en-US" w:eastAsia="zh-CN"/>
        </w:rPr>
        <w:t>2019</w:t>
      </w:r>
      <w:r>
        <w:rPr>
          <w:rFonts w:hint="eastAsia" w:ascii="仿宋_GB2312" w:hAnsi="仿宋_GB2312" w:eastAsia="仿宋_GB2312" w:cs="仿宋_GB2312"/>
          <w:kern w:val="22"/>
          <w:sz w:val="32"/>
          <w:szCs w:val="32"/>
        </w:rPr>
        <w:t>年，共报送信息</w:t>
      </w:r>
      <w:r>
        <w:rPr>
          <w:rFonts w:hint="eastAsia" w:ascii="Times New Roman" w:hAnsi="Times New Roman" w:eastAsia="仿宋_GB2312"/>
          <w:kern w:val="22"/>
          <w:sz w:val="32"/>
          <w:szCs w:val="32"/>
          <w:lang w:val="en-US" w:eastAsia="zh-CN"/>
        </w:rPr>
        <w:t>207</w:t>
      </w:r>
      <w:r>
        <w:rPr>
          <w:rFonts w:hint="eastAsia" w:ascii="仿宋_GB2312" w:hAnsi="仿宋_GB2312" w:eastAsia="仿宋_GB2312" w:cs="仿宋_GB2312"/>
          <w:kern w:val="22"/>
          <w:sz w:val="32"/>
          <w:szCs w:val="32"/>
        </w:rPr>
        <w:t>篇、调研报告</w:t>
      </w:r>
      <w:r>
        <w:rPr>
          <w:rFonts w:hint="eastAsia" w:ascii="Times New Roman" w:hAnsi="Times New Roman" w:eastAsia="仿宋_GB2312"/>
          <w:kern w:val="22"/>
          <w:sz w:val="32"/>
          <w:szCs w:val="32"/>
          <w:lang w:val="en-US" w:eastAsia="zh-CN"/>
        </w:rPr>
        <w:t>2</w:t>
      </w:r>
      <w:r>
        <w:rPr>
          <w:rFonts w:hint="eastAsia" w:ascii="仿宋_GB2312" w:hAnsi="仿宋_GB2312" w:eastAsia="仿宋_GB2312" w:cs="仿宋_GB2312"/>
          <w:kern w:val="22"/>
          <w:sz w:val="32"/>
          <w:szCs w:val="32"/>
        </w:rPr>
        <w:t>篇。其中：光明日报采用</w:t>
      </w:r>
      <w:r>
        <w:rPr>
          <w:rFonts w:hint="eastAsia" w:ascii="Times New Roman" w:hAnsi="Times New Roman" w:eastAsia="仿宋_GB2312"/>
          <w:kern w:val="22"/>
          <w:sz w:val="32"/>
          <w:szCs w:val="32"/>
          <w:lang w:val="en-US" w:eastAsia="zh-CN"/>
        </w:rPr>
        <w:t>2</w:t>
      </w:r>
      <w:r>
        <w:rPr>
          <w:rFonts w:hint="eastAsia" w:ascii="仿宋_GB2312" w:hAnsi="仿宋_GB2312" w:eastAsia="仿宋_GB2312" w:cs="仿宋_GB2312"/>
          <w:kern w:val="22"/>
          <w:sz w:val="32"/>
          <w:szCs w:val="32"/>
        </w:rPr>
        <w:t>篇，经济日报采用</w:t>
      </w:r>
      <w:r>
        <w:rPr>
          <w:rFonts w:hint="eastAsia" w:ascii="Times New Roman" w:hAnsi="Times New Roman" w:eastAsia="仿宋_GB2312"/>
          <w:kern w:val="22"/>
          <w:sz w:val="32"/>
          <w:szCs w:val="32"/>
          <w:lang w:val="en-US" w:eastAsia="zh-CN"/>
        </w:rPr>
        <w:t>2</w:t>
      </w:r>
      <w:r>
        <w:rPr>
          <w:rFonts w:hint="eastAsia" w:ascii="仿宋_GB2312" w:hAnsi="仿宋_GB2312" w:eastAsia="仿宋_GB2312" w:cs="仿宋_GB2312"/>
          <w:kern w:val="22"/>
          <w:sz w:val="32"/>
          <w:szCs w:val="32"/>
        </w:rPr>
        <w:t>篇，农民日报</w:t>
      </w:r>
      <w:r>
        <w:rPr>
          <w:rFonts w:hint="eastAsia" w:ascii="Times New Roman" w:hAnsi="Times New Roman" w:eastAsia="仿宋_GB2312"/>
          <w:kern w:val="22"/>
          <w:sz w:val="32"/>
          <w:szCs w:val="32"/>
          <w:lang w:val="en-US" w:eastAsia="zh-CN"/>
        </w:rPr>
        <w:t>4</w:t>
      </w:r>
      <w:r>
        <w:rPr>
          <w:rFonts w:hint="eastAsia" w:ascii="仿宋_GB2312" w:hAnsi="仿宋_GB2312" w:eastAsia="仿宋_GB2312" w:cs="仿宋_GB2312"/>
          <w:kern w:val="22"/>
          <w:sz w:val="32"/>
          <w:szCs w:val="32"/>
        </w:rPr>
        <w:t>篇，大众日报</w:t>
      </w:r>
      <w:r>
        <w:rPr>
          <w:rFonts w:hint="eastAsia" w:ascii="Times New Roman" w:hAnsi="Times New Roman" w:eastAsia="仿宋_GB2312"/>
          <w:kern w:val="22"/>
          <w:sz w:val="32"/>
          <w:szCs w:val="32"/>
          <w:lang w:val="en-US" w:eastAsia="zh-CN"/>
        </w:rPr>
        <w:t>7</w:t>
      </w:r>
      <w:r>
        <w:rPr>
          <w:rFonts w:hint="eastAsia" w:ascii="仿宋_GB2312" w:hAnsi="仿宋_GB2312" w:eastAsia="仿宋_GB2312" w:cs="仿宋_GB2312"/>
          <w:kern w:val="22"/>
          <w:sz w:val="32"/>
          <w:szCs w:val="32"/>
        </w:rPr>
        <w:t>篇，淄博日报采用</w:t>
      </w:r>
      <w:r>
        <w:rPr>
          <w:rFonts w:hint="eastAsia" w:ascii="Times New Roman" w:hAnsi="Times New Roman" w:eastAsia="仿宋_GB2312"/>
          <w:kern w:val="22"/>
          <w:sz w:val="32"/>
          <w:szCs w:val="32"/>
          <w:lang w:val="en-US" w:eastAsia="zh-CN"/>
        </w:rPr>
        <w:t>16</w:t>
      </w:r>
      <w:r>
        <w:rPr>
          <w:rFonts w:hint="eastAsia" w:ascii="仿宋_GB2312" w:hAnsi="仿宋_GB2312" w:eastAsia="仿宋_GB2312" w:cs="仿宋_GB2312"/>
          <w:kern w:val="22"/>
          <w:sz w:val="32"/>
          <w:szCs w:val="32"/>
        </w:rPr>
        <w:t>篇，新华网采用</w:t>
      </w:r>
      <w:r>
        <w:rPr>
          <w:rFonts w:hint="eastAsia" w:ascii="Times New Roman" w:hAnsi="Times New Roman" w:eastAsia="仿宋_GB2312"/>
          <w:kern w:val="22"/>
          <w:sz w:val="32"/>
          <w:szCs w:val="32"/>
          <w:lang w:val="en-US" w:eastAsia="zh-CN"/>
        </w:rPr>
        <w:t>48</w:t>
      </w:r>
      <w:r>
        <w:rPr>
          <w:rFonts w:hint="eastAsia" w:ascii="仿宋_GB2312" w:hAnsi="仿宋_GB2312" w:eastAsia="仿宋_GB2312" w:cs="仿宋_GB2312"/>
          <w:kern w:val="22"/>
          <w:sz w:val="32"/>
          <w:szCs w:val="32"/>
        </w:rPr>
        <w:t>篇，市级以上网站采用</w:t>
      </w:r>
      <w:r>
        <w:rPr>
          <w:rFonts w:hint="eastAsia" w:ascii="Times New Roman" w:hAnsi="Times New Roman" w:eastAsia="仿宋_GB2312"/>
          <w:kern w:val="22"/>
          <w:sz w:val="32"/>
          <w:szCs w:val="32"/>
          <w:lang w:val="en-US" w:eastAsia="zh-CN"/>
        </w:rPr>
        <w:t>124</w:t>
      </w:r>
      <w:r>
        <w:rPr>
          <w:rFonts w:hint="eastAsia" w:ascii="仿宋_GB2312" w:hAnsi="仿宋_GB2312" w:eastAsia="仿宋_GB2312" w:cs="仿宋_GB2312"/>
          <w:kern w:val="22"/>
          <w:sz w:val="32"/>
          <w:szCs w:val="32"/>
        </w:rPr>
        <w:t>篇；其他省级主流媒体采用宣传</w:t>
      </w:r>
      <w:r>
        <w:rPr>
          <w:rFonts w:hint="eastAsia" w:ascii="Times New Roman" w:hAnsi="Times New Roman" w:eastAsia="仿宋_GB2312"/>
          <w:kern w:val="22"/>
          <w:sz w:val="32"/>
          <w:szCs w:val="32"/>
          <w:lang w:val="en-US" w:eastAsia="zh-CN"/>
        </w:rPr>
        <w:t>34</w:t>
      </w:r>
      <w:r>
        <w:rPr>
          <w:rFonts w:hint="eastAsia" w:ascii="仿宋_GB2312" w:hAnsi="仿宋_GB2312" w:eastAsia="仿宋_GB2312" w:cs="仿宋_GB2312"/>
          <w:kern w:val="22"/>
          <w:sz w:val="32"/>
          <w:szCs w:val="32"/>
        </w:rPr>
        <w:t>篇，其中，中央电视台新闻频道采用</w:t>
      </w:r>
      <w:r>
        <w:rPr>
          <w:rFonts w:hint="eastAsia" w:ascii="Times New Roman" w:hAnsi="Times New Roman" w:eastAsia="仿宋_GB2312"/>
          <w:kern w:val="22"/>
          <w:sz w:val="32"/>
          <w:szCs w:val="32"/>
          <w:lang w:val="en-US" w:eastAsia="zh-CN"/>
        </w:rPr>
        <w:t>2</w:t>
      </w:r>
      <w:r>
        <w:rPr>
          <w:rFonts w:hint="eastAsia" w:ascii="仿宋_GB2312" w:hAnsi="仿宋_GB2312" w:eastAsia="仿宋_GB2312" w:cs="仿宋_GB2312"/>
          <w:kern w:val="22"/>
          <w:sz w:val="32"/>
          <w:szCs w:val="32"/>
        </w:rPr>
        <w:t>篇，山东电视台新闻频道播出</w:t>
      </w:r>
      <w:r>
        <w:rPr>
          <w:rFonts w:hint="eastAsia" w:ascii="Times New Roman" w:hAnsi="Times New Roman" w:eastAsia="仿宋_GB2312"/>
          <w:kern w:val="22"/>
          <w:sz w:val="32"/>
          <w:szCs w:val="32"/>
          <w:lang w:val="en-US" w:eastAsia="zh-CN"/>
        </w:rPr>
        <w:t>3</w:t>
      </w:r>
      <w:r>
        <w:rPr>
          <w:rFonts w:hint="eastAsia" w:ascii="仿宋_GB2312" w:hAnsi="仿宋_GB2312" w:eastAsia="仿宋_GB2312" w:cs="仿宋_GB2312"/>
          <w:kern w:val="22"/>
          <w:sz w:val="32"/>
          <w:szCs w:val="32"/>
        </w:rPr>
        <w:t>个专题，淄博电视台新闻频道播出</w:t>
      </w:r>
      <w:r>
        <w:rPr>
          <w:rFonts w:hint="eastAsia" w:ascii="Times New Roman" w:hAnsi="Times New Roman" w:eastAsia="仿宋_GB2312"/>
          <w:kern w:val="22"/>
          <w:sz w:val="32"/>
          <w:szCs w:val="32"/>
          <w:lang w:val="en-US" w:eastAsia="zh-CN"/>
        </w:rPr>
        <w:t>3</w:t>
      </w:r>
      <w:r>
        <w:rPr>
          <w:rFonts w:hint="eastAsia" w:ascii="仿宋_GB2312" w:hAnsi="仿宋_GB2312" w:eastAsia="仿宋_GB2312" w:cs="仿宋_GB2312"/>
          <w:kern w:val="22"/>
          <w:sz w:val="32"/>
          <w:szCs w:val="32"/>
        </w:rPr>
        <w:t>个专题，县政府门户网采用</w:t>
      </w:r>
      <w:r>
        <w:rPr>
          <w:rFonts w:hint="eastAsia" w:ascii="Times New Roman" w:hAnsi="Times New Roman" w:eastAsia="仿宋_GB2312"/>
          <w:kern w:val="22"/>
          <w:sz w:val="32"/>
          <w:szCs w:val="32"/>
          <w:lang w:val="en-US" w:eastAsia="zh-CN"/>
        </w:rPr>
        <w:t>180</w:t>
      </w:r>
      <w:r>
        <w:rPr>
          <w:rFonts w:hint="eastAsia" w:ascii="仿宋_GB2312" w:hAnsi="仿宋_GB2312" w:eastAsia="仿宋_GB2312" w:cs="仿宋_GB2312"/>
          <w:kern w:val="22"/>
          <w:sz w:val="32"/>
          <w:szCs w:val="32"/>
        </w:rPr>
        <w:t>篇，通过微信公众号高城镇人民政府公开发表信息</w:t>
      </w:r>
      <w:r>
        <w:rPr>
          <w:rFonts w:hint="eastAsia" w:ascii="Times New Roman" w:hAnsi="Times New Roman" w:eastAsia="仿宋_GB2312"/>
          <w:kern w:val="22"/>
          <w:sz w:val="32"/>
          <w:szCs w:val="32"/>
          <w:lang w:val="en-US" w:eastAsia="zh-CN"/>
        </w:rPr>
        <w:t>173</w:t>
      </w:r>
      <w:r>
        <w:rPr>
          <w:rFonts w:hint="eastAsia" w:ascii="仿宋_GB2312" w:hAnsi="仿宋_GB2312" w:eastAsia="仿宋_GB2312" w:cs="仿宋_GB2312"/>
          <w:kern w:val="22"/>
          <w:sz w:val="32"/>
          <w:szCs w:val="32"/>
        </w:rPr>
        <w:t>篇。</w:t>
      </w:r>
      <w:bookmarkStart w:id="0" w:name="_GoBack"/>
      <w:bookmarkEnd w:id="0"/>
    </w:p>
    <w:p>
      <w:pPr>
        <w:pStyle w:val="8"/>
        <w:keepNext w:val="0"/>
        <w:keepLines w:val="0"/>
        <w:pageBreakBefore w:val="0"/>
        <w:widowControl/>
        <w:kinsoku/>
        <w:wordWrap/>
        <w:overflowPunct/>
        <w:topLinePunct w:val="0"/>
        <w:autoSpaceDE/>
        <w:autoSpaceDN/>
        <w:bidi w:val="0"/>
        <w:adjustRightInd/>
        <w:snapToGrid/>
        <w:spacing w:after="0" w:line="560" w:lineRule="exact"/>
        <w:ind w:firstLine="480" w:firstLineChars="200"/>
        <w:jc w:val="both"/>
        <w:textAlignment w:val="auto"/>
        <w:rPr>
          <w:rFonts w:ascii="Times New Roman" w:hAnsi="Times New Roman" w:eastAsia="仿宋_GB2312"/>
          <w:kern w:val="22"/>
          <w:sz w:val="32"/>
          <w:szCs w:val="32"/>
        </w:rPr>
      </w:pPr>
      <w:r>
        <w:drawing>
          <wp:anchor distT="0" distB="0" distL="114300" distR="114300" simplePos="0" relativeHeight="251659264" behindDoc="1" locked="0" layoutInCell="1" allowOverlap="1">
            <wp:simplePos x="0" y="0"/>
            <wp:positionH relativeFrom="column">
              <wp:posOffset>4445</wp:posOffset>
            </wp:positionH>
            <wp:positionV relativeFrom="paragraph">
              <wp:posOffset>118745</wp:posOffset>
            </wp:positionV>
            <wp:extent cx="5266690" cy="3612515"/>
            <wp:effectExtent l="0" t="0" r="10160" b="6985"/>
            <wp:wrapTight wrapText="bothSides">
              <wp:wrapPolygon>
                <wp:start x="0" y="0"/>
                <wp:lineTo x="0" y="21528"/>
                <wp:lineTo x="21485" y="21528"/>
                <wp:lineTo x="21485" y="0"/>
                <wp:lineTo x="0" y="0"/>
              </wp:wrapPolygon>
            </wp:wrapTight>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6"/>
                    <a:stretch>
                      <a:fillRect/>
                    </a:stretch>
                  </pic:blipFill>
                  <pic:spPr>
                    <a:xfrm>
                      <a:off x="0" y="0"/>
                      <a:ext cx="5266690" cy="3612515"/>
                    </a:xfrm>
                    <a:prstGeom prst="rect">
                      <a:avLst/>
                    </a:prstGeom>
                    <a:noFill/>
                    <a:ln>
                      <a:noFill/>
                    </a:ln>
                  </pic:spPr>
                </pic:pic>
              </a:graphicData>
            </a:graphic>
          </wp:anchor>
        </w:drawing>
      </w:r>
      <w:r>
        <w:rPr>
          <w:rFonts w:hint="eastAsia"/>
          <w:lang w:val="en-US" w:eastAsia="zh-CN"/>
        </w:rPr>
        <w:t xml:space="preserve">  </w:t>
      </w:r>
      <w:r>
        <w:rPr>
          <w:rFonts w:hint="eastAsia" w:ascii="Times New Roman" w:hAnsi="Times New Roman" w:eastAsia="仿宋_GB2312"/>
          <w:b/>
          <w:kern w:val="22"/>
          <w:sz w:val="32"/>
          <w:szCs w:val="32"/>
        </w:rPr>
        <w:t>二是强化机构建设。</w:t>
      </w:r>
      <w:r>
        <w:rPr>
          <w:rFonts w:hint="eastAsia" w:ascii="Times New Roman" w:hAnsi="Times New Roman" w:eastAsia="仿宋_GB2312"/>
          <w:kern w:val="22"/>
          <w:sz w:val="32"/>
          <w:szCs w:val="32"/>
          <w:lang w:eastAsia="zh-CN"/>
        </w:rPr>
        <w:t>高青县高城镇人民政府党政办公室</w:t>
      </w:r>
      <w:r>
        <w:rPr>
          <w:rFonts w:hint="eastAsia" w:ascii="Times New Roman" w:hAnsi="Times New Roman" w:eastAsia="仿宋_GB2312"/>
          <w:kern w:val="22"/>
          <w:sz w:val="32"/>
          <w:szCs w:val="32"/>
        </w:rPr>
        <w:t>作为政府信息公开主管部门，统筹负责政府信息公开组织协调、指导推进、监督检查等工作。</w:t>
      </w:r>
      <w:r>
        <w:rPr>
          <w:rFonts w:hint="eastAsia" w:ascii="Times New Roman" w:hAnsi="Times New Roman" w:eastAsia="仿宋_GB2312"/>
          <w:kern w:val="22"/>
          <w:sz w:val="32"/>
          <w:szCs w:val="32"/>
          <w:lang w:eastAsia="zh-CN"/>
        </w:rPr>
        <w:t>安排</w:t>
      </w:r>
      <w:r>
        <w:rPr>
          <w:rFonts w:hint="eastAsia" w:ascii="Times New Roman" w:hAnsi="Times New Roman" w:eastAsia="仿宋_GB2312"/>
          <w:kern w:val="22"/>
          <w:sz w:val="32"/>
          <w:szCs w:val="32"/>
          <w:lang w:val="en-US" w:eastAsia="zh-CN"/>
        </w:rPr>
        <w:t>1</w:t>
      </w:r>
      <w:r>
        <w:rPr>
          <w:rFonts w:hint="eastAsia" w:ascii="Times New Roman" w:hAnsi="Times New Roman" w:eastAsia="仿宋_GB2312"/>
          <w:kern w:val="22"/>
          <w:sz w:val="32"/>
          <w:szCs w:val="32"/>
          <w:lang w:eastAsia="zh-CN"/>
        </w:rPr>
        <w:t>名工作人员具体负责政府信息公开工作。</w:t>
      </w:r>
    </w:p>
    <w:p>
      <w:pPr>
        <w:pStyle w:val="8"/>
        <w:widowControl/>
        <w:spacing w:after="0" w:line="560" w:lineRule="exact"/>
        <w:ind w:firstLine="640" w:firstLineChars="200"/>
        <w:jc w:val="both"/>
        <w:rPr>
          <w:rFonts w:ascii="楷体_GB2312" w:hAnsi="Times New Roman" w:eastAsia="楷体_GB2312"/>
          <w:color w:val="auto"/>
          <w:kern w:val="22"/>
          <w:sz w:val="32"/>
          <w:szCs w:val="32"/>
        </w:rPr>
      </w:pPr>
      <w:r>
        <w:rPr>
          <w:rFonts w:hint="eastAsia" w:ascii="楷体_GB2312" w:hAnsi="Times New Roman" w:eastAsia="楷体_GB2312"/>
          <w:color w:val="auto"/>
          <w:kern w:val="22"/>
          <w:sz w:val="32"/>
          <w:szCs w:val="32"/>
        </w:rPr>
        <w:t>（六）监督保障情况</w:t>
      </w:r>
    </w:p>
    <w:p>
      <w:pPr>
        <w:pStyle w:val="8"/>
        <w:widowControl/>
        <w:spacing w:after="0" w:line="560" w:lineRule="exact"/>
        <w:ind w:firstLine="640" w:firstLineChars="200"/>
        <w:jc w:val="both"/>
        <w:rPr>
          <w:rFonts w:ascii="黑体" w:hAnsi="黑体" w:eastAsia="黑体" w:cs="仿宋"/>
          <w:color w:val="000000" w:themeColor="text1"/>
          <w:sz w:val="32"/>
          <w:szCs w:val="32"/>
          <w14:textFill>
            <w14:solidFill>
              <w14:schemeClr w14:val="tx1"/>
            </w14:solidFill>
          </w14:textFill>
        </w:rPr>
      </w:pPr>
      <w:r>
        <w:rPr>
          <w:rFonts w:hint="eastAsia" w:ascii="Times New Roman" w:hAnsi="Times New Roman" w:eastAsia="仿宋_GB2312"/>
          <w:kern w:val="22"/>
          <w:sz w:val="32"/>
          <w:szCs w:val="32"/>
        </w:rPr>
        <w:t>2019年，政务公开工作纳入全县经济社会发展综合考核。</w:t>
      </w:r>
      <w:r>
        <w:rPr>
          <w:rFonts w:hint="eastAsia" w:ascii="Times New Roman" w:hAnsi="Times New Roman" w:eastAsia="仿宋_GB2312"/>
          <w:kern w:val="22"/>
          <w:sz w:val="32"/>
          <w:szCs w:val="32"/>
          <w:lang w:eastAsia="zh-CN"/>
        </w:rPr>
        <w:t>高青经济开发区（常家镇）认真</w:t>
      </w:r>
      <w:r>
        <w:rPr>
          <w:rFonts w:hint="eastAsia" w:ascii="Times New Roman" w:hAnsi="Times New Roman" w:eastAsia="仿宋_GB2312"/>
          <w:kern w:val="22"/>
          <w:sz w:val="32"/>
          <w:szCs w:val="32"/>
        </w:rPr>
        <w:t>结合省、市</w:t>
      </w:r>
      <w:r>
        <w:rPr>
          <w:rFonts w:hint="eastAsia" w:ascii="Times New Roman" w:hAnsi="Times New Roman" w:eastAsia="仿宋_GB2312"/>
          <w:kern w:val="22"/>
          <w:sz w:val="32"/>
          <w:szCs w:val="32"/>
          <w:lang w:eastAsia="zh-CN"/>
        </w:rPr>
        <w:t>、县</w:t>
      </w:r>
      <w:r>
        <w:rPr>
          <w:rFonts w:hint="eastAsia" w:ascii="Times New Roman" w:hAnsi="Times New Roman" w:eastAsia="仿宋_GB2312"/>
          <w:kern w:val="22"/>
          <w:sz w:val="32"/>
          <w:szCs w:val="32"/>
        </w:rPr>
        <w:t>政务公开工作要点，明确各领域公开任务，</w:t>
      </w:r>
      <w:r>
        <w:rPr>
          <w:rFonts w:hint="eastAsia" w:ascii="Times New Roman" w:hAnsi="Times New Roman" w:eastAsia="仿宋_GB2312"/>
          <w:kern w:val="22"/>
          <w:sz w:val="32"/>
          <w:szCs w:val="32"/>
          <w:lang w:eastAsia="zh-CN"/>
        </w:rPr>
        <w:t>严格</w:t>
      </w:r>
      <w:r>
        <w:rPr>
          <w:rFonts w:hint="eastAsia" w:ascii="Times New Roman" w:hAnsi="Times New Roman" w:eastAsia="仿宋_GB2312"/>
          <w:kern w:val="22"/>
          <w:sz w:val="32"/>
          <w:szCs w:val="32"/>
        </w:rPr>
        <w:t>落实</w:t>
      </w:r>
      <w:r>
        <w:rPr>
          <w:rFonts w:hint="eastAsia" w:ascii="Times New Roman" w:hAnsi="Times New Roman" w:eastAsia="仿宋_GB2312"/>
          <w:kern w:val="22"/>
          <w:sz w:val="32"/>
          <w:szCs w:val="32"/>
          <w:lang w:eastAsia="zh-CN"/>
        </w:rPr>
        <w:t>相关公开责任</w:t>
      </w:r>
      <w:r>
        <w:rPr>
          <w:rFonts w:hint="eastAsia" w:ascii="Times New Roman" w:hAnsi="Times New Roman" w:eastAsia="仿宋_GB2312"/>
          <w:kern w:val="22"/>
          <w:sz w:val="32"/>
          <w:szCs w:val="32"/>
        </w:rPr>
        <w:t>。</w:t>
      </w:r>
    </w:p>
    <w:p>
      <w:pPr>
        <w:pStyle w:val="8"/>
        <w:widowControl/>
        <w:spacing w:after="0" w:line="560" w:lineRule="exact"/>
        <w:ind w:firstLine="640" w:firstLineChars="200"/>
        <w:jc w:val="both"/>
        <w:rPr>
          <w:rFonts w:ascii="黑体" w:hAnsi="黑体" w:eastAsia="黑体"/>
          <w:b/>
          <w:sz w:val="32"/>
          <w:szCs w:val="32"/>
        </w:rPr>
      </w:pPr>
      <w:r>
        <w:rPr>
          <w:rFonts w:hint="eastAsia" w:ascii="黑体" w:hAnsi="黑体" w:eastAsia="黑体" w:cs="仿宋"/>
          <w:color w:val="000000" w:themeColor="text1"/>
          <w:sz w:val="32"/>
          <w:szCs w:val="32"/>
          <w14:textFill>
            <w14:solidFill>
              <w14:schemeClr w14:val="tx1"/>
            </w14:solidFill>
          </w14:textFill>
        </w:rPr>
        <w:t>二、</w:t>
      </w:r>
      <w:r>
        <w:rPr>
          <w:rFonts w:hint="eastAsia" w:ascii="黑体" w:hAnsi="黑体" w:eastAsia="黑体"/>
          <w:b/>
          <w:sz w:val="32"/>
          <w:szCs w:val="32"/>
        </w:rPr>
        <w:t>主动公开政府信息情况</w:t>
      </w:r>
    </w:p>
    <w:tbl>
      <w:tblPr>
        <w:tblStyle w:val="10"/>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5"/>
        <w:gridCol w:w="203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931" w:type="dxa"/>
            <w:gridSpan w:val="4"/>
            <w:vAlign w:val="center"/>
          </w:tcPr>
          <w:p>
            <w:pPr>
              <w:jc w:val="center"/>
              <w:rPr>
                <w:kern w:val="0"/>
                <w:sz w:val="24"/>
              </w:rPr>
            </w:pPr>
            <w:r>
              <w:rPr>
                <w:rFonts w:hint="eastAsia"/>
                <w:kern w:val="0"/>
                <w:sz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694" w:type="dxa"/>
            <w:vAlign w:val="center"/>
          </w:tcPr>
          <w:p>
            <w:pPr>
              <w:jc w:val="center"/>
              <w:rPr>
                <w:kern w:val="0"/>
                <w:sz w:val="24"/>
              </w:rPr>
            </w:pPr>
            <w:r>
              <w:rPr>
                <w:rFonts w:hint="eastAsia"/>
                <w:kern w:val="0"/>
                <w:sz w:val="24"/>
              </w:rPr>
              <w:t>信息内容</w:t>
            </w:r>
          </w:p>
        </w:tc>
        <w:tc>
          <w:tcPr>
            <w:tcW w:w="1985" w:type="dxa"/>
            <w:vAlign w:val="center"/>
          </w:tcPr>
          <w:p>
            <w:pPr>
              <w:jc w:val="center"/>
              <w:rPr>
                <w:kern w:val="0"/>
                <w:sz w:val="24"/>
              </w:rPr>
            </w:pPr>
            <w:r>
              <w:rPr>
                <w:rFonts w:hint="eastAsia"/>
                <w:kern w:val="0"/>
                <w:sz w:val="24"/>
              </w:rPr>
              <w:t>本年新制作数量</w:t>
            </w:r>
          </w:p>
        </w:tc>
        <w:tc>
          <w:tcPr>
            <w:tcW w:w="2030" w:type="dxa"/>
            <w:vAlign w:val="center"/>
          </w:tcPr>
          <w:p>
            <w:pPr>
              <w:jc w:val="center"/>
              <w:rPr>
                <w:kern w:val="0"/>
                <w:sz w:val="24"/>
              </w:rPr>
            </w:pPr>
            <w:r>
              <w:rPr>
                <w:rFonts w:hint="eastAsia"/>
                <w:kern w:val="0"/>
                <w:sz w:val="24"/>
              </w:rPr>
              <w:t>本年新</w:t>
            </w:r>
          </w:p>
          <w:p>
            <w:pPr>
              <w:jc w:val="center"/>
              <w:rPr>
                <w:kern w:val="0"/>
                <w:sz w:val="24"/>
              </w:rPr>
            </w:pPr>
            <w:r>
              <w:rPr>
                <w:rFonts w:hint="eastAsia"/>
                <w:kern w:val="0"/>
                <w:sz w:val="24"/>
              </w:rPr>
              <w:t>公开数量</w:t>
            </w:r>
          </w:p>
        </w:tc>
        <w:tc>
          <w:tcPr>
            <w:tcW w:w="2222" w:type="dxa"/>
            <w:vAlign w:val="center"/>
          </w:tcPr>
          <w:p>
            <w:pPr>
              <w:jc w:val="center"/>
              <w:rPr>
                <w:kern w:val="0"/>
                <w:sz w:val="24"/>
              </w:rPr>
            </w:pPr>
            <w:r>
              <w:rPr>
                <w:rFonts w:hint="eastAsia"/>
                <w:kern w:val="0"/>
                <w:sz w:val="24"/>
              </w:rPr>
              <w:t>对外公开</w:t>
            </w:r>
          </w:p>
          <w:p>
            <w:pPr>
              <w:jc w:val="center"/>
              <w:rPr>
                <w:kern w:val="0"/>
                <w:sz w:val="24"/>
              </w:rPr>
            </w:pPr>
            <w:r>
              <w:rPr>
                <w:rFonts w:hint="eastAsia"/>
                <w:kern w:val="0"/>
                <w:sz w:val="24"/>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694" w:type="dxa"/>
            <w:vAlign w:val="center"/>
          </w:tcPr>
          <w:p>
            <w:pPr>
              <w:rPr>
                <w:kern w:val="0"/>
                <w:sz w:val="24"/>
              </w:rPr>
            </w:pPr>
            <w:r>
              <w:rPr>
                <w:rFonts w:hint="eastAsia"/>
                <w:kern w:val="0"/>
                <w:sz w:val="24"/>
              </w:rPr>
              <w:t>规章</w:t>
            </w:r>
          </w:p>
        </w:tc>
        <w:tc>
          <w:tcPr>
            <w:tcW w:w="1985" w:type="dxa"/>
            <w:vAlign w:val="center"/>
          </w:tcPr>
          <w:p>
            <w:pPr>
              <w:jc w:val="center"/>
              <w:rPr>
                <w:kern w:val="0"/>
                <w:sz w:val="24"/>
              </w:rPr>
            </w:pPr>
            <w:r>
              <w:rPr>
                <w:rFonts w:hint="eastAsia"/>
                <w:kern w:val="0"/>
                <w:sz w:val="24"/>
              </w:rPr>
              <w:t>0</w:t>
            </w:r>
          </w:p>
        </w:tc>
        <w:tc>
          <w:tcPr>
            <w:tcW w:w="2030" w:type="dxa"/>
            <w:vAlign w:val="center"/>
          </w:tcPr>
          <w:p>
            <w:pPr>
              <w:jc w:val="center"/>
              <w:rPr>
                <w:kern w:val="0"/>
                <w:sz w:val="24"/>
              </w:rPr>
            </w:pPr>
            <w:r>
              <w:rPr>
                <w:rFonts w:hint="eastAsia"/>
                <w:kern w:val="0"/>
                <w:sz w:val="24"/>
              </w:rPr>
              <w:t>0</w:t>
            </w:r>
          </w:p>
        </w:tc>
        <w:tc>
          <w:tcPr>
            <w:tcW w:w="2222" w:type="dxa"/>
            <w:vAlign w:val="center"/>
          </w:tcPr>
          <w:p>
            <w:pPr>
              <w:jc w:val="center"/>
              <w:rPr>
                <w:kern w:val="0"/>
                <w:sz w:val="24"/>
              </w:rPr>
            </w:pPr>
            <w:r>
              <w:rPr>
                <w:rFonts w:hint="eastAsia"/>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694" w:type="dxa"/>
            <w:vAlign w:val="center"/>
          </w:tcPr>
          <w:p>
            <w:pPr>
              <w:rPr>
                <w:kern w:val="0"/>
                <w:sz w:val="24"/>
              </w:rPr>
            </w:pPr>
            <w:r>
              <w:rPr>
                <w:rFonts w:hint="eastAsia"/>
                <w:kern w:val="0"/>
                <w:sz w:val="24"/>
              </w:rPr>
              <w:t>规范性文件</w:t>
            </w:r>
          </w:p>
        </w:tc>
        <w:tc>
          <w:tcPr>
            <w:tcW w:w="1985" w:type="dxa"/>
            <w:vAlign w:val="center"/>
          </w:tcPr>
          <w:p>
            <w:pPr>
              <w:jc w:val="center"/>
              <w:rPr>
                <w:rFonts w:hint="eastAsia" w:eastAsia="宋体"/>
                <w:kern w:val="0"/>
                <w:sz w:val="24"/>
                <w:lang w:eastAsia="zh-CN"/>
              </w:rPr>
            </w:pPr>
            <w:r>
              <w:rPr>
                <w:rFonts w:hint="eastAsia"/>
                <w:kern w:val="0"/>
                <w:sz w:val="24"/>
                <w:lang w:val="en-US" w:eastAsia="zh-CN"/>
              </w:rPr>
              <w:t>0</w:t>
            </w:r>
          </w:p>
        </w:tc>
        <w:tc>
          <w:tcPr>
            <w:tcW w:w="2030" w:type="dxa"/>
            <w:vAlign w:val="center"/>
          </w:tcPr>
          <w:p>
            <w:pPr>
              <w:jc w:val="center"/>
              <w:rPr>
                <w:rFonts w:hint="eastAsia" w:eastAsia="宋体"/>
                <w:kern w:val="0"/>
                <w:sz w:val="24"/>
                <w:lang w:eastAsia="zh-CN"/>
              </w:rPr>
            </w:pPr>
            <w:r>
              <w:rPr>
                <w:rFonts w:hint="eastAsia"/>
                <w:kern w:val="0"/>
                <w:sz w:val="24"/>
                <w:lang w:val="en-US" w:eastAsia="zh-CN"/>
              </w:rPr>
              <w:t>0</w:t>
            </w:r>
          </w:p>
        </w:tc>
        <w:tc>
          <w:tcPr>
            <w:tcW w:w="2222" w:type="dxa"/>
            <w:vAlign w:val="center"/>
          </w:tcPr>
          <w:p>
            <w:pPr>
              <w:jc w:val="center"/>
              <w:rPr>
                <w:rFonts w:hint="eastAsia" w:eastAsia="宋体"/>
                <w:kern w:val="0"/>
                <w:sz w:val="24"/>
                <w:lang w:eastAsia="zh-CN"/>
              </w:rPr>
            </w:pPr>
            <w:r>
              <w:rPr>
                <w:rFonts w:hint="eastAsia"/>
                <w:kern w:val="0"/>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31" w:type="dxa"/>
            <w:gridSpan w:val="4"/>
            <w:vAlign w:val="center"/>
          </w:tcPr>
          <w:p>
            <w:pPr>
              <w:jc w:val="center"/>
              <w:rPr>
                <w:kern w:val="0"/>
                <w:sz w:val="24"/>
              </w:rPr>
            </w:pPr>
            <w:r>
              <w:rPr>
                <w:rFonts w:hint="eastAsia"/>
                <w:kern w:val="0"/>
                <w:sz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694" w:type="dxa"/>
            <w:vAlign w:val="center"/>
          </w:tcPr>
          <w:p>
            <w:pPr>
              <w:jc w:val="center"/>
              <w:rPr>
                <w:kern w:val="0"/>
                <w:sz w:val="24"/>
              </w:rPr>
            </w:pPr>
            <w:r>
              <w:rPr>
                <w:rFonts w:hint="eastAsia"/>
                <w:kern w:val="0"/>
                <w:sz w:val="24"/>
              </w:rPr>
              <w:t>信息内容</w:t>
            </w:r>
          </w:p>
        </w:tc>
        <w:tc>
          <w:tcPr>
            <w:tcW w:w="1985" w:type="dxa"/>
            <w:vAlign w:val="center"/>
          </w:tcPr>
          <w:p>
            <w:pPr>
              <w:rPr>
                <w:kern w:val="0"/>
                <w:sz w:val="24"/>
              </w:rPr>
            </w:pPr>
            <w:r>
              <w:rPr>
                <w:rFonts w:hint="eastAsia"/>
                <w:kern w:val="0"/>
                <w:sz w:val="24"/>
              </w:rPr>
              <w:t>上一年项目数量</w:t>
            </w:r>
          </w:p>
        </w:tc>
        <w:tc>
          <w:tcPr>
            <w:tcW w:w="2030" w:type="dxa"/>
            <w:vAlign w:val="center"/>
          </w:tcPr>
          <w:p>
            <w:pPr>
              <w:jc w:val="center"/>
              <w:rPr>
                <w:kern w:val="0"/>
                <w:sz w:val="24"/>
              </w:rPr>
            </w:pPr>
            <w:r>
              <w:rPr>
                <w:rFonts w:hint="eastAsia"/>
                <w:kern w:val="0"/>
                <w:sz w:val="24"/>
              </w:rPr>
              <w:t>本年增/减</w:t>
            </w:r>
          </w:p>
        </w:tc>
        <w:tc>
          <w:tcPr>
            <w:tcW w:w="2222" w:type="dxa"/>
            <w:vAlign w:val="center"/>
          </w:tcPr>
          <w:p>
            <w:pPr>
              <w:jc w:val="center"/>
              <w:rPr>
                <w:kern w:val="0"/>
                <w:sz w:val="24"/>
              </w:rPr>
            </w:pPr>
            <w:r>
              <w:rPr>
                <w:rFonts w:hint="eastAsia"/>
                <w:kern w:val="0"/>
                <w:sz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694" w:type="dxa"/>
            <w:vAlign w:val="center"/>
          </w:tcPr>
          <w:p>
            <w:pPr>
              <w:rPr>
                <w:kern w:val="0"/>
                <w:sz w:val="24"/>
              </w:rPr>
            </w:pPr>
            <w:r>
              <w:rPr>
                <w:rFonts w:hint="eastAsia"/>
                <w:kern w:val="0"/>
                <w:sz w:val="24"/>
              </w:rPr>
              <w:t>行政许可</w:t>
            </w:r>
          </w:p>
        </w:tc>
        <w:tc>
          <w:tcPr>
            <w:tcW w:w="1985" w:type="dxa"/>
            <w:vAlign w:val="center"/>
          </w:tcPr>
          <w:p>
            <w:pPr>
              <w:jc w:val="center"/>
              <w:rPr>
                <w:kern w:val="0"/>
                <w:sz w:val="24"/>
              </w:rPr>
            </w:pPr>
            <w:r>
              <w:rPr>
                <w:rFonts w:hint="eastAsia"/>
                <w:sz w:val="24"/>
                <w:szCs w:val="24"/>
                <w:lang w:val="en-US" w:eastAsia="zh-CN"/>
              </w:rPr>
              <w:t>317</w:t>
            </w:r>
          </w:p>
        </w:tc>
        <w:tc>
          <w:tcPr>
            <w:tcW w:w="2030" w:type="dxa"/>
            <w:vAlign w:val="center"/>
          </w:tcPr>
          <w:p>
            <w:pPr>
              <w:jc w:val="center"/>
              <w:rPr>
                <w:kern w:val="0"/>
                <w:sz w:val="24"/>
              </w:rPr>
            </w:pPr>
            <w:r>
              <w:rPr>
                <w:rFonts w:hint="eastAsia"/>
                <w:kern w:val="0"/>
                <w:sz w:val="24"/>
              </w:rPr>
              <w:t>增</w:t>
            </w:r>
            <w:r>
              <w:rPr>
                <w:rFonts w:hint="eastAsia"/>
                <w:sz w:val="24"/>
                <w:szCs w:val="24"/>
                <w:lang w:val="en-US" w:eastAsia="zh-CN"/>
              </w:rPr>
              <w:t>430</w:t>
            </w:r>
          </w:p>
        </w:tc>
        <w:tc>
          <w:tcPr>
            <w:tcW w:w="2222" w:type="dxa"/>
            <w:vAlign w:val="center"/>
          </w:tcPr>
          <w:p>
            <w:pPr>
              <w:jc w:val="center"/>
              <w:rPr>
                <w:kern w:val="0"/>
                <w:sz w:val="24"/>
              </w:rPr>
            </w:pPr>
            <w:r>
              <w:rPr>
                <w:rFonts w:hint="eastAsia"/>
                <w:sz w:val="24"/>
                <w:szCs w:val="24"/>
                <w:lang w:val="en-US" w:eastAsia="zh-CN"/>
              </w:rPr>
              <w:t>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694" w:type="dxa"/>
            <w:vAlign w:val="center"/>
          </w:tcPr>
          <w:p>
            <w:pPr>
              <w:rPr>
                <w:kern w:val="0"/>
                <w:sz w:val="24"/>
              </w:rPr>
            </w:pPr>
            <w:r>
              <w:rPr>
                <w:rFonts w:hint="eastAsia"/>
                <w:kern w:val="0"/>
                <w:sz w:val="24"/>
              </w:rPr>
              <w:t>其他对外管理服务事项</w:t>
            </w:r>
          </w:p>
        </w:tc>
        <w:tc>
          <w:tcPr>
            <w:tcW w:w="1985" w:type="dxa"/>
            <w:vAlign w:val="center"/>
          </w:tcPr>
          <w:p>
            <w:pPr>
              <w:jc w:val="center"/>
              <w:rPr>
                <w:rFonts w:hint="eastAsia" w:eastAsia="宋体"/>
                <w:kern w:val="0"/>
                <w:sz w:val="24"/>
                <w:lang w:eastAsia="zh-CN"/>
              </w:rPr>
            </w:pPr>
            <w:r>
              <w:rPr>
                <w:rFonts w:hint="eastAsia"/>
                <w:kern w:val="0"/>
                <w:sz w:val="24"/>
                <w:lang w:val="en-US" w:eastAsia="zh-CN"/>
              </w:rPr>
              <w:t>0</w:t>
            </w:r>
          </w:p>
        </w:tc>
        <w:tc>
          <w:tcPr>
            <w:tcW w:w="2030" w:type="dxa"/>
            <w:vAlign w:val="center"/>
          </w:tcPr>
          <w:p>
            <w:pPr>
              <w:jc w:val="center"/>
              <w:rPr>
                <w:rFonts w:hint="eastAsia" w:eastAsia="宋体"/>
                <w:kern w:val="0"/>
                <w:sz w:val="24"/>
                <w:lang w:eastAsia="zh-CN"/>
              </w:rPr>
            </w:pPr>
            <w:r>
              <w:rPr>
                <w:rFonts w:hint="eastAsia"/>
                <w:kern w:val="0"/>
                <w:sz w:val="24"/>
              </w:rPr>
              <w:t>增</w:t>
            </w:r>
            <w:r>
              <w:rPr>
                <w:rFonts w:hint="eastAsia"/>
                <w:kern w:val="0"/>
                <w:sz w:val="24"/>
                <w:lang w:val="en-US" w:eastAsia="zh-CN"/>
              </w:rPr>
              <w:t>0</w:t>
            </w:r>
          </w:p>
        </w:tc>
        <w:tc>
          <w:tcPr>
            <w:tcW w:w="2222" w:type="dxa"/>
            <w:vAlign w:val="center"/>
          </w:tcPr>
          <w:p>
            <w:pPr>
              <w:jc w:val="center"/>
              <w:rPr>
                <w:rFonts w:hint="eastAsia" w:eastAsia="宋体"/>
                <w:kern w:val="0"/>
                <w:sz w:val="24"/>
                <w:lang w:eastAsia="zh-CN"/>
              </w:rPr>
            </w:pPr>
            <w:r>
              <w:rPr>
                <w:rFonts w:hint="eastAsia"/>
                <w:kern w:val="0"/>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931" w:type="dxa"/>
            <w:gridSpan w:val="4"/>
            <w:vAlign w:val="center"/>
          </w:tcPr>
          <w:p>
            <w:pPr>
              <w:jc w:val="center"/>
              <w:rPr>
                <w:kern w:val="0"/>
                <w:sz w:val="24"/>
              </w:rPr>
            </w:pPr>
            <w:r>
              <w:rPr>
                <w:rFonts w:hint="eastAsia"/>
                <w:kern w:val="0"/>
                <w:sz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694" w:type="dxa"/>
            <w:vAlign w:val="center"/>
          </w:tcPr>
          <w:p>
            <w:pPr>
              <w:jc w:val="center"/>
              <w:rPr>
                <w:kern w:val="0"/>
                <w:sz w:val="24"/>
              </w:rPr>
            </w:pPr>
            <w:r>
              <w:rPr>
                <w:rFonts w:hint="eastAsia"/>
                <w:kern w:val="0"/>
                <w:sz w:val="24"/>
              </w:rPr>
              <w:t>信息内容</w:t>
            </w:r>
          </w:p>
        </w:tc>
        <w:tc>
          <w:tcPr>
            <w:tcW w:w="1985" w:type="dxa"/>
            <w:vAlign w:val="center"/>
          </w:tcPr>
          <w:p>
            <w:pPr>
              <w:rPr>
                <w:kern w:val="0"/>
                <w:sz w:val="24"/>
              </w:rPr>
            </w:pPr>
            <w:r>
              <w:rPr>
                <w:rFonts w:hint="eastAsia"/>
                <w:kern w:val="0"/>
                <w:sz w:val="24"/>
              </w:rPr>
              <w:t>上一年项目数量</w:t>
            </w:r>
          </w:p>
        </w:tc>
        <w:tc>
          <w:tcPr>
            <w:tcW w:w="2030" w:type="dxa"/>
            <w:vAlign w:val="center"/>
          </w:tcPr>
          <w:p>
            <w:pPr>
              <w:jc w:val="center"/>
              <w:rPr>
                <w:kern w:val="0"/>
                <w:sz w:val="24"/>
              </w:rPr>
            </w:pPr>
            <w:r>
              <w:rPr>
                <w:rFonts w:hint="eastAsia"/>
                <w:kern w:val="0"/>
                <w:sz w:val="24"/>
              </w:rPr>
              <w:t>本年增/减</w:t>
            </w:r>
          </w:p>
        </w:tc>
        <w:tc>
          <w:tcPr>
            <w:tcW w:w="2222" w:type="dxa"/>
            <w:vAlign w:val="center"/>
          </w:tcPr>
          <w:p>
            <w:pPr>
              <w:jc w:val="center"/>
              <w:rPr>
                <w:kern w:val="0"/>
                <w:sz w:val="24"/>
              </w:rPr>
            </w:pPr>
            <w:r>
              <w:rPr>
                <w:rFonts w:hint="eastAsia"/>
                <w:kern w:val="0"/>
                <w:sz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694" w:type="dxa"/>
            <w:vAlign w:val="center"/>
          </w:tcPr>
          <w:p>
            <w:pPr>
              <w:rPr>
                <w:kern w:val="0"/>
                <w:sz w:val="24"/>
              </w:rPr>
            </w:pPr>
            <w:r>
              <w:rPr>
                <w:rFonts w:hint="eastAsia"/>
                <w:kern w:val="0"/>
                <w:sz w:val="24"/>
              </w:rPr>
              <w:t>行政处罚</w:t>
            </w:r>
          </w:p>
        </w:tc>
        <w:tc>
          <w:tcPr>
            <w:tcW w:w="1985" w:type="dxa"/>
            <w:vAlign w:val="center"/>
          </w:tcPr>
          <w:p>
            <w:pPr>
              <w:jc w:val="center"/>
              <w:rPr>
                <w:rFonts w:hint="eastAsia" w:eastAsia="宋体"/>
                <w:kern w:val="0"/>
                <w:sz w:val="24"/>
                <w:lang w:eastAsia="zh-CN"/>
              </w:rPr>
            </w:pPr>
            <w:r>
              <w:rPr>
                <w:rFonts w:hint="eastAsia"/>
                <w:kern w:val="0"/>
                <w:sz w:val="24"/>
                <w:lang w:val="en-US" w:eastAsia="zh-CN"/>
              </w:rPr>
              <w:t>9</w:t>
            </w:r>
          </w:p>
        </w:tc>
        <w:tc>
          <w:tcPr>
            <w:tcW w:w="2030" w:type="dxa"/>
            <w:vAlign w:val="center"/>
          </w:tcPr>
          <w:p>
            <w:pPr>
              <w:jc w:val="center"/>
              <w:rPr>
                <w:rFonts w:hint="eastAsia" w:eastAsia="宋体"/>
                <w:kern w:val="0"/>
                <w:sz w:val="24"/>
                <w:lang w:eastAsia="zh-CN"/>
              </w:rPr>
            </w:pPr>
            <w:r>
              <w:rPr>
                <w:rFonts w:hint="eastAsia"/>
                <w:kern w:val="0"/>
                <w:sz w:val="24"/>
                <w:lang w:eastAsia="zh-CN"/>
              </w:rPr>
              <w:t>增</w:t>
            </w:r>
            <w:r>
              <w:rPr>
                <w:rFonts w:hint="eastAsia"/>
                <w:kern w:val="0"/>
                <w:sz w:val="24"/>
                <w:lang w:val="en-US" w:eastAsia="zh-CN"/>
              </w:rPr>
              <w:t>5</w:t>
            </w:r>
          </w:p>
        </w:tc>
        <w:tc>
          <w:tcPr>
            <w:tcW w:w="2222" w:type="dxa"/>
            <w:vAlign w:val="center"/>
          </w:tcPr>
          <w:p>
            <w:pPr>
              <w:jc w:val="center"/>
              <w:rPr>
                <w:rFonts w:hint="default" w:eastAsia="宋体"/>
                <w:kern w:val="0"/>
                <w:sz w:val="24"/>
                <w:lang w:val="en-US" w:eastAsia="zh-CN"/>
              </w:rPr>
            </w:pPr>
            <w:r>
              <w:rPr>
                <w:rFonts w:hint="eastAsia"/>
                <w:kern w:val="0"/>
                <w:sz w:val="24"/>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694" w:type="dxa"/>
            <w:vAlign w:val="center"/>
          </w:tcPr>
          <w:p>
            <w:pPr>
              <w:rPr>
                <w:kern w:val="0"/>
                <w:sz w:val="24"/>
              </w:rPr>
            </w:pPr>
            <w:r>
              <w:rPr>
                <w:rFonts w:hint="eastAsia"/>
                <w:kern w:val="0"/>
                <w:sz w:val="24"/>
              </w:rPr>
              <w:t>行政强制</w:t>
            </w:r>
          </w:p>
        </w:tc>
        <w:tc>
          <w:tcPr>
            <w:tcW w:w="1985" w:type="dxa"/>
            <w:vAlign w:val="center"/>
          </w:tcPr>
          <w:p>
            <w:pPr>
              <w:jc w:val="center"/>
              <w:rPr>
                <w:rFonts w:hint="eastAsia" w:eastAsia="宋体"/>
                <w:kern w:val="0"/>
                <w:sz w:val="24"/>
                <w:lang w:eastAsia="zh-CN"/>
              </w:rPr>
            </w:pPr>
            <w:r>
              <w:rPr>
                <w:rFonts w:hint="eastAsia"/>
                <w:kern w:val="0"/>
                <w:sz w:val="24"/>
                <w:lang w:val="en-US" w:eastAsia="zh-CN"/>
              </w:rPr>
              <w:t>0</w:t>
            </w:r>
          </w:p>
        </w:tc>
        <w:tc>
          <w:tcPr>
            <w:tcW w:w="2030" w:type="dxa"/>
            <w:vAlign w:val="center"/>
          </w:tcPr>
          <w:p>
            <w:pPr>
              <w:jc w:val="center"/>
              <w:rPr>
                <w:rFonts w:hint="eastAsia" w:eastAsia="宋体"/>
                <w:kern w:val="0"/>
                <w:sz w:val="24"/>
                <w:lang w:eastAsia="zh-CN"/>
              </w:rPr>
            </w:pPr>
            <w:r>
              <w:rPr>
                <w:rFonts w:hint="eastAsia"/>
                <w:kern w:val="0"/>
                <w:sz w:val="24"/>
                <w:lang w:eastAsia="zh-CN"/>
              </w:rPr>
              <w:t>增</w:t>
            </w:r>
            <w:r>
              <w:rPr>
                <w:rFonts w:hint="eastAsia"/>
                <w:kern w:val="0"/>
                <w:sz w:val="24"/>
                <w:lang w:val="en-US" w:eastAsia="zh-CN"/>
              </w:rPr>
              <w:t>0</w:t>
            </w:r>
          </w:p>
        </w:tc>
        <w:tc>
          <w:tcPr>
            <w:tcW w:w="2222" w:type="dxa"/>
            <w:vAlign w:val="center"/>
          </w:tcPr>
          <w:p>
            <w:pPr>
              <w:jc w:val="center"/>
              <w:rPr>
                <w:rFonts w:hint="eastAsia" w:eastAsia="宋体"/>
                <w:kern w:val="0"/>
                <w:sz w:val="24"/>
                <w:lang w:eastAsia="zh-CN"/>
              </w:rPr>
            </w:pPr>
            <w:r>
              <w:rPr>
                <w:rFonts w:hint="eastAsia"/>
                <w:kern w:val="0"/>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931" w:type="dxa"/>
            <w:gridSpan w:val="4"/>
            <w:vAlign w:val="center"/>
          </w:tcPr>
          <w:p>
            <w:pPr>
              <w:jc w:val="center"/>
              <w:rPr>
                <w:kern w:val="0"/>
                <w:sz w:val="24"/>
              </w:rPr>
            </w:pPr>
            <w:r>
              <w:rPr>
                <w:rFonts w:hint="eastAsia"/>
                <w:kern w:val="0"/>
                <w:sz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94" w:type="dxa"/>
            <w:vAlign w:val="center"/>
          </w:tcPr>
          <w:p>
            <w:pPr>
              <w:jc w:val="center"/>
              <w:rPr>
                <w:kern w:val="0"/>
                <w:sz w:val="24"/>
              </w:rPr>
            </w:pPr>
            <w:r>
              <w:rPr>
                <w:rFonts w:hint="eastAsia"/>
                <w:kern w:val="0"/>
                <w:sz w:val="24"/>
              </w:rPr>
              <w:t>信息内容</w:t>
            </w:r>
          </w:p>
        </w:tc>
        <w:tc>
          <w:tcPr>
            <w:tcW w:w="1985" w:type="dxa"/>
            <w:vAlign w:val="center"/>
          </w:tcPr>
          <w:p>
            <w:pPr>
              <w:rPr>
                <w:kern w:val="0"/>
                <w:sz w:val="24"/>
              </w:rPr>
            </w:pPr>
            <w:r>
              <w:rPr>
                <w:rFonts w:hint="eastAsia"/>
                <w:kern w:val="0"/>
                <w:sz w:val="24"/>
              </w:rPr>
              <w:t>上一年项目数量</w:t>
            </w:r>
          </w:p>
        </w:tc>
        <w:tc>
          <w:tcPr>
            <w:tcW w:w="4252" w:type="dxa"/>
            <w:gridSpan w:val="2"/>
            <w:vAlign w:val="center"/>
          </w:tcPr>
          <w:p>
            <w:pPr>
              <w:jc w:val="center"/>
              <w:rPr>
                <w:kern w:val="0"/>
                <w:sz w:val="24"/>
              </w:rPr>
            </w:pPr>
            <w:r>
              <w:rPr>
                <w:rFonts w:hint="eastAsia"/>
                <w:kern w:val="0"/>
                <w:sz w:val="24"/>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94" w:type="dxa"/>
            <w:vAlign w:val="center"/>
          </w:tcPr>
          <w:p>
            <w:pPr>
              <w:rPr>
                <w:kern w:val="0"/>
                <w:sz w:val="24"/>
              </w:rPr>
            </w:pPr>
            <w:r>
              <w:rPr>
                <w:rFonts w:hint="eastAsia"/>
                <w:kern w:val="0"/>
                <w:sz w:val="24"/>
              </w:rPr>
              <w:t>行政事业性收费</w:t>
            </w:r>
          </w:p>
        </w:tc>
        <w:tc>
          <w:tcPr>
            <w:tcW w:w="1985" w:type="dxa"/>
            <w:vAlign w:val="center"/>
          </w:tcPr>
          <w:p>
            <w:pPr>
              <w:jc w:val="center"/>
              <w:rPr>
                <w:rFonts w:hint="eastAsia" w:eastAsia="宋体"/>
                <w:kern w:val="0"/>
                <w:sz w:val="24"/>
                <w:lang w:eastAsia="zh-CN"/>
              </w:rPr>
            </w:pPr>
            <w:r>
              <w:rPr>
                <w:rFonts w:hint="eastAsia"/>
                <w:kern w:val="0"/>
                <w:sz w:val="24"/>
                <w:lang w:val="en-US" w:eastAsia="zh-CN"/>
              </w:rPr>
              <w:t>1</w:t>
            </w:r>
          </w:p>
        </w:tc>
        <w:tc>
          <w:tcPr>
            <w:tcW w:w="4252" w:type="dxa"/>
            <w:gridSpan w:val="2"/>
            <w:vAlign w:val="center"/>
          </w:tcPr>
          <w:p>
            <w:pPr>
              <w:jc w:val="center"/>
              <w:rPr>
                <w:kern w:val="0"/>
                <w:sz w:val="24"/>
              </w:rPr>
            </w:pPr>
            <w:r>
              <w:rPr>
                <w:rFonts w:hint="eastAsia"/>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931" w:type="dxa"/>
            <w:gridSpan w:val="4"/>
            <w:vAlign w:val="center"/>
          </w:tcPr>
          <w:p>
            <w:pPr>
              <w:jc w:val="center"/>
              <w:rPr>
                <w:kern w:val="0"/>
                <w:sz w:val="24"/>
              </w:rPr>
            </w:pPr>
            <w:r>
              <w:rPr>
                <w:rFonts w:hint="eastAsia"/>
                <w:kern w:val="0"/>
                <w:sz w:val="24"/>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694" w:type="dxa"/>
            <w:vAlign w:val="center"/>
          </w:tcPr>
          <w:p>
            <w:pPr>
              <w:jc w:val="center"/>
              <w:rPr>
                <w:kern w:val="0"/>
                <w:sz w:val="24"/>
              </w:rPr>
            </w:pPr>
            <w:r>
              <w:rPr>
                <w:rFonts w:hint="eastAsia"/>
                <w:kern w:val="0"/>
                <w:sz w:val="24"/>
              </w:rPr>
              <w:t>信息内容</w:t>
            </w:r>
          </w:p>
        </w:tc>
        <w:tc>
          <w:tcPr>
            <w:tcW w:w="1985" w:type="dxa"/>
            <w:vAlign w:val="center"/>
          </w:tcPr>
          <w:p>
            <w:pPr>
              <w:jc w:val="center"/>
              <w:rPr>
                <w:kern w:val="0"/>
                <w:sz w:val="24"/>
              </w:rPr>
            </w:pPr>
            <w:r>
              <w:rPr>
                <w:rFonts w:hint="eastAsia"/>
                <w:kern w:val="0"/>
                <w:sz w:val="24"/>
              </w:rPr>
              <w:t>采购项目数量</w:t>
            </w:r>
          </w:p>
        </w:tc>
        <w:tc>
          <w:tcPr>
            <w:tcW w:w="4252" w:type="dxa"/>
            <w:gridSpan w:val="2"/>
            <w:vAlign w:val="center"/>
          </w:tcPr>
          <w:p>
            <w:pPr>
              <w:jc w:val="center"/>
              <w:rPr>
                <w:kern w:val="0"/>
                <w:sz w:val="24"/>
              </w:rPr>
            </w:pPr>
            <w:r>
              <w:rPr>
                <w:rFonts w:hint="eastAsia"/>
                <w:kern w:val="0"/>
                <w:sz w:val="24"/>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694" w:type="dxa"/>
            <w:vAlign w:val="center"/>
          </w:tcPr>
          <w:p>
            <w:pPr>
              <w:rPr>
                <w:kern w:val="0"/>
                <w:sz w:val="24"/>
              </w:rPr>
            </w:pPr>
            <w:r>
              <w:rPr>
                <w:rFonts w:hint="eastAsia"/>
                <w:kern w:val="0"/>
                <w:sz w:val="24"/>
              </w:rPr>
              <w:t>政府集中采购</w:t>
            </w:r>
          </w:p>
        </w:tc>
        <w:tc>
          <w:tcPr>
            <w:tcW w:w="1985" w:type="dxa"/>
            <w:vAlign w:val="center"/>
          </w:tcPr>
          <w:p>
            <w:pPr>
              <w:jc w:val="center"/>
              <w:rPr>
                <w:rFonts w:hint="eastAsia" w:eastAsia="宋体"/>
                <w:kern w:val="0"/>
                <w:sz w:val="24"/>
                <w:lang w:eastAsia="zh-CN"/>
              </w:rPr>
            </w:pPr>
            <w:r>
              <w:rPr>
                <w:rFonts w:hint="eastAsia"/>
                <w:kern w:val="0"/>
                <w:sz w:val="24"/>
                <w:lang w:val="en-US" w:eastAsia="zh-CN"/>
              </w:rPr>
              <w:t>5</w:t>
            </w:r>
          </w:p>
        </w:tc>
        <w:tc>
          <w:tcPr>
            <w:tcW w:w="4252" w:type="dxa"/>
            <w:gridSpan w:val="2"/>
            <w:vAlign w:val="center"/>
          </w:tcPr>
          <w:p>
            <w:pPr>
              <w:jc w:val="center"/>
              <w:rPr>
                <w:kern w:val="0"/>
                <w:sz w:val="24"/>
              </w:rPr>
            </w:pPr>
            <w:r>
              <w:rPr>
                <w:rFonts w:hint="eastAsia"/>
                <w:sz w:val="24"/>
                <w:szCs w:val="24"/>
                <w:lang w:val="en-US" w:eastAsia="zh-CN"/>
              </w:rPr>
              <w:t>606.7228(万元)</w:t>
            </w:r>
          </w:p>
        </w:tc>
      </w:tr>
    </w:tbl>
    <w:p>
      <w:pPr>
        <w:pStyle w:val="8"/>
        <w:keepNext w:val="0"/>
        <w:keepLines w:val="0"/>
        <w:pageBreakBefore w:val="0"/>
        <w:widowControl/>
        <w:kinsoku/>
        <w:wordWrap/>
        <w:overflowPunct/>
        <w:topLinePunct w:val="0"/>
        <w:autoSpaceDE/>
        <w:autoSpaceDN/>
        <w:bidi w:val="0"/>
        <w:adjustRightInd/>
        <w:snapToGrid/>
        <w:spacing w:after="0"/>
        <w:ind w:firstLine="640" w:firstLineChars="200"/>
        <w:jc w:val="both"/>
        <w:textAlignment w:val="auto"/>
        <w:rPr>
          <w:rFonts w:ascii="仿宋_GB2312" w:hAnsi="仿宋" w:eastAsia="仿宋_GB2312"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三、</w:t>
      </w:r>
      <w:r>
        <w:rPr>
          <w:rFonts w:hint="eastAsia" w:ascii="黑体" w:hAnsi="黑体" w:eastAsia="黑体"/>
          <w:b/>
          <w:sz w:val="32"/>
          <w:szCs w:val="32"/>
        </w:rPr>
        <w:t>收到和处理政府信息公开申请情况</w:t>
      </w:r>
    </w:p>
    <w:tbl>
      <w:tblPr>
        <w:tblStyle w:val="10"/>
        <w:tblW w:w="978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2693"/>
        <w:gridCol w:w="567"/>
        <w:gridCol w:w="709"/>
        <w:gridCol w:w="708"/>
        <w:gridCol w:w="709"/>
        <w:gridCol w:w="709"/>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820" w:type="dxa"/>
            <w:gridSpan w:val="3"/>
            <w:vMerge w:val="restart"/>
            <w:vAlign w:val="center"/>
          </w:tcPr>
          <w:p>
            <w:pPr>
              <w:rPr>
                <w:kern w:val="0"/>
                <w:sz w:val="20"/>
              </w:rPr>
            </w:pPr>
            <w:r>
              <w:rPr>
                <w:rFonts w:hint="eastAsia"/>
                <w:kern w:val="0"/>
                <w:sz w:val="20"/>
              </w:rPr>
              <w:t>（本列数据的勾稽关系为：第一项加第二项之和，等于第三项加第四项之和）</w:t>
            </w:r>
          </w:p>
        </w:tc>
        <w:tc>
          <w:tcPr>
            <w:tcW w:w="4961" w:type="dxa"/>
            <w:gridSpan w:val="7"/>
            <w:vAlign w:val="center"/>
          </w:tcPr>
          <w:p>
            <w:pPr>
              <w:jc w:val="center"/>
              <w:rPr>
                <w:kern w:val="0"/>
                <w:sz w:val="20"/>
                <w:szCs w:val="21"/>
              </w:rPr>
            </w:pPr>
            <w:r>
              <w:rPr>
                <w:rFonts w:hint="eastAsia"/>
                <w:kern w:val="0"/>
                <w:sz w:val="20"/>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820" w:type="dxa"/>
            <w:gridSpan w:val="3"/>
            <w:vMerge w:val="continue"/>
          </w:tcPr>
          <w:p>
            <w:pPr>
              <w:rPr>
                <w:kern w:val="0"/>
                <w:sz w:val="20"/>
              </w:rPr>
            </w:pPr>
          </w:p>
        </w:tc>
        <w:tc>
          <w:tcPr>
            <w:tcW w:w="567" w:type="dxa"/>
            <w:vMerge w:val="restart"/>
            <w:vAlign w:val="center"/>
          </w:tcPr>
          <w:p>
            <w:pPr>
              <w:jc w:val="center"/>
              <w:rPr>
                <w:kern w:val="0"/>
                <w:sz w:val="18"/>
                <w:szCs w:val="18"/>
              </w:rPr>
            </w:pPr>
            <w:r>
              <w:rPr>
                <w:rFonts w:hint="eastAsia"/>
                <w:kern w:val="0"/>
                <w:sz w:val="20"/>
                <w:szCs w:val="21"/>
              </w:rPr>
              <w:t>自然人</w:t>
            </w:r>
          </w:p>
        </w:tc>
        <w:tc>
          <w:tcPr>
            <w:tcW w:w="3544" w:type="dxa"/>
            <w:gridSpan w:val="5"/>
            <w:vAlign w:val="center"/>
          </w:tcPr>
          <w:p>
            <w:pPr>
              <w:jc w:val="center"/>
              <w:rPr>
                <w:kern w:val="0"/>
                <w:sz w:val="20"/>
                <w:szCs w:val="21"/>
              </w:rPr>
            </w:pPr>
            <w:r>
              <w:rPr>
                <w:rFonts w:hint="eastAsia"/>
                <w:kern w:val="0"/>
                <w:sz w:val="20"/>
                <w:szCs w:val="21"/>
              </w:rPr>
              <w:t>法人或其他组织</w:t>
            </w:r>
          </w:p>
        </w:tc>
        <w:tc>
          <w:tcPr>
            <w:tcW w:w="850" w:type="dxa"/>
            <w:vMerge w:val="restart"/>
            <w:vAlign w:val="center"/>
          </w:tcPr>
          <w:p>
            <w:pPr>
              <w:rPr>
                <w:kern w:val="0"/>
                <w:sz w:val="20"/>
                <w:szCs w:val="21"/>
              </w:rPr>
            </w:pPr>
            <w:r>
              <w:rPr>
                <w:rFonts w:hint="eastAsia"/>
                <w:kern w:val="0"/>
                <w:sz w:val="20"/>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820" w:type="dxa"/>
            <w:gridSpan w:val="3"/>
            <w:vMerge w:val="continue"/>
          </w:tcPr>
          <w:p>
            <w:pPr>
              <w:rPr>
                <w:kern w:val="0"/>
                <w:sz w:val="20"/>
              </w:rPr>
            </w:pPr>
          </w:p>
        </w:tc>
        <w:tc>
          <w:tcPr>
            <w:tcW w:w="567" w:type="dxa"/>
            <w:vMerge w:val="continue"/>
          </w:tcPr>
          <w:p>
            <w:pPr>
              <w:rPr>
                <w:kern w:val="0"/>
                <w:sz w:val="18"/>
                <w:szCs w:val="18"/>
              </w:rPr>
            </w:pPr>
          </w:p>
        </w:tc>
        <w:tc>
          <w:tcPr>
            <w:tcW w:w="709" w:type="dxa"/>
            <w:vAlign w:val="center"/>
          </w:tcPr>
          <w:p>
            <w:pPr>
              <w:rPr>
                <w:kern w:val="0"/>
                <w:sz w:val="20"/>
                <w:szCs w:val="21"/>
              </w:rPr>
            </w:pPr>
            <w:r>
              <w:rPr>
                <w:rFonts w:hint="eastAsia"/>
                <w:kern w:val="0"/>
                <w:sz w:val="20"/>
                <w:szCs w:val="21"/>
              </w:rPr>
              <w:t>商业企业</w:t>
            </w:r>
          </w:p>
        </w:tc>
        <w:tc>
          <w:tcPr>
            <w:tcW w:w="708" w:type="dxa"/>
            <w:vAlign w:val="center"/>
          </w:tcPr>
          <w:p>
            <w:pPr>
              <w:rPr>
                <w:kern w:val="0"/>
                <w:sz w:val="20"/>
                <w:szCs w:val="21"/>
              </w:rPr>
            </w:pPr>
            <w:r>
              <w:rPr>
                <w:rFonts w:hint="eastAsia"/>
                <w:kern w:val="0"/>
                <w:sz w:val="20"/>
                <w:szCs w:val="21"/>
              </w:rPr>
              <w:t>科研机构</w:t>
            </w:r>
          </w:p>
        </w:tc>
        <w:tc>
          <w:tcPr>
            <w:tcW w:w="709" w:type="dxa"/>
            <w:vAlign w:val="center"/>
          </w:tcPr>
          <w:p>
            <w:pPr>
              <w:rPr>
                <w:kern w:val="0"/>
                <w:sz w:val="20"/>
                <w:szCs w:val="21"/>
              </w:rPr>
            </w:pPr>
            <w:r>
              <w:rPr>
                <w:rFonts w:hint="eastAsia"/>
                <w:kern w:val="0"/>
                <w:sz w:val="20"/>
                <w:szCs w:val="21"/>
              </w:rPr>
              <w:t>社会公益组织</w:t>
            </w:r>
          </w:p>
        </w:tc>
        <w:tc>
          <w:tcPr>
            <w:tcW w:w="709" w:type="dxa"/>
            <w:vAlign w:val="center"/>
          </w:tcPr>
          <w:p>
            <w:pPr>
              <w:rPr>
                <w:kern w:val="0"/>
                <w:sz w:val="20"/>
                <w:szCs w:val="21"/>
              </w:rPr>
            </w:pPr>
            <w:r>
              <w:rPr>
                <w:rFonts w:hint="eastAsia"/>
                <w:kern w:val="0"/>
                <w:sz w:val="20"/>
                <w:szCs w:val="21"/>
              </w:rPr>
              <w:t>法律服务机构</w:t>
            </w:r>
          </w:p>
        </w:tc>
        <w:tc>
          <w:tcPr>
            <w:tcW w:w="709" w:type="dxa"/>
            <w:vAlign w:val="center"/>
          </w:tcPr>
          <w:p>
            <w:pPr>
              <w:rPr>
                <w:kern w:val="0"/>
                <w:sz w:val="20"/>
                <w:szCs w:val="21"/>
              </w:rPr>
            </w:pPr>
            <w:r>
              <w:rPr>
                <w:rFonts w:hint="eastAsia"/>
                <w:kern w:val="0"/>
                <w:sz w:val="20"/>
                <w:szCs w:val="21"/>
              </w:rPr>
              <w:t>其他</w:t>
            </w:r>
          </w:p>
        </w:tc>
        <w:tc>
          <w:tcPr>
            <w:tcW w:w="850" w:type="dxa"/>
            <w:vMerge w:val="continue"/>
            <w:vAlign w:val="center"/>
          </w:tcPr>
          <w:p>
            <w:pP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820" w:type="dxa"/>
            <w:gridSpan w:val="3"/>
          </w:tcPr>
          <w:p>
            <w:pPr>
              <w:rPr>
                <w:kern w:val="0"/>
                <w:sz w:val="20"/>
              </w:rPr>
            </w:pPr>
            <w:r>
              <w:rPr>
                <w:rFonts w:hint="eastAsia"/>
                <w:kern w:val="0"/>
                <w:sz w:val="20"/>
              </w:rPr>
              <w:t>一、本年新收政府信息公开申请数量</w:t>
            </w:r>
          </w:p>
        </w:tc>
        <w:tc>
          <w:tcPr>
            <w:tcW w:w="567" w:type="dxa"/>
          </w:tcPr>
          <w:p>
            <w:pPr>
              <w:rPr>
                <w:rFonts w:hint="eastAsia" w:eastAsia="宋体"/>
                <w:kern w:val="0"/>
                <w:sz w:val="20"/>
                <w:lang w:eastAsia="zh-CN"/>
              </w:rPr>
            </w:pPr>
            <w:r>
              <w:rPr>
                <w:rFonts w:hint="eastAsia"/>
                <w:kern w:val="0"/>
                <w:sz w:val="20"/>
                <w:lang w:val="en-US" w:eastAsia="zh-CN"/>
              </w:rPr>
              <w:t>0</w:t>
            </w:r>
          </w:p>
        </w:tc>
        <w:tc>
          <w:tcPr>
            <w:tcW w:w="709" w:type="dxa"/>
            <w:vAlign w:val="center"/>
          </w:tcPr>
          <w:p>
            <w:pPr>
              <w:rPr>
                <w:rFonts w:hint="eastAsia" w:eastAsia="宋体"/>
                <w:kern w:val="0"/>
                <w:sz w:val="20"/>
                <w:szCs w:val="21"/>
                <w:lang w:eastAsia="zh-CN"/>
              </w:rPr>
            </w:pPr>
            <w:r>
              <w:rPr>
                <w:rFonts w:hint="eastAsia"/>
                <w:color w:val="000000" w:themeColor="text1"/>
                <w:kern w:val="0"/>
                <w:sz w:val="20"/>
                <w:szCs w:val="21"/>
                <w:lang w:val="en-US" w:eastAsia="zh-CN"/>
                <w14:textFill>
                  <w14:solidFill>
                    <w14:schemeClr w14:val="tx1"/>
                  </w14:solidFill>
                </w14:textFill>
              </w:rPr>
              <w:t>0</w:t>
            </w:r>
          </w:p>
        </w:tc>
        <w:tc>
          <w:tcPr>
            <w:tcW w:w="708" w:type="dxa"/>
            <w:vAlign w:val="center"/>
          </w:tcPr>
          <w:p>
            <w:pPr>
              <w:rPr>
                <w:kern w:val="0"/>
                <w:sz w:val="20"/>
                <w:szCs w:val="21"/>
              </w:rPr>
            </w:pPr>
            <w:r>
              <w:rPr>
                <w:rFonts w:hint="eastAsia"/>
                <w:kern w:val="0"/>
                <w:sz w:val="20"/>
              </w:rPr>
              <w:t>0</w:t>
            </w:r>
          </w:p>
        </w:tc>
        <w:tc>
          <w:tcPr>
            <w:tcW w:w="709" w:type="dxa"/>
            <w:vAlign w:val="center"/>
          </w:tcPr>
          <w:p>
            <w:pPr>
              <w:rPr>
                <w:kern w:val="0"/>
                <w:sz w:val="20"/>
                <w:szCs w:val="21"/>
              </w:rPr>
            </w:pPr>
            <w:r>
              <w:rPr>
                <w:rFonts w:hint="eastAsia"/>
                <w:kern w:val="0"/>
                <w:sz w:val="20"/>
              </w:rPr>
              <w:t>0</w:t>
            </w:r>
          </w:p>
        </w:tc>
        <w:tc>
          <w:tcPr>
            <w:tcW w:w="709" w:type="dxa"/>
            <w:vAlign w:val="center"/>
          </w:tcPr>
          <w:p>
            <w:pPr>
              <w:rPr>
                <w:kern w:val="0"/>
                <w:sz w:val="20"/>
                <w:szCs w:val="21"/>
              </w:rPr>
            </w:pPr>
            <w:r>
              <w:rPr>
                <w:rFonts w:hint="eastAsia"/>
                <w:kern w:val="0"/>
                <w:sz w:val="20"/>
              </w:rPr>
              <w:t>0</w:t>
            </w:r>
          </w:p>
        </w:tc>
        <w:tc>
          <w:tcPr>
            <w:tcW w:w="709" w:type="dxa"/>
            <w:vAlign w:val="center"/>
          </w:tcPr>
          <w:p>
            <w:pPr>
              <w:rPr>
                <w:kern w:val="0"/>
                <w:sz w:val="20"/>
                <w:szCs w:val="21"/>
              </w:rPr>
            </w:pPr>
            <w:r>
              <w:rPr>
                <w:rFonts w:hint="eastAsia"/>
                <w:kern w:val="0"/>
                <w:sz w:val="20"/>
              </w:rPr>
              <w:t>0</w:t>
            </w:r>
          </w:p>
        </w:tc>
        <w:tc>
          <w:tcPr>
            <w:tcW w:w="850" w:type="dxa"/>
            <w:vAlign w:val="center"/>
          </w:tcPr>
          <w:p>
            <w:pPr>
              <w:rPr>
                <w:rFonts w:hint="eastAsia" w:eastAsia="宋体"/>
                <w:kern w:val="0"/>
                <w:sz w:val="20"/>
                <w:szCs w:val="21"/>
                <w:lang w:eastAsia="zh-CN"/>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20" w:type="dxa"/>
            <w:gridSpan w:val="3"/>
          </w:tcPr>
          <w:p>
            <w:pPr>
              <w:rPr>
                <w:kern w:val="0"/>
                <w:sz w:val="20"/>
              </w:rPr>
            </w:pPr>
            <w:r>
              <w:rPr>
                <w:rFonts w:hint="eastAsia"/>
                <w:kern w:val="0"/>
                <w:sz w:val="20"/>
              </w:rPr>
              <w:t>二、上年结转政府信息公开申请数量</w:t>
            </w:r>
          </w:p>
        </w:tc>
        <w:tc>
          <w:tcPr>
            <w:tcW w:w="567" w:type="dxa"/>
          </w:tcPr>
          <w:p>
            <w:pPr>
              <w:rPr>
                <w:rFonts w:hint="eastAsia" w:eastAsia="宋体"/>
                <w:kern w:val="0"/>
                <w:sz w:val="20"/>
                <w:lang w:eastAsia="zh-CN"/>
              </w:rPr>
            </w:pPr>
            <w:r>
              <w:rPr>
                <w:rFonts w:hint="eastAsia"/>
                <w:kern w:val="0"/>
                <w:sz w:val="20"/>
                <w:lang w:val="en-US" w:eastAsia="zh-CN"/>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rFonts w:hint="eastAsia" w:eastAsia="宋体"/>
                <w:kern w:val="0"/>
                <w:sz w:val="20"/>
                <w:lang w:eastAsia="zh-CN"/>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7" w:type="dxa"/>
            <w:vMerge w:val="restart"/>
            <w:vAlign w:val="center"/>
          </w:tcPr>
          <w:p>
            <w:pPr>
              <w:rPr>
                <w:kern w:val="0"/>
                <w:sz w:val="20"/>
              </w:rPr>
            </w:pPr>
            <w:r>
              <w:rPr>
                <w:rFonts w:hint="eastAsia"/>
                <w:kern w:val="0"/>
                <w:sz w:val="20"/>
              </w:rPr>
              <w:t>三、本年度办理结果</w:t>
            </w:r>
          </w:p>
        </w:tc>
        <w:tc>
          <w:tcPr>
            <w:tcW w:w="4253" w:type="dxa"/>
            <w:gridSpan w:val="2"/>
          </w:tcPr>
          <w:p>
            <w:pPr>
              <w:rPr>
                <w:rFonts w:asciiTheme="minorEastAsia" w:hAnsiTheme="minorEastAsia"/>
                <w:kern w:val="0"/>
                <w:sz w:val="18"/>
                <w:szCs w:val="18"/>
              </w:rPr>
            </w:pPr>
            <w:r>
              <w:rPr>
                <w:rFonts w:hint="eastAsia" w:asciiTheme="minorEastAsia" w:hAnsiTheme="minorEastAsia"/>
                <w:kern w:val="0"/>
                <w:sz w:val="18"/>
                <w:szCs w:val="18"/>
              </w:rPr>
              <w:t>（一）予以公开</w:t>
            </w:r>
          </w:p>
        </w:tc>
        <w:tc>
          <w:tcPr>
            <w:tcW w:w="567" w:type="dxa"/>
          </w:tcPr>
          <w:p>
            <w:pPr>
              <w:rPr>
                <w:rFonts w:hint="eastAsia" w:eastAsia="宋体"/>
                <w:kern w:val="0"/>
                <w:sz w:val="20"/>
                <w:lang w:eastAsia="zh-CN"/>
              </w:rPr>
            </w:pPr>
            <w:r>
              <w:rPr>
                <w:rFonts w:hint="eastAsia"/>
                <w:kern w:val="0"/>
                <w:sz w:val="20"/>
                <w:lang w:val="en-US" w:eastAsia="zh-CN"/>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rFonts w:hint="eastAsia" w:eastAsia="宋体"/>
                <w:kern w:val="0"/>
                <w:sz w:val="20"/>
                <w:lang w:val="en-US" w:eastAsia="zh-CN"/>
              </w:rPr>
            </w:pPr>
            <w:r>
              <w:rPr>
                <w:rFonts w:hint="eastAsia"/>
                <w:kern w:val="0"/>
                <w:sz w:val="20"/>
                <w:lang w:val="en-US" w:eastAsia="zh-CN"/>
              </w:rPr>
              <w:t>0</w:t>
            </w:r>
          </w:p>
        </w:tc>
        <w:tc>
          <w:tcPr>
            <w:tcW w:w="850" w:type="dxa"/>
          </w:tcPr>
          <w:p>
            <w:pPr>
              <w:rPr>
                <w:rFonts w:hint="eastAsia" w:eastAsia="宋体"/>
                <w:kern w:val="0"/>
                <w:sz w:val="20"/>
                <w:lang w:val="en-US" w:eastAsia="zh-CN"/>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kern w:val="0"/>
                <w:sz w:val="20"/>
              </w:rPr>
            </w:pPr>
          </w:p>
        </w:tc>
        <w:tc>
          <w:tcPr>
            <w:tcW w:w="4253" w:type="dxa"/>
            <w:gridSpan w:val="2"/>
          </w:tcPr>
          <w:p>
            <w:pPr>
              <w:rPr>
                <w:rFonts w:asciiTheme="minorEastAsia" w:hAnsiTheme="minorEastAsia"/>
                <w:kern w:val="0"/>
                <w:sz w:val="18"/>
                <w:szCs w:val="18"/>
              </w:rPr>
            </w:pPr>
            <w:r>
              <w:rPr>
                <w:rFonts w:hint="eastAsia" w:asciiTheme="minorEastAsia" w:hAnsiTheme="minorEastAsia"/>
                <w:kern w:val="0"/>
                <w:sz w:val="18"/>
                <w:szCs w:val="18"/>
              </w:rPr>
              <w:t>（二）部分公开（区分处理的，只计这一情形，不计其他情形）</w:t>
            </w:r>
          </w:p>
        </w:tc>
        <w:tc>
          <w:tcPr>
            <w:tcW w:w="567" w:type="dxa"/>
          </w:tcPr>
          <w:p>
            <w:pPr>
              <w:rPr>
                <w:rFonts w:hint="eastAsia" w:eastAsia="宋体"/>
                <w:kern w:val="0"/>
                <w:sz w:val="20"/>
                <w:lang w:eastAsia="zh-CN"/>
              </w:rPr>
            </w:pPr>
            <w:r>
              <w:rPr>
                <w:rFonts w:hint="eastAsia"/>
                <w:kern w:val="0"/>
                <w:sz w:val="20"/>
                <w:lang w:val="en-US" w:eastAsia="zh-CN"/>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rFonts w:hint="eastAsia" w:eastAsia="宋体"/>
                <w:kern w:val="0"/>
                <w:sz w:val="20"/>
                <w:lang w:val="en-US" w:eastAsia="zh-CN"/>
              </w:rPr>
            </w:pPr>
            <w:r>
              <w:rPr>
                <w:rFonts w:hint="eastAsia"/>
                <w:kern w:val="0"/>
                <w:sz w:val="20"/>
                <w:lang w:val="en-US" w:eastAsia="zh-CN"/>
              </w:rPr>
              <w:t>0</w:t>
            </w:r>
          </w:p>
        </w:tc>
        <w:tc>
          <w:tcPr>
            <w:tcW w:w="850" w:type="dxa"/>
          </w:tcPr>
          <w:p>
            <w:pPr>
              <w:rPr>
                <w:rFonts w:hint="eastAsia" w:eastAsia="宋体"/>
                <w:kern w:val="0"/>
                <w:sz w:val="20"/>
                <w:lang w:val="en-US" w:eastAsia="zh-CN"/>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67" w:type="dxa"/>
            <w:vMerge w:val="continue"/>
          </w:tcPr>
          <w:p>
            <w:pPr>
              <w:rPr>
                <w:kern w:val="0"/>
                <w:sz w:val="20"/>
              </w:rPr>
            </w:pPr>
          </w:p>
        </w:tc>
        <w:tc>
          <w:tcPr>
            <w:tcW w:w="1560" w:type="dxa"/>
            <w:vMerge w:val="restart"/>
            <w:vAlign w:val="center"/>
          </w:tcPr>
          <w:p>
            <w:pPr>
              <w:rPr>
                <w:rFonts w:asciiTheme="minorEastAsia" w:hAnsiTheme="minorEastAsia"/>
                <w:kern w:val="0"/>
                <w:sz w:val="18"/>
                <w:szCs w:val="18"/>
              </w:rPr>
            </w:pPr>
            <w:r>
              <w:rPr>
                <w:rFonts w:hint="eastAsia" w:asciiTheme="minorEastAsia" w:hAnsiTheme="minorEastAsia"/>
                <w:kern w:val="0"/>
                <w:sz w:val="18"/>
                <w:szCs w:val="18"/>
              </w:rPr>
              <w:t>（三）不予公开</w:t>
            </w:r>
          </w:p>
        </w:tc>
        <w:tc>
          <w:tcPr>
            <w:tcW w:w="2693" w:type="dxa"/>
          </w:tcPr>
          <w:p>
            <w:pPr>
              <w:rPr>
                <w:rFonts w:asciiTheme="minorEastAsia" w:hAnsiTheme="minorEastAsia"/>
                <w:kern w:val="0"/>
                <w:sz w:val="18"/>
                <w:szCs w:val="18"/>
              </w:rPr>
            </w:pPr>
            <w:r>
              <w:rPr>
                <w:rFonts w:asciiTheme="minorEastAsia" w:hAnsiTheme="minorEastAsia"/>
                <w:kern w:val="0"/>
                <w:sz w:val="18"/>
                <w:szCs w:val="18"/>
              </w:rPr>
              <w:t>1</w:t>
            </w:r>
            <w:r>
              <w:rPr>
                <w:rFonts w:hint="eastAsia" w:asciiTheme="minorEastAsia" w:hAnsiTheme="minorEastAsia"/>
                <w:kern w:val="0"/>
                <w:sz w:val="18"/>
                <w:szCs w:val="18"/>
              </w:rPr>
              <w:t>．属于国家秘密</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67" w:type="dxa"/>
            <w:vMerge w:val="continue"/>
          </w:tcPr>
          <w:p>
            <w:pPr>
              <w:rPr>
                <w:kern w:val="0"/>
                <w:sz w:val="20"/>
              </w:rPr>
            </w:pPr>
          </w:p>
        </w:tc>
        <w:tc>
          <w:tcPr>
            <w:tcW w:w="1560" w:type="dxa"/>
            <w:vMerge w:val="continue"/>
            <w:vAlign w:val="center"/>
          </w:tcPr>
          <w:p>
            <w:pPr>
              <w:rPr>
                <w:rFonts w:asciiTheme="minorEastAsia" w:hAnsiTheme="minorEastAsia"/>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2．其他法律行政法规禁止公开</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3．危及“三安全一稳定”</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4．保护第三方合法权益</w:t>
            </w:r>
          </w:p>
        </w:tc>
        <w:tc>
          <w:tcPr>
            <w:tcW w:w="567" w:type="dxa"/>
          </w:tcPr>
          <w:p>
            <w:pPr>
              <w:rPr>
                <w:rFonts w:hint="eastAsia" w:eastAsia="宋体"/>
                <w:kern w:val="0"/>
                <w:sz w:val="20"/>
                <w:lang w:val="en-US" w:eastAsia="zh-CN"/>
              </w:rPr>
            </w:pPr>
            <w:r>
              <w:rPr>
                <w:rFonts w:hint="eastAsia"/>
                <w:kern w:val="0"/>
                <w:sz w:val="20"/>
                <w:lang w:val="en-US" w:eastAsia="zh-CN"/>
              </w:rPr>
              <w:t>0</w:t>
            </w:r>
          </w:p>
        </w:tc>
        <w:tc>
          <w:tcPr>
            <w:tcW w:w="709" w:type="dxa"/>
          </w:tcPr>
          <w:p>
            <w:pPr>
              <w:rPr>
                <w:rFonts w:hint="eastAsia" w:eastAsia="宋体"/>
                <w:kern w:val="0"/>
                <w:sz w:val="20"/>
                <w:lang w:val="en-US" w:eastAsia="zh-CN"/>
              </w:rPr>
            </w:pPr>
            <w:r>
              <w:rPr>
                <w:rFonts w:hint="eastAsia"/>
                <w:kern w:val="0"/>
                <w:sz w:val="20"/>
                <w:lang w:val="en-US" w:eastAsia="zh-CN"/>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rFonts w:hint="eastAsia" w:eastAsia="宋体"/>
                <w:kern w:val="0"/>
                <w:sz w:val="20"/>
                <w:lang w:val="en-US" w:eastAsia="zh-CN"/>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5．属于三类内部事务信息</w:t>
            </w:r>
          </w:p>
        </w:tc>
        <w:tc>
          <w:tcPr>
            <w:tcW w:w="567" w:type="dxa"/>
          </w:tcPr>
          <w:p>
            <w:pPr>
              <w:rPr>
                <w:kern w:val="0"/>
                <w:sz w:val="20"/>
              </w:rPr>
            </w:pPr>
            <w:r>
              <w:rPr>
                <w:rFonts w:hint="eastAsia"/>
                <w:kern w:val="0"/>
                <w:sz w:val="20"/>
              </w:rPr>
              <w:t>0</w:t>
            </w:r>
          </w:p>
        </w:tc>
        <w:tc>
          <w:tcPr>
            <w:tcW w:w="709" w:type="dxa"/>
          </w:tcPr>
          <w:p>
            <w:pPr>
              <w:rPr>
                <w:rFonts w:hint="eastAsia" w:eastAsia="宋体"/>
                <w:kern w:val="0"/>
                <w:sz w:val="20"/>
                <w:lang w:eastAsia="zh-CN"/>
              </w:rPr>
            </w:pPr>
            <w:r>
              <w:rPr>
                <w:rFonts w:hint="eastAsia"/>
                <w:kern w:val="0"/>
                <w:sz w:val="20"/>
                <w:lang w:val="en-US" w:eastAsia="zh-CN"/>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rFonts w:hint="eastAsia" w:eastAsia="宋体"/>
                <w:kern w:val="0"/>
                <w:sz w:val="20"/>
                <w:lang w:eastAsia="zh-CN"/>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6．属于四类过程性信息</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7．属于行政执法案卷</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8．属于行政查询事项</w:t>
            </w:r>
          </w:p>
        </w:tc>
        <w:tc>
          <w:tcPr>
            <w:tcW w:w="567" w:type="dxa"/>
          </w:tcPr>
          <w:p>
            <w:pPr>
              <w:rPr>
                <w:rFonts w:hint="eastAsia" w:eastAsia="宋体"/>
                <w:kern w:val="0"/>
                <w:sz w:val="20"/>
                <w:lang w:eastAsia="zh-CN"/>
              </w:rPr>
            </w:pPr>
            <w:r>
              <w:rPr>
                <w:rFonts w:hint="eastAsia"/>
                <w:kern w:val="0"/>
                <w:sz w:val="20"/>
                <w:lang w:val="en-US" w:eastAsia="zh-CN"/>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rFonts w:hint="eastAsia" w:eastAsia="宋体"/>
                <w:kern w:val="0"/>
                <w:sz w:val="20"/>
                <w:lang w:eastAsia="zh-CN"/>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67" w:type="dxa"/>
            <w:vMerge w:val="continue"/>
          </w:tcPr>
          <w:p>
            <w:pPr>
              <w:rPr>
                <w:kern w:val="0"/>
                <w:sz w:val="20"/>
              </w:rPr>
            </w:pPr>
          </w:p>
        </w:tc>
        <w:tc>
          <w:tcPr>
            <w:tcW w:w="1560" w:type="dxa"/>
            <w:vMerge w:val="restart"/>
            <w:vAlign w:val="center"/>
          </w:tcPr>
          <w:p>
            <w:pPr>
              <w:rPr>
                <w:kern w:val="0"/>
                <w:sz w:val="18"/>
                <w:szCs w:val="18"/>
              </w:rPr>
            </w:pPr>
            <w:r>
              <w:rPr>
                <w:rFonts w:hint="eastAsia"/>
                <w:kern w:val="0"/>
                <w:sz w:val="18"/>
                <w:szCs w:val="18"/>
              </w:rPr>
              <w:t>（四）无法提供</w:t>
            </w: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1．本机关不掌握相关政府信息</w:t>
            </w:r>
          </w:p>
        </w:tc>
        <w:tc>
          <w:tcPr>
            <w:tcW w:w="567" w:type="dxa"/>
          </w:tcPr>
          <w:p>
            <w:pPr>
              <w:rPr>
                <w:rFonts w:hint="default" w:eastAsia="宋体"/>
                <w:kern w:val="0"/>
                <w:sz w:val="20"/>
                <w:lang w:val="en-US" w:eastAsia="zh-CN"/>
              </w:rPr>
            </w:pPr>
            <w:r>
              <w:rPr>
                <w:rFonts w:hint="eastAsia"/>
                <w:kern w:val="0"/>
                <w:sz w:val="20"/>
                <w:lang w:val="en-US" w:eastAsia="zh-CN"/>
              </w:rPr>
              <w:t>0</w:t>
            </w:r>
          </w:p>
        </w:tc>
        <w:tc>
          <w:tcPr>
            <w:tcW w:w="709" w:type="dxa"/>
          </w:tcPr>
          <w:p>
            <w:pPr>
              <w:rPr>
                <w:rFonts w:hint="eastAsia" w:eastAsia="宋体"/>
                <w:kern w:val="0"/>
                <w:sz w:val="20"/>
                <w:lang w:val="en-US" w:eastAsia="zh-CN"/>
              </w:rPr>
            </w:pPr>
            <w:r>
              <w:rPr>
                <w:rFonts w:hint="eastAsia"/>
                <w:kern w:val="0"/>
                <w:sz w:val="20"/>
                <w:lang w:val="en-US" w:eastAsia="zh-CN"/>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rFonts w:hint="eastAsia" w:eastAsia="宋体"/>
                <w:kern w:val="0"/>
                <w:sz w:val="20"/>
                <w:lang w:eastAsia="zh-CN"/>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2．没有现成信息需要另行制作</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3．补正后申请内容仍不明确</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67" w:type="dxa"/>
            <w:vMerge w:val="continue"/>
          </w:tcPr>
          <w:p>
            <w:pPr>
              <w:rPr>
                <w:kern w:val="0"/>
                <w:sz w:val="20"/>
              </w:rPr>
            </w:pPr>
          </w:p>
        </w:tc>
        <w:tc>
          <w:tcPr>
            <w:tcW w:w="1560" w:type="dxa"/>
            <w:vMerge w:val="restart"/>
            <w:vAlign w:val="center"/>
          </w:tcPr>
          <w:p>
            <w:pPr>
              <w:rPr>
                <w:kern w:val="0"/>
                <w:sz w:val="18"/>
                <w:szCs w:val="18"/>
              </w:rPr>
            </w:pPr>
            <w:r>
              <w:rPr>
                <w:rFonts w:hint="eastAsia"/>
                <w:kern w:val="0"/>
                <w:sz w:val="18"/>
                <w:szCs w:val="18"/>
              </w:rPr>
              <w:t>（五）</w:t>
            </w:r>
            <w:r>
              <w:rPr>
                <w:rFonts w:hint="eastAsia" w:asciiTheme="minorEastAsia" w:hAnsiTheme="minorEastAsia"/>
                <w:kern w:val="0"/>
                <w:sz w:val="18"/>
                <w:szCs w:val="18"/>
              </w:rPr>
              <w:t>不予处理</w:t>
            </w: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1．信访举报投诉类申请</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kern w:val="0"/>
                <w:sz w:val="20"/>
              </w:rPr>
            </w:pPr>
          </w:p>
        </w:tc>
        <w:tc>
          <w:tcPr>
            <w:tcW w:w="1560" w:type="dxa"/>
            <w:vMerge w:val="continue"/>
          </w:tcPr>
          <w:p>
            <w:pPr>
              <w:rPr>
                <w:kern w:val="0"/>
                <w:sz w:val="20"/>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2．重复申请</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67" w:type="dxa"/>
            <w:vMerge w:val="continue"/>
          </w:tcPr>
          <w:p>
            <w:pPr>
              <w:rPr>
                <w:kern w:val="0"/>
                <w:sz w:val="20"/>
              </w:rPr>
            </w:pPr>
          </w:p>
        </w:tc>
        <w:tc>
          <w:tcPr>
            <w:tcW w:w="1560" w:type="dxa"/>
            <w:vMerge w:val="continue"/>
          </w:tcPr>
          <w:p>
            <w:pPr>
              <w:rPr>
                <w:kern w:val="0"/>
                <w:sz w:val="20"/>
              </w:rPr>
            </w:pPr>
          </w:p>
        </w:tc>
        <w:tc>
          <w:tcPr>
            <w:tcW w:w="2693" w:type="dxa"/>
          </w:tcPr>
          <w:p>
            <w:pPr>
              <w:rPr>
                <w:rFonts w:asciiTheme="minorEastAsia" w:hAnsiTheme="minorEastAsia"/>
                <w:kern w:val="0"/>
                <w:sz w:val="18"/>
                <w:szCs w:val="18"/>
              </w:rPr>
            </w:pPr>
            <w:r>
              <w:rPr>
                <w:rFonts w:asciiTheme="minorEastAsia" w:hAnsiTheme="minorEastAsia"/>
                <w:kern w:val="0"/>
                <w:sz w:val="18"/>
                <w:szCs w:val="18"/>
              </w:rPr>
              <w:t>3</w:t>
            </w:r>
            <w:r>
              <w:rPr>
                <w:rFonts w:hint="eastAsia" w:asciiTheme="minorEastAsia" w:hAnsiTheme="minorEastAsia"/>
                <w:kern w:val="0"/>
                <w:sz w:val="18"/>
                <w:szCs w:val="18"/>
              </w:rPr>
              <w:t>．要求提供公开出版物</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Merge w:val="continue"/>
          </w:tcPr>
          <w:p>
            <w:pPr>
              <w:rPr>
                <w:kern w:val="0"/>
                <w:sz w:val="20"/>
              </w:rPr>
            </w:pPr>
          </w:p>
        </w:tc>
        <w:tc>
          <w:tcPr>
            <w:tcW w:w="1560" w:type="dxa"/>
            <w:vMerge w:val="continue"/>
          </w:tcPr>
          <w:p>
            <w:pPr>
              <w:rPr>
                <w:kern w:val="0"/>
                <w:sz w:val="20"/>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4．无正当理由大量反复申请</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kern w:val="0"/>
                <w:sz w:val="20"/>
              </w:rPr>
            </w:pPr>
          </w:p>
        </w:tc>
        <w:tc>
          <w:tcPr>
            <w:tcW w:w="1560" w:type="dxa"/>
            <w:vMerge w:val="continue"/>
          </w:tcPr>
          <w:p>
            <w:pPr>
              <w:rPr>
                <w:kern w:val="0"/>
                <w:sz w:val="20"/>
              </w:rPr>
            </w:pPr>
          </w:p>
        </w:tc>
        <w:tc>
          <w:tcPr>
            <w:tcW w:w="2693" w:type="dxa"/>
          </w:tcPr>
          <w:p>
            <w:pPr>
              <w:ind w:left="180" w:hanging="180" w:hangingChars="100"/>
              <w:rPr>
                <w:rFonts w:asciiTheme="minorEastAsia" w:hAnsiTheme="minorEastAsia"/>
                <w:kern w:val="0"/>
                <w:sz w:val="18"/>
                <w:szCs w:val="18"/>
              </w:rPr>
            </w:pPr>
            <w:r>
              <w:rPr>
                <w:rFonts w:hint="eastAsia" w:asciiTheme="minorEastAsia" w:hAnsiTheme="minorEastAsia"/>
                <w:kern w:val="0"/>
                <w:sz w:val="18"/>
                <w:szCs w:val="18"/>
              </w:rPr>
              <w:t>5．要求行政机关确认或重新出具已获取信息</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67" w:type="dxa"/>
            <w:vMerge w:val="continue"/>
          </w:tcPr>
          <w:p>
            <w:pPr>
              <w:rPr>
                <w:kern w:val="0"/>
                <w:sz w:val="20"/>
              </w:rPr>
            </w:pPr>
          </w:p>
        </w:tc>
        <w:tc>
          <w:tcPr>
            <w:tcW w:w="4253" w:type="dxa"/>
            <w:gridSpan w:val="2"/>
            <w:vAlign w:val="center"/>
          </w:tcPr>
          <w:p>
            <w:pPr>
              <w:rPr>
                <w:kern w:val="0"/>
                <w:sz w:val="18"/>
                <w:szCs w:val="18"/>
              </w:rPr>
            </w:pPr>
            <w:r>
              <w:rPr>
                <w:rFonts w:hint="eastAsia"/>
                <w:kern w:val="0"/>
                <w:sz w:val="18"/>
                <w:szCs w:val="18"/>
              </w:rPr>
              <w:t>（六）其他处理</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dxa"/>
            <w:vMerge w:val="continue"/>
          </w:tcPr>
          <w:p>
            <w:pPr>
              <w:rPr>
                <w:kern w:val="0"/>
                <w:sz w:val="20"/>
              </w:rPr>
            </w:pPr>
          </w:p>
        </w:tc>
        <w:tc>
          <w:tcPr>
            <w:tcW w:w="4253" w:type="dxa"/>
            <w:gridSpan w:val="2"/>
            <w:vAlign w:val="center"/>
          </w:tcPr>
          <w:p>
            <w:pPr>
              <w:rPr>
                <w:kern w:val="0"/>
                <w:sz w:val="18"/>
                <w:szCs w:val="18"/>
              </w:rPr>
            </w:pPr>
            <w:r>
              <w:rPr>
                <w:rFonts w:hint="eastAsia"/>
                <w:kern w:val="0"/>
                <w:sz w:val="18"/>
                <w:szCs w:val="18"/>
              </w:rPr>
              <w:t>（七）总计</w:t>
            </w:r>
          </w:p>
        </w:tc>
        <w:tc>
          <w:tcPr>
            <w:tcW w:w="567" w:type="dxa"/>
          </w:tcPr>
          <w:p>
            <w:pPr>
              <w:rPr>
                <w:rFonts w:hint="eastAsia" w:eastAsia="宋体"/>
                <w:kern w:val="0"/>
                <w:sz w:val="20"/>
                <w:lang w:eastAsia="zh-CN"/>
              </w:rPr>
            </w:pPr>
            <w:r>
              <w:rPr>
                <w:rFonts w:hint="eastAsia"/>
                <w:kern w:val="0"/>
                <w:sz w:val="20"/>
                <w:lang w:val="en-US" w:eastAsia="zh-CN"/>
              </w:rPr>
              <w:t>0</w:t>
            </w:r>
          </w:p>
        </w:tc>
        <w:tc>
          <w:tcPr>
            <w:tcW w:w="709" w:type="dxa"/>
          </w:tcPr>
          <w:p>
            <w:pPr>
              <w:rPr>
                <w:rFonts w:hint="eastAsia" w:eastAsia="宋体"/>
                <w:kern w:val="0"/>
                <w:sz w:val="20"/>
                <w:lang w:eastAsia="zh-CN"/>
              </w:rPr>
            </w:pPr>
            <w:r>
              <w:rPr>
                <w:rFonts w:hint="eastAsia"/>
                <w:color w:val="000000" w:themeColor="text1"/>
                <w:kern w:val="0"/>
                <w:sz w:val="20"/>
                <w:lang w:val="en-US" w:eastAsia="zh-CN"/>
                <w14:textFill>
                  <w14:solidFill>
                    <w14:schemeClr w14:val="tx1"/>
                  </w14:solidFill>
                </w14:textFill>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rFonts w:hint="eastAsia" w:eastAsia="宋体"/>
                <w:kern w:val="0"/>
                <w:sz w:val="20"/>
                <w:lang w:eastAsia="zh-CN"/>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gridSpan w:val="3"/>
            <w:vAlign w:val="center"/>
          </w:tcPr>
          <w:p>
            <w:pPr>
              <w:rPr>
                <w:kern w:val="0"/>
                <w:sz w:val="20"/>
              </w:rPr>
            </w:pPr>
            <w:r>
              <w:rPr>
                <w:rFonts w:hint="eastAsia"/>
                <w:kern w:val="0"/>
                <w:sz w:val="20"/>
              </w:rPr>
              <w:t>四、结转下年度继续办理</w:t>
            </w:r>
          </w:p>
        </w:tc>
        <w:tc>
          <w:tcPr>
            <w:tcW w:w="567" w:type="dxa"/>
          </w:tcPr>
          <w:p>
            <w:pPr>
              <w:rPr>
                <w:kern w:val="0"/>
                <w:sz w:val="20"/>
              </w:rPr>
            </w:pPr>
            <w:r>
              <w:rPr>
                <w:rFonts w:hint="eastAsia"/>
                <w:kern w:val="0"/>
                <w:sz w:val="20"/>
              </w:rPr>
              <w:t>0</w:t>
            </w:r>
          </w:p>
        </w:tc>
        <w:tc>
          <w:tcPr>
            <w:tcW w:w="709" w:type="dxa"/>
          </w:tcPr>
          <w:p>
            <w:pPr>
              <w:rPr>
                <w:rFonts w:hint="eastAsia" w:eastAsia="宋体"/>
                <w:kern w:val="0"/>
                <w:sz w:val="20"/>
                <w:lang w:eastAsia="zh-CN"/>
              </w:rPr>
            </w:pPr>
            <w:r>
              <w:rPr>
                <w:rFonts w:hint="eastAsia"/>
                <w:color w:val="000000" w:themeColor="text1"/>
                <w:kern w:val="0"/>
                <w:sz w:val="20"/>
                <w:lang w:val="en-US" w:eastAsia="zh-CN"/>
                <w14:textFill>
                  <w14:solidFill>
                    <w14:schemeClr w14:val="tx1"/>
                  </w14:solidFill>
                </w14:textFill>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rFonts w:hint="eastAsia" w:eastAsia="宋体"/>
                <w:kern w:val="0"/>
                <w:sz w:val="20"/>
                <w:lang w:val="en-US" w:eastAsia="zh-CN"/>
              </w:rPr>
            </w:pPr>
            <w:r>
              <w:rPr>
                <w:rFonts w:hint="eastAsia"/>
                <w:color w:val="000000" w:themeColor="text1"/>
                <w:kern w:val="0"/>
                <w:sz w:val="20"/>
                <w:lang w:val="en-US" w:eastAsia="zh-CN"/>
                <w14:textFill>
                  <w14:solidFill>
                    <w14:schemeClr w14:val="tx1"/>
                  </w14:solidFill>
                </w14:textFill>
              </w:rPr>
              <w:t>0</w:t>
            </w:r>
          </w:p>
        </w:tc>
      </w:tr>
    </w:tbl>
    <w:p>
      <w:pPr>
        <w:pStyle w:val="8"/>
        <w:keepNext w:val="0"/>
        <w:keepLines w:val="0"/>
        <w:pageBreakBefore w:val="0"/>
        <w:widowControl/>
        <w:kinsoku/>
        <w:wordWrap/>
        <w:overflowPunct/>
        <w:topLinePunct w:val="0"/>
        <w:autoSpaceDE/>
        <w:autoSpaceDN/>
        <w:bidi w:val="0"/>
        <w:adjustRightInd/>
        <w:snapToGrid/>
        <w:spacing w:after="0"/>
        <w:ind w:firstLine="640" w:firstLineChars="200"/>
        <w:textAlignment w:val="auto"/>
        <w:rPr>
          <w:rFonts w:ascii="黑体" w:hAnsi="黑体" w:eastAsia="黑体"/>
          <w:sz w:val="32"/>
          <w:szCs w:val="32"/>
        </w:rPr>
      </w:pPr>
      <w:r>
        <w:rPr>
          <w:rFonts w:hint="eastAsia" w:ascii="黑体" w:hAnsi="黑体" w:eastAsia="黑体" w:cs="仿宋"/>
          <w:color w:val="000000" w:themeColor="text1"/>
          <w:sz w:val="32"/>
          <w:szCs w:val="32"/>
          <w14:textFill>
            <w14:solidFill>
              <w14:schemeClr w14:val="tx1"/>
            </w14:solidFill>
          </w14:textFill>
        </w:rPr>
        <w:t>四、</w:t>
      </w:r>
      <w:r>
        <w:rPr>
          <w:rFonts w:hint="eastAsia" w:ascii="黑体" w:hAnsi="黑体" w:eastAsia="黑体"/>
          <w:sz w:val="32"/>
          <w:szCs w:val="32"/>
        </w:rPr>
        <w:t>政府信息公开行政复议、行政诉讼情况</w:t>
      </w:r>
    </w:p>
    <w:tbl>
      <w:tblPr>
        <w:tblStyle w:val="10"/>
        <w:tblW w:w="1031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8"/>
        <w:gridCol w:w="709"/>
        <w:gridCol w:w="682"/>
        <w:gridCol w:w="594"/>
        <w:gridCol w:w="709"/>
        <w:gridCol w:w="709"/>
        <w:gridCol w:w="709"/>
        <w:gridCol w:w="708"/>
        <w:gridCol w:w="567"/>
        <w:gridCol w:w="851"/>
        <w:gridCol w:w="650"/>
        <w:gridCol w:w="767"/>
        <w:gridCol w:w="709"/>
        <w:gridCol w:w="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402" w:type="dxa"/>
            <w:gridSpan w:val="5"/>
            <w:vAlign w:val="center"/>
          </w:tcPr>
          <w:p>
            <w:pPr>
              <w:jc w:val="center"/>
              <w:rPr>
                <w:kern w:val="0"/>
                <w:sz w:val="20"/>
                <w:szCs w:val="21"/>
              </w:rPr>
            </w:pPr>
            <w:r>
              <w:rPr>
                <w:rFonts w:hint="eastAsia"/>
                <w:kern w:val="0"/>
                <w:sz w:val="20"/>
                <w:szCs w:val="21"/>
              </w:rPr>
              <w:t>行政复议</w:t>
            </w:r>
          </w:p>
        </w:tc>
        <w:tc>
          <w:tcPr>
            <w:tcW w:w="6917" w:type="dxa"/>
            <w:gridSpan w:val="10"/>
            <w:vAlign w:val="center"/>
          </w:tcPr>
          <w:p>
            <w:pPr>
              <w:jc w:val="center"/>
              <w:rPr>
                <w:kern w:val="0"/>
                <w:sz w:val="20"/>
                <w:szCs w:val="21"/>
              </w:rPr>
            </w:pPr>
            <w:r>
              <w:rPr>
                <w:rFonts w:hint="eastAsia"/>
                <w:kern w:val="0"/>
                <w:sz w:val="20"/>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9" w:type="dxa"/>
            <w:vMerge w:val="restart"/>
            <w:vAlign w:val="center"/>
          </w:tcPr>
          <w:p>
            <w:pPr>
              <w:jc w:val="center"/>
              <w:rPr>
                <w:kern w:val="0"/>
                <w:sz w:val="20"/>
                <w:szCs w:val="21"/>
              </w:rPr>
            </w:pPr>
            <w:r>
              <w:rPr>
                <w:rFonts w:hint="eastAsia"/>
                <w:kern w:val="0"/>
                <w:sz w:val="20"/>
                <w:szCs w:val="21"/>
              </w:rPr>
              <w:t>结果维持</w:t>
            </w:r>
          </w:p>
        </w:tc>
        <w:tc>
          <w:tcPr>
            <w:tcW w:w="708" w:type="dxa"/>
            <w:vMerge w:val="restart"/>
            <w:vAlign w:val="center"/>
          </w:tcPr>
          <w:p>
            <w:pPr>
              <w:jc w:val="center"/>
              <w:rPr>
                <w:kern w:val="0"/>
                <w:sz w:val="20"/>
                <w:szCs w:val="21"/>
              </w:rPr>
            </w:pPr>
            <w:r>
              <w:rPr>
                <w:rFonts w:hint="eastAsia"/>
                <w:kern w:val="0"/>
                <w:sz w:val="20"/>
                <w:szCs w:val="21"/>
              </w:rPr>
              <w:t>结果纠正</w:t>
            </w:r>
          </w:p>
        </w:tc>
        <w:tc>
          <w:tcPr>
            <w:tcW w:w="709" w:type="dxa"/>
            <w:vMerge w:val="restart"/>
            <w:vAlign w:val="center"/>
          </w:tcPr>
          <w:p>
            <w:pPr>
              <w:jc w:val="center"/>
              <w:rPr>
                <w:kern w:val="0"/>
                <w:sz w:val="20"/>
                <w:szCs w:val="21"/>
              </w:rPr>
            </w:pPr>
            <w:r>
              <w:rPr>
                <w:rFonts w:hint="eastAsia"/>
                <w:kern w:val="0"/>
                <w:sz w:val="20"/>
                <w:szCs w:val="21"/>
              </w:rPr>
              <w:t>其他结果</w:t>
            </w:r>
          </w:p>
        </w:tc>
        <w:tc>
          <w:tcPr>
            <w:tcW w:w="682" w:type="dxa"/>
            <w:vMerge w:val="restart"/>
            <w:vAlign w:val="center"/>
          </w:tcPr>
          <w:p>
            <w:pPr>
              <w:jc w:val="center"/>
              <w:rPr>
                <w:kern w:val="0"/>
                <w:sz w:val="20"/>
                <w:szCs w:val="21"/>
              </w:rPr>
            </w:pPr>
            <w:r>
              <w:rPr>
                <w:rFonts w:hint="eastAsia"/>
                <w:kern w:val="0"/>
                <w:sz w:val="20"/>
                <w:szCs w:val="21"/>
              </w:rPr>
              <w:t>尚未审结</w:t>
            </w:r>
          </w:p>
        </w:tc>
        <w:tc>
          <w:tcPr>
            <w:tcW w:w="594" w:type="dxa"/>
            <w:vMerge w:val="restart"/>
            <w:vAlign w:val="center"/>
          </w:tcPr>
          <w:p>
            <w:pPr>
              <w:jc w:val="center"/>
              <w:rPr>
                <w:kern w:val="0"/>
                <w:sz w:val="20"/>
                <w:szCs w:val="21"/>
              </w:rPr>
            </w:pPr>
            <w:r>
              <w:rPr>
                <w:rFonts w:hint="eastAsia"/>
                <w:kern w:val="0"/>
                <w:sz w:val="20"/>
                <w:szCs w:val="21"/>
              </w:rPr>
              <w:t>总计</w:t>
            </w:r>
          </w:p>
        </w:tc>
        <w:tc>
          <w:tcPr>
            <w:tcW w:w="3402" w:type="dxa"/>
            <w:gridSpan w:val="5"/>
            <w:vAlign w:val="center"/>
          </w:tcPr>
          <w:p>
            <w:pPr>
              <w:jc w:val="center"/>
              <w:rPr>
                <w:kern w:val="0"/>
                <w:sz w:val="20"/>
                <w:szCs w:val="21"/>
              </w:rPr>
            </w:pPr>
            <w:r>
              <w:rPr>
                <w:rFonts w:hint="eastAsia"/>
                <w:kern w:val="0"/>
                <w:sz w:val="20"/>
                <w:szCs w:val="21"/>
              </w:rPr>
              <w:t>未经复议直接起诉</w:t>
            </w:r>
          </w:p>
        </w:tc>
        <w:tc>
          <w:tcPr>
            <w:tcW w:w="3515" w:type="dxa"/>
            <w:gridSpan w:val="5"/>
            <w:vAlign w:val="center"/>
          </w:tcPr>
          <w:p>
            <w:pPr>
              <w:jc w:val="center"/>
              <w:rPr>
                <w:kern w:val="0"/>
                <w:sz w:val="20"/>
                <w:szCs w:val="21"/>
              </w:rPr>
            </w:pPr>
            <w:r>
              <w:rPr>
                <w:rFonts w:hint="eastAsia"/>
                <w:kern w:val="0"/>
                <w:sz w:val="20"/>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jc w:val="center"/>
              <w:rPr>
                <w:kern w:val="0"/>
                <w:sz w:val="18"/>
                <w:szCs w:val="18"/>
              </w:rPr>
            </w:pPr>
          </w:p>
        </w:tc>
        <w:tc>
          <w:tcPr>
            <w:tcW w:w="708" w:type="dxa"/>
            <w:vMerge w:val="continue"/>
            <w:vAlign w:val="center"/>
          </w:tcPr>
          <w:p>
            <w:pPr>
              <w:jc w:val="center"/>
              <w:rPr>
                <w:kern w:val="0"/>
                <w:sz w:val="18"/>
                <w:szCs w:val="18"/>
              </w:rPr>
            </w:pPr>
          </w:p>
        </w:tc>
        <w:tc>
          <w:tcPr>
            <w:tcW w:w="709" w:type="dxa"/>
            <w:vMerge w:val="continue"/>
            <w:vAlign w:val="center"/>
          </w:tcPr>
          <w:p>
            <w:pPr>
              <w:jc w:val="center"/>
              <w:rPr>
                <w:kern w:val="0"/>
                <w:sz w:val="18"/>
                <w:szCs w:val="18"/>
              </w:rPr>
            </w:pPr>
          </w:p>
        </w:tc>
        <w:tc>
          <w:tcPr>
            <w:tcW w:w="682" w:type="dxa"/>
            <w:vMerge w:val="continue"/>
            <w:vAlign w:val="center"/>
          </w:tcPr>
          <w:p>
            <w:pPr>
              <w:jc w:val="center"/>
              <w:rPr>
                <w:kern w:val="0"/>
                <w:sz w:val="20"/>
                <w:szCs w:val="21"/>
              </w:rPr>
            </w:pPr>
          </w:p>
        </w:tc>
        <w:tc>
          <w:tcPr>
            <w:tcW w:w="594" w:type="dxa"/>
            <w:vMerge w:val="continue"/>
            <w:vAlign w:val="center"/>
          </w:tcPr>
          <w:p>
            <w:pPr>
              <w:jc w:val="center"/>
              <w:rPr>
                <w:kern w:val="0"/>
                <w:sz w:val="20"/>
                <w:szCs w:val="21"/>
              </w:rPr>
            </w:pPr>
          </w:p>
        </w:tc>
        <w:tc>
          <w:tcPr>
            <w:tcW w:w="709" w:type="dxa"/>
            <w:vAlign w:val="center"/>
          </w:tcPr>
          <w:p>
            <w:pPr>
              <w:jc w:val="center"/>
              <w:rPr>
                <w:kern w:val="0"/>
                <w:sz w:val="20"/>
                <w:szCs w:val="21"/>
              </w:rPr>
            </w:pPr>
            <w:r>
              <w:rPr>
                <w:rFonts w:hint="eastAsia"/>
                <w:kern w:val="0"/>
                <w:sz w:val="20"/>
                <w:szCs w:val="21"/>
              </w:rPr>
              <w:t>结果维持</w:t>
            </w:r>
          </w:p>
        </w:tc>
        <w:tc>
          <w:tcPr>
            <w:tcW w:w="709" w:type="dxa"/>
            <w:vAlign w:val="center"/>
          </w:tcPr>
          <w:p>
            <w:pPr>
              <w:jc w:val="center"/>
              <w:rPr>
                <w:kern w:val="0"/>
                <w:sz w:val="20"/>
                <w:szCs w:val="21"/>
              </w:rPr>
            </w:pPr>
            <w:r>
              <w:rPr>
                <w:rFonts w:hint="eastAsia"/>
                <w:kern w:val="0"/>
                <w:sz w:val="20"/>
                <w:szCs w:val="21"/>
              </w:rPr>
              <w:t>结果纠正</w:t>
            </w:r>
          </w:p>
        </w:tc>
        <w:tc>
          <w:tcPr>
            <w:tcW w:w="709" w:type="dxa"/>
            <w:vAlign w:val="center"/>
          </w:tcPr>
          <w:p>
            <w:pPr>
              <w:jc w:val="center"/>
              <w:rPr>
                <w:kern w:val="0"/>
                <w:sz w:val="20"/>
                <w:szCs w:val="21"/>
              </w:rPr>
            </w:pPr>
            <w:r>
              <w:rPr>
                <w:rFonts w:hint="eastAsia"/>
                <w:kern w:val="0"/>
                <w:sz w:val="20"/>
                <w:szCs w:val="21"/>
              </w:rPr>
              <w:t>其他结果</w:t>
            </w:r>
          </w:p>
        </w:tc>
        <w:tc>
          <w:tcPr>
            <w:tcW w:w="708" w:type="dxa"/>
            <w:vAlign w:val="center"/>
          </w:tcPr>
          <w:p>
            <w:pPr>
              <w:jc w:val="center"/>
              <w:rPr>
                <w:kern w:val="0"/>
                <w:sz w:val="20"/>
                <w:szCs w:val="21"/>
              </w:rPr>
            </w:pPr>
            <w:r>
              <w:rPr>
                <w:rFonts w:hint="eastAsia"/>
                <w:kern w:val="0"/>
                <w:sz w:val="20"/>
                <w:szCs w:val="21"/>
              </w:rPr>
              <w:t>尚未审结</w:t>
            </w:r>
          </w:p>
        </w:tc>
        <w:tc>
          <w:tcPr>
            <w:tcW w:w="567" w:type="dxa"/>
            <w:vAlign w:val="center"/>
          </w:tcPr>
          <w:p>
            <w:pPr>
              <w:jc w:val="center"/>
              <w:rPr>
                <w:kern w:val="0"/>
                <w:sz w:val="20"/>
                <w:szCs w:val="21"/>
              </w:rPr>
            </w:pPr>
            <w:r>
              <w:rPr>
                <w:rFonts w:hint="eastAsia"/>
                <w:kern w:val="0"/>
                <w:sz w:val="20"/>
                <w:szCs w:val="21"/>
              </w:rPr>
              <w:t>总计</w:t>
            </w:r>
          </w:p>
        </w:tc>
        <w:tc>
          <w:tcPr>
            <w:tcW w:w="851" w:type="dxa"/>
            <w:vAlign w:val="center"/>
          </w:tcPr>
          <w:p>
            <w:pPr>
              <w:jc w:val="center"/>
              <w:rPr>
                <w:kern w:val="0"/>
                <w:sz w:val="20"/>
                <w:szCs w:val="21"/>
              </w:rPr>
            </w:pPr>
            <w:r>
              <w:rPr>
                <w:rFonts w:hint="eastAsia"/>
                <w:kern w:val="0"/>
                <w:sz w:val="20"/>
                <w:szCs w:val="21"/>
              </w:rPr>
              <w:t>结果维持</w:t>
            </w:r>
          </w:p>
        </w:tc>
        <w:tc>
          <w:tcPr>
            <w:tcW w:w="650" w:type="dxa"/>
            <w:vAlign w:val="center"/>
          </w:tcPr>
          <w:p>
            <w:pPr>
              <w:jc w:val="center"/>
              <w:rPr>
                <w:kern w:val="0"/>
                <w:sz w:val="20"/>
                <w:szCs w:val="21"/>
              </w:rPr>
            </w:pPr>
            <w:r>
              <w:rPr>
                <w:rFonts w:hint="eastAsia"/>
                <w:kern w:val="0"/>
                <w:sz w:val="20"/>
                <w:szCs w:val="21"/>
              </w:rPr>
              <w:t>结果纠正</w:t>
            </w:r>
          </w:p>
        </w:tc>
        <w:tc>
          <w:tcPr>
            <w:tcW w:w="767" w:type="dxa"/>
            <w:vAlign w:val="center"/>
          </w:tcPr>
          <w:p>
            <w:pPr>
              <w:jc w:val="center"/>
              <w:rPr>
                <w:kern w:val="0"/>
                <w:sz w:val="20"/>
                <w:szCs w:val="21"/>
              </w:rPr>
            </w:pPr>
            <w:r>
              <w:rPr>
                <w:rFonts w:hint="eastAsia"/>
                <w:kern w:val="0"/>
                <w:sz w:val="20"/>
                <w:szCs w:val="21"/>
              </w:rPr>
              <w:t>其他结果</w:t>
            </w:r>
          </w:p>
        </w:tc>
        <w:tc>
          <w:tcPr>
            <w:tcW w:w="709" w:type="dxa"/>
            <w:vAlign w:val="center"/>
          </w:tcPr>
          <w:p>
            <w:pPr>
              <w:jc w:val="center"/>
              <w:rPr>
                <w:kern w:val="0"/>
                <w:sz w:val="20"/>
                <w:szCs w:val="21"/>
              </w:rPr>
            </w:pPr>
            <w:r>
              <w:rPr>
                <w:rFonts w:hint="eastAsia"/>
                <w:kern w:val="0"/>
                <w:sz w:val="20"/>
                <w:szCs w:val="21"/>
              </w:rPr>
              <w:t>尚未审结</w:t>
            </w:r>
          </w:p>
        </w:tc>
        <w:tc>
          <w:tcPr>
            <w:tcW w:w="538" w:type="dxa"/>
            <w:vAlign w:val="center"/>
          </w:tcPr>
          <w:p>
            <w:pPr>
              <w:jc w:val="center"/>
              <w:rPr>
                <w:kern w:val="0"/>
                <w:sz w:val="20"/>
                <w:szCs w:val="21"/>
              </w:rPr>
            </w:pPr>
            <w:r>
              <w:rPr>
                <w:rFonts w:hint="eastAsia"/>
                <w:kern w:val="0"/>
                <w:sz w:val="20"/>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09" w:type="dxa"/>
            <w:vAlign w:val="center"/>
          </w:tcPr>
          <w:p>
            <w:pPr>
              <w:rPr>
                <w:rFonts w:hint="eastAsia" w:eastAsia="宋体"/>
                <w:kern w:val="0"/>
                <w:sz w:val="24"/>
                <w:lang w:eastAsia="zh-CN"/>
              </w:rPr>
            </w:pPr>
            <w:r>
              <w:rPr>
                <w:rFonts w:hint="eastAsia"/>
                <w:kern w:val="0"/>
                <w:sz w:val="24"/>
                <w:lang w:val="en-US" w:eastAsia="zh-CN"/>
              </w:rPr>
              <w:t>0</w:t>
            </w:r>
          </w:p>
        </w:tc>
        <w:tc>
          <w:tcPr>
            <w:tcW w:w="708" w:type="dxa"/>
            <w:vAlign w:val="center"/>
          </w:tcPr>
          <w:p>
            <w:pPr>
              <w:rPr>
                <w:rFonts w:hint="eastAsia" w:eastAsia="宋体"/>
                <w:kern w:val="0"/>
                <w:sz w:val="24"/>
                <w:lang w:eastAsia="zh-CN"/>
              </w:rPr>
            </w:pPr>
            <w:r>
              <w:rPr>
                <w:rFonts w:hint="eastAsia"/>
                <w:kern w:val="0"/>
                <w:sz w:val="24"/>
                <w:lang w:val="en-US" w:eastAsia="zh-CN"/>
              </w:rPr>
              <w:t>0</w:t>
            </w:r>
          </w:p>
        </w:tc>
        <w:tc>
          <w:tcPr>
            <w:tcW w:w="709" w:type="dxa"/>
            <w:vAlign w:val="center"/>
          </w:tcPr>
          <w:p>
            <w:pPr>
              <w:rPr>
                <w:rFonts w:hint="eastAsia" w:eastAsia="宋体"/>
                <w:kern w:val="0"/>
                <w:sz w:val="24"/>
                <w:lang w:eastAsia="zh-CN"/>
              </w:rPr>
            </w:pPr>
            <w:r>
              <w:rPr>
                <w:rFonts w:hint="eastAsia"/>
                <w:kern w:val="0"/>
                <w:sz w:val="24"/>
                <w:lang w:val="en-US" w:eastAsia="zh-CN"/>
              </w:rPr>
              <w:t>0</w:t>
            </w:r>
          </w:p>
        </w:tc>
        <w:tc>
          <w:tcPr>
            <w:tcW w:w="682" w:type="dxa"/>
            <w:vAlign w:val="center"/>
          </w:tcPr>
          <w:p>
            <w:pPr>
              <w:rPr>
                <w:kern w:val="0"/>
                <w:sz w:val="24"/>
              </w:rPr>
            </w:pPr>
            <w:r>
              <w:rPr>
                <w:rFonts w:hint="eastAsia"/>
                <w:kern w:val="0"/>
                <w:sz w:val="24"/>
              </w:rPr>
              <w:t>0</w:t>
            </w:r>
          </w:p>
        </w:tc>
        <w:tc>
          <w:tcPr>
            <w:tcW w:w="594" w:type="dxa"/>
            <w:vAlign w:val="center"/>
          </w:tcPr>
          <w:p>
            <w:pPr>
              <w:rPr>
                <w:rFonts w:hint="eastAsia" w:eastAsia="宋体"/>
                <w:kern w:val="0"/>
                <w:sz w:val="24"/>
                <w:lang w:eastAsia="zh-CN"/>
              </w:rPr>
            </w:pPr>
            <w:r>
              <w:rPr>
                <w:rFonts w:hint="eastAsia"/>
                <w:kern w:val="0"/>
                <w:sz w:val="24"/>
                <w:lang w:val="en-US" w:eastAsia="zh-CN"/>
              </w:rPr>
              <w:t>0</w:t>
            </w:r>
          </w:p>
        </w:tc>
        <w:tc>
          <w:tcPr>
            <w:tcW w:w="709" w:type="dxa"/>
            <w:vAlign w:val="center"/>
          </w:tcPr>
          <w:p>
            <w:pPr>
              <w:rPr>
                <w:rFonts w:hint="eastAsia" w:eastAsia="宋体"/>
                <w:kern w:val="0"/>
                <w:sz w:val="24"/>
                <w:lang w:eastAsia="zh-CN"/>
              </w:rPr>
            </w:pPr>
            <w:r>
              <w:rPr>
                <w:rFonts w:hint="eastAsia"/>
                <w:kern w:val="0"/>
                <w:sz w:val="24"/>
                <w:lang w:val="en-US" w:eastAsia="zh-CN"/>
              </w:rPr>
              <w:t>0</w:t>
            </w:r>
          </w:p>
        </w:tc>
        <w:tc>
          <w:tcPr>
            <w:tcW w:w="709" w:type="dxa"/>
            <w:vAlign w:val="center"/>
          </w:tcPr>
          <w:p>
            <w:pPr>
              <w:rPr>
                <w:kern w:val="0"/>
                <w:sz w:val="24"/>
              </w:rPr>
            </w:pPr>
            <w:r>
              <w:rPr>
                <w:rFonts w:hint="eastAsia"/>
                <w:kern w:val="0"/>
                <w:sz w:val="24"/>
              </w:rPr>
              <w:t>0</w:t>
            </w:r>
          </w:p>
        </w:tc>
        <w:tc>
          <w:tcPr>
            <w:tcW w:w="709" w:type="dxa"/>
            <w:vAlign w:val="center"/>
          </w:tcPr>
          <w:p>
            <w:pPr>
              <w:rPr>
                <w:kern w:val="0"/>
                <w:sz w:val="24"/>
              </w:rPr>
            </w:pPr>
            <w:r>
              <w:rPr>
                <w:rFonts w:hint="eastAsia"/>
                <w:kern w:val="0"/>
                <w:sz w:val="24"/>
              </w:rPr>
              <w:t>0</w:t>
            </w:r>
          </w:p>
        </w:tc>
        <w:tc>
          <w:tcPr>
            <w:tcW w:w="708" w:type="dxa"/>
            <w:vAlign w:val="center"/>
          </w:tcPr>
          <w:p>
            <w:pPr>
              <w:rPr>
                <w:kern w:val="0"/>
                <w:sz w:val="24"/>
              </w:rPr>
            </w:pPr>
            <w:r>
              <w:rPr>
                <w:rFonts w:hint="eastAsia"/>
                <w:kern w:val="0"/>
                <w:sz w:val="24"/>
              </w:rPr>
              <w:t>0</w:t>
            </w:r>
          </w:p>
        </w:tc>
        <w:tc>
          <w:tcPr>
            <w:tcW w:w="567" w:type="dxa"/>
            <w:vAlign w:val="center"/>
          </w:tcPr>
          <w:p>
            <w:pPr>
              <w:rPr>
                <w:rFonts w:hint="eastAsia" w:eastAsia="宋体"/>
                <w:kern w:val="0"/>
                <w:sz w:val="24"/>
                <w:lang w:eastAsia="zh-CN"/>
              </w:rPr>
            </w:pPr>
            <w:r>
              <w:rPr>
                <w:rFonts w:hint="eastAsia"/>
                <w:kern w:val="0"/>
                <w:sz w:val="24"/>
                <w:lang w:val="en-US" w:eastAsia="zh-CN"/>
              </w:rPr>
              <w:t>0</w:t>
            </w:r>
          </w:p>
        </w:tc>
        <w:tc>
          <w:tcPr>
            <w:tcW w:w="851" w:type="dxa"/>
            <w:vAlign w:val="center"/>
          </w:tcPr>
          <w:p>
            <w:pPr>
              <w:rPr>
                <w:rFonts w:hint="eastAsia" w:eastAsia="宋体"/>
                <w:kern w:val="0"/>
                <w:sz w:val="24"/>
                <w:lang w:eastAsia="zh-CN"/>
              </w:rPr>
            </w:pPr>
            <w:r>
              <w:rPr>
                <w:rFonts w:hint="eastAsia"/>
                <w:kern w:val="0"/>
                <w:sz w:val="24"/>
                <w:lang w:val="en-US" w:eastAsia="zh-CN"/>
              </w:rPr>
              <w:t>0</w:t>
            </w:r>
          </w:p>
        </w:tc>
        <w:tc>
          <w:tcPr>
            <w:tcW w:w="650" w:type="dxa"/>
            <w:vAlign w:val="center"/>
          </w:tcPr>
          <w:p>
            <w:pPr>
              <w:rPr>
                <w:rFonts w:hint="eastAsia" w:eastAsia="宋体"/>
                <w:kern w:val="0"/>
                <w:sz w:val="24"/>
                <w:lang w:eastAsia="zh-CN"/>
              </w:rPr>
            </w:pPr>
            <w:r>
              <w:rPr>
                <w:rFonts w:hint="eastAsia"/>
                <w:kern w:val="0"/>
                <w:sz w:val="24"/>
                <w:lang w:val="en-US" w:eastAsia="zh-CN"/>
              </w:rPr>
              <w:t>0</w:t>
            </w:r>
          </w:p>
        </w:tc>
        <w:tc>
          <w:tcPr>
            <w:tcW w:w="767" w:type="dxa"/>
            <w:vAlign w:val="center"/>
          </w:tcPr>
          <w:p>
            <w:pPr>
              <w:rPr>
                <w:rFonts w:hint="eastAsia" w:eastAsia="宋体"/>
                <w:kern w:val="0"/>
                <w:sz w:val="24"/>
                <w:lang w:eastAsia="zh-CN"/>
              </w:rPr>
            </w:pPr>
            <w:r>
              <w:rPr>
                <w:rFonts w:hint="eastAsia"/>
                <w:kern w:val="0"/>
                <w:sz w:val="24"/>
                <w:lang w:val="en-US" w:eastAsia="zh-CN"/>
              </w:rPr>
              <w:t>0</w:t>
            </w:r>
          </w:p>
        </w:tc>
        <w:tc>
          <w:tcPr>
            <w:tcW w:w="709" w:type="dxa"/>
            <w:vAlign w:val="center"/>
          </w:tcPr>
          <w:p>
            <w:pPr>
              <w:rPr>
                <w:rFonts w:hint="eastAsia" w:eastAsia="宋体"/>
                <w:kern w:val="0"/>
                <w:sz w:val="24"/>
                <w:lang w:val="en-US" w:eastAsia="zh-CN"/>
              </w:rPr>
            </w:pPr>
            <w:r>
              <w:rPr>
                <w:rFonts w:hint="eastAsia"/>
                <w:kern w:val="0"/>
                <w:sz w:val="24"/>
                <w:lang w:val="en-US" w:eastAsia="zh-CN"/>
              </w:rPr>
              <w:t>0</w:t>
            </w:r>
          </w:p>
        </w:tc>
        <w:tc>
          <w:tcPr>
            <w:tcW w:w="538" w:type="dxa"/>
            <w:vAlign w:val="center"/>
          </w:tcPr>
          <w:p>
            <w:pPr>
              <w:rPr>
                <w:rFonts w:hint="eastAsia" w:eastAsia="宋体"/>
                <w:kern w:val="0"/>
                <w:sz w:val="24"/>
                <w:lang w:val="en-US" w:eastAsia="zh-CN"/>
              </w:rPr>
            </w:pPr>
            <w:r>
              <w:rPr>
                <w:rFonts w:hint="eastAsia"/>
                <w:kern w:val="0"/>
                <w:sz w:val="24"/>
                <w:lang w:val="en-US" w:eastAsia="zh-CN"/>
              </w:rPr>
              <w:t>0</w:t>
            </w:r>
          </w:p>
        </w:tc>
      </w:tr>
    </w:tbl>
    <w:p>
      <w:pPr>
        <w:pStyle w:val="8"/>
        <w:widowControl/>
        <w:spacing w:after="0" w:line="560" w:lineRule="exact"/>
        <w:ind w:firstLine="640" w:firstLineChars="200"/>
        <w:jc w:val="both"/>
        <w:rPr>
          <w:rFonts w:ascii="黑体" w:hAnsi="黑体" w:eastAsia="黑体"/>
          <w:sz w:val="32"/>
          <w:szCs w:val="32"/>
        </w:rPr>
      </w:pPr>
      <w:r>
        <w:rPr>
          <w:rFonts w:hint="eastAsia" w:ascii="黑体" w:hAnsi="黑体" w:eastAsia="黑体" w:cs="仿宋"/>
          <w:color w:val="000000" w:themeColor="text1"/>
          <w:sz w:val="32"/>
          <w:szCs w:val="32"/>
          <w14:textFill>
            <w14:solidFill>
              <w14:schemeClr w14:val="tx1"/>
            </w14:solidFill>
          </w14:textFill>
        </w:rPr>
        <w:t>五、</w:t>
      </w:r>
      <w:r>
        <w:rPr>
          <w:rFonts w:hint="eastAsia" w:ascii="黑体" w:hAnsi="黑体" w:eastAsia="黑体"/>
          <w:sz w:val="32"/>
          <w:szCs w:val="32"/>
        </w:rPr>
        <w:t>存在的主要问题及改进情况</w:t>
      </w:r>
    </w:p>
    <w:p>
      <w:pPr>
        <w:pStyle w:val="8"/>
        <w:widowControl/>
        <w:spacing w:after="0" w:line="560" w:lineRule="exact"/>
        <w:ind w:firstLine="640" w:firstLineChars="200"/>
        <w:jc w:val="both"/>
        <w:rPr>
          <w:rFonts w:ascii="楷体_GB2312" w:hAnsi="黑体" w:eastAsia="楷体_GB2312" w:cs="仿宋"/>
          <w:color w:val="000000" w:themeColor="text1"/>
          <w:sz w:val="32"/>
          <w:szCs w:val="32"/>
          <w14:textFill>
            <w14:solidFill>
              <w14:schemeClr w14:val="tx1"/>
            </w14:solidFill>
          </w14:textFill>
        </w:rPr>
      </w:pPr>
      <w:r>
        <w:rPr>
          <w:rFonts w:hint="eastAsia" w:ascii="楷体_GB2312" w:hAnsi="黑体" w:eastAsia="楷体_GB2312"/>
          <w:sz w:val="32"/>
          <w:szCs w:val="32"/>
        </w:rPr>
        <w:t>（一）存在问题</w:t>
      </w:r>
    </w:p>
    <w:p>
      <w:pPr>
        <w:ind w:firstLine="640" w:firstLineChars="200"/>
        <w:rPr>
          <w:rFonts w:hint="eastAsia"/>
          <w:sz w:val="28"/>
          <w:szCs w:val="28"/>
          <w:lang w:val="en-US" w:eastAsia="zh-CN"/>
        </w:rPr>
      </w:pPr>
      <w:r>
        <w:rPr>
          <w:rFonts w:hint="eastAsia" w:ascii="Times New Roman" w:hAnsi="Times New Roman" w:eastAsia="仿宋_GB2312" w:cstheme="minorBidi"/>
          <w:kern w:val="22"/>
          <w:sz w:val="32"/>
          <w:szCs w:val="32"/>
          <w:lang w:val="en-US" w:eastAsia="zh-CN" w:bidi="ar"/>
        </w:rPr>
        <w:t>2019</w:t>
      </w:r>
      <w:r>
        <w:rPr>
          <w:rFonts w:hint="eastAsia"/>
          <w:sz w:val="28"/>
          <w:szCs w:val="28"/>
          <w:lang w:val="en-US" w:eastAsia="zh-CN"/>
        </w:rPr>
        <w:t>年，</w:t>
      </w:r>
      <w:r>
        <w:rPr>
          <w:rFonts w:hint="eastAsia" w:ascii="仿宋_GB2312" w:hAnsi="仿宋_GB2312" w:eastAsia="仿宋_GB2312" w:cs="仿宋_GB2312"/>
          <w:sz w:val="32"/>
          <w:szCs w:val="32"/>
          <w:lang w:val="en-US" w:eastAsia="zh-CN"/>
        </w:rPr>
        <w:t>全镇政府信息公开工作进展顺利，公开力度加大，但是还存在这一些问题：一是主动公开政府信息意识不强，缺乏工作积极性和主动性;二是政府解读工作机制不够完善，政策解读形式单一、解读质量不高；政府信息公开目录不够规范，不便于公众查询信息。</w:t>
      </w:r>
    </w:p>
    <w:p>
      <w:pPr>
        <w:pStyle w:val="8"/>
        <w:widowControl/>
        <w:spacing w:after="0" w:line="560" w:lineRule="exact"/>
        <w:ind w:firstLine="640" w:firstLineChars="200"/>
        <w:jc w:val="both"/>
        <w:rPr>
          <w:rFonts w:ascii="楷体_GB2312" w:hAnsi="黑体" w:eastAsia="楷体_GB2312"/>
          <w:sz w:val="32"/>
          <w:szCs w:val="32"/>
        </w:rPr>
      </w:pPr>
      <w:r>
        <w:rPr>
          <w:rFonts w:hint="eastAsia" w:ascii="楷体_GB2312" w:hAnsi="黑体" w:eastAsia="楷体_GB2312"/>
          <w:sz w:val="32"/>
          <w:szCs w:val="32"/>
        </w:rPr>
        <w:t>（二）改进措施</w:t>
      </w:r>
    </w:p>
    <w:p>
      <w:pPr>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heme="minorBidi"/>
          <w:kern w:val="22"/>
          <w:sz w:val="32"/>
          <w:szCs w:val="32"/>
          <w:lang w:val="en-US" w:eastAsia="zh-CN" w:bidi="ar"/>
        </w:rPr>
        <w:t>2020</w:t>
      </w:r>
      <w:r>
        <w:rPr>
          <w:rFonts w:hint="eastAsia"/>
          <w:sz w:val="28"/>
          <w:szCs w:val="28"/>
          <w:lang w:val="en-US" w:eastAsia="zh-CN"/>
        </w:rPr>
        <w:t>年，</w:t>
      </w:r>
      <w:r>
        <w:rPr>
          <w:rFonts w:hint="eastAsia" w:ascii="仿宋_GB2312" w:hAnsi="仿宋_GB2312" w:eastAsia="仿宋_GB2312" w:cs="仿宋_GB2312"/>
          <w:sz w:val="32"/>
          <w:szCs w:val="32"/>
          <w:lang w:val="en-US" w:eastAsia="zh-CN"/>
        </w:rPr>
        <w:t>高城镇将加强以下工作，全力推进全县政府信息公开工作深入开展。</w:t>
      </w:r>
    </w:p>
    <w:p>
      <w:pPr>
        <w:ind w:firstLine="640" w:firstLineChars="200"/>
        <w:rPr>
          <w:rFonts w:hint="eastAsia" w:asciiTheme="minorEastAsia" w:hAnsiTheme="minorEastAsia" w:eastAsiaTheme="minorEastAsia" w:cstheme="minorEastAsia"/>
          <w:kern w:val="22"/>
          <w:sz w:val="28"/>
          <w:szCs w:val="28"/>
          <w:lang w:eastAsia="zh-CN"/>
        </w:rPr>
      </w:pPr>
      <w:r>
        <w:rPr>
          <w:rFonts w:hint="eastAsia" w:ascii="楷体_GB2312" w:hAnsi="楷体_GB2312" w:eastAsia="楷体_GB2312" w:cs="楷体_GB2312"/>
          <w:sz w:val="32"/>
          <w:szCs w:val="32"/>
          <w:lang w:val="en-US" w:eastAsia="zh-CN"/>
        </w:rPr>
        <w:t>一是健全体制机制</w:t>
      </w:r>
      <w:r>
        <w:rPr>
          <w:rFonts w:hint="eastAsia" w:ascii="楷体_GB2312" w:hAnsi="楷体_GB2312" w:eastAsia="楷体_GB2312" w:cs="楷体_GB2312"/>
          <w:sz w:val="28"/>
          <w:szCs w:val="28"/>
          <w:lang w:val="en-US" w:eastAsia="zh-CN"/>
        </w:rPr>
        <w:t>。</w:t>
      </w:r>
      <w:r>
        <w:rPr>
          <w:rFonts w:hint="eastAsia" w:ascii="仿宋_GB2312" w:hAnsi="仿宋_GB2312" w:eastAsia="仿宋_GB2312" w:cs="仿宋_GB2312"/>
          <w:sz w:val="32"/>
          <w:szCs w:val="32"/>
          <w:lang w:val="en-US" w:eastAsia="zh-CN"/>
        </w:rPr>
        <w:t>根据政务公开新任务新要求新职责，加强政务公开机构建设，加强以</w:t>
      </w:r>
      <w:r>
        <w:rPr>
          <w:rFonts w:hint="eastAsia" w:ascii="仿宋_GB2312" w:hAnsi="仿宋_GB2312" w:eastAsia="仿宋_GB2312" w:cs="仿宋_GB2312"/>
          <w:kern w:val="22"/>
          <w:sz w:val="32"/>
          <w:szCs w:val="32"/>
        </w:rPr>
        <w:t>党政办作为政务公开工作主管科室，具体负责组织协调、指导推进、监督检查全镇政务公开工作</w:t>
      </w:r>
      <w:r>
        <w:rPr>
          <w:rFonts w:hint="eastAsia" w:ascii="仿宋_GB2312" w:hAnsi="仿宋_GB2312" w:eastAsia="仿宋_GB2312" w:cs="仿宋_GB2312"/>
          <w:kern w:val="22"/>
          <w:sz w:val="32"/>
          <w:szCs w:val="32"/>
          <w:lang w:eastAsia="zh-CN"/>
        </w:rPr>
        <w:t>。</w:t>
      </w:r>
    </w:p>
    <w:p>
      <w:pPr>
        <w:ind w:firstLine="640" w:firstLineChars="200"/>
        <w:rPr>
          <w:rFonts w:hint="eastAsia" w:ascii="仿宋_GB2312" w:hAnsi="仿宋_GB2312" w:eastAsia="仿宋_GB2312" w:cs="仿宋_GB2312"/>
          <w:kern w:val="22"/>
          <w:sz w:val="32"/>
          <w:szCs w:val="32"/>
          <w:lang w:eastAsia="zh-CN"/>
        </w:rPr>
      </w:pPr>
      <w:r>
        <w:rPr>
          <w:rFonts w:hint="eastAsia" w:ascii="楷体_GB2312" w:hAnsi="楷体_GB2312" w:eastAsia="楷体_GB2312" w:cs="楷体_GB2312"/>
          <w:sz w:val="32"/>
          <w:szCs w:val="32"/>
          <w:lang w:val="en-US" w:eastAsia="zh-CN"/>
        </w:rPr>
        <w:t>二是加大政策解读力度。</w:t>
      </w:r>
      <w:r>
        <w:rPr>
          <w:rFonts w:hint="eastAsia" w:ascii="仿宋_GB2312" w:hAnsi="仿宋_GB2312" w:eastAsia="仿宋_GB2312" w:cs="仿宋_GB2312"/>
          <w:kern w:val="22"/>
          <w:sz w:val="32"/>
          <w:szCs w:val="32"/>
          <w:lang w:eastAsia="zh-CN"/>
        </w:rPr>
        <w:t>落实国家、省、市、县关于做好政策解读回应的相关规定按照“谁起草、谁解读”的原则，实现政策性文件与解读方案、解读材料同步组织、同步审签、同步部署。同时，多运用数字化、图标图解等方式，增强政策解读的易读性。</w:t>
      </w:r>
    </w:p>
    <w:p>
      <w:pPr>
        <w:spacing w:line="560" w:lineRule="exact"/>
        <w:ind w:firstLine="640" w:firstLineChars="200"/>
        <w:jc w:val="left"/>
        <w:outlineLvl w:val="0"/>
        <w:rPr>
          <w:rFonts w:ascii="仿宋_GB2312" w:hAnsi="仿宋" w:eastAsia="仿宋_GB2312" w:cs="仿宋"/>
          <w:color w:val="000000" w:themeColor="text1"/>
          <w:sz w:val="32"/>
          <w:szCs w:val="32"/>
          <w14:textFill>
            <w14:solidFill>
              <w14:schemeClr w14:val="tx1"/>
            </w14:solidFill>
          </w14:textFill>
        </w:rPr>
      </w:pPr>
      <w:r>
        <w:rPr>
          <w:rFonts w:hint="eastAsia" w:ascii="楷体_GB2312" w:hAnsi="楷体_GB2312" w:eastAsia="楷体_GB2312" w:cs="楷体_GB2312"/>
          <w:kern w:val="22"/>
          <w:sz w:val="32"/>
          <w:szCs w:val="32"/>
          <w:lang w:val="en-US" w:eastAsia="zh-CN"/>
        </w:rPr>
        <w:t>三是加强政务公开平台建设。</w:t>
      </w:r>
      <w:r>
        <w:rPr>
          <w:rFonts w:hint="default" w:ascii="仿宋_GB2312" w:hAnsi="仿宋_GB2312" w:eastAsia="仿宋_GB2312" w:cs="仿宋_GB2312"/>
          <w:kern w:val="22"/>
          <w:sz w:val="32"/>
          <w:szCs w:val="32"/>
          <w:lang w:val="en-US" w:eastAsia="zh-CN"/>
        </w:rPr>
        <w:t>用好管好政务新媒体，健全内容发布审核机制，强化互动和服务功能，保证发布信息内容合法、完整、准确、及时。</w:t>
      </w:r>
    </w:p>
    <w:p>
      <w:pPr>
        <w:spacing w:line="560" w:lineRule="exact"/>
        <w:ind w:firstLine="640" w:firstLineChars="200"/>
        <w:jc w:val="left"/>
        <w:outlineLvl w:val="0"/>
        <w:rPr>
          <w:rFonts w:ascii="黑体" w:hAnsi="黑体" w:eastAsia="黑体"/>
          <w:sz w:val="32"/>
          <w:szCs w:val="32"/>
        </w:rPr>
      </w:pPr>
      <w:r>
        <w:rPr>
          <w:rFonts w:hint="eastAsia" w:ascii="黑体" w:hAnsi="黑体" w:eastAsia="黑体"/>
          <w:sz w:val="32"/>
          <w:szCs w:val="32"/>
        </w:rPr>
        <w:t>六、其他需要报告的事项</w:t>
      </w:r>
    </w:p>
    <w:p>
      <w:pPr>
        <w:ind w:firstLine="56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本报告所列数据可能因四舍五入原因与数据直接相加之和存在尾数差异。</w:t>
      </w:r>
    </w:p>
    <w:p>
      <w:pPr>
        <w:pStyle w:val="8"/>
        <w:widowControl/>
        <w:spacing w:after="0" w:line="560"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p>
    <w:p>
      <w:pPr>
        <w:pStyle w:val="8"/>
        <w:widowControl/>
        <w:spacing w:after="0" w:line="560" w:lineRule="exact"/>
        <w:ind w:firstLine="640" w:firstLineChars="200"/>
        <w:jc w:val="right"/>
        <w:rPr>
          <w:rFonts w:hint="default"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lang w:val="en-US" w:eastAsia="zh-CN"/>
          <w14:textFill>
            <w14:solidFill>
              <w14:schemeClr w14:val="tx1"/>
            </w14:solidFill>
          </w14:textFill>
        </w:rPr>
        <w:t xml:space="preserve">                     高城镇人民政府</w:t>
      </w:r>
    </w:p>
    <w:p>
      <w:pPr>
        <w:pStyle w:val="8"/>
        <w:widowControl/>
        <w:spacing w:after="0" w:line="560" w:lineRule="exact"/>
        <w:ind w:firstLine="640" w:firstLineChars="200"/>
        <w:jc w:val="right"/>
        <w:rPr>
          <w:rFonts w:hint="default" w:ascii="Times New Roman" w:hAnsi="Times New Roman" w:eastAsia="仿宋_GB2312"/>
          <w:kern w:val="22"/>
          <w:sz w:val="32"/>
          <w:szCs w:val="32"/>
          <w:lang w:val="en-US" w:eastAsia="zh-CN"/>
        </w:rPr>
      </w:pPr>
      <w:r>
        <w:rPr>
          <w:rFonts w:hint="eastAsia" w:ascii="Times New Roman" w:hAnsi="Times New Roman" w:eastAsia="仿宋_GB2312"/>
          <w:kern w:val="22"/>
          <w:sz w:val="32"/>
          <w:szCs w:val="32"/>
          <w:lang w:val="en-US" w:eastAsia="zh-CN"/>
        </w:rPr>
        <w:t>2020年1月22日</w:t>
      </w:r>
    </w:p>
    <w:p>
      <w:pPr>
        <w:pStyle w:val="8"/>
        <w:widowControl/>
        <w:spacing w:after="0" w:line="560"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070707"/>
      <w:docPartObj>
        <w:docPartGallery w:val="autotext"/>
      </w:docPartObj>
    </w:sdtPr>
    <w:sdtContent>
      <w:p>
        <w:pPr>
          <w:pStyle w:val="5"/>
          <w:jc w:val="center"/>
        </w:pPr>
        <w:r>
          <w:fldChar w:fldCharType="begin"/>
        </w:r>
        <w:r>
          <w:instrText xml:space="preserve">PAGE   \* MERGEFORMAT</w:instrText>
        </w:r>
        <w:r>
          <w:fldChar w:fldCharType="separate"/>
        </w:r>
        <w:r>
          <w:rPr>
            <w:lang w:val="zh-CN"/>
          </w:rPr>
          <w:t>6</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557"/>
    <w:rsid w:val="00004CF5"/>
    <w:rsid w:val="0000725E"/>
    <w:rsid w:val="00010331"/>
    <w:rsid w:val="00024E42"/>
    <w:rsid w:val="000345B4"/>
    <w:rsid w:val="00035216"/>
    <w:rsid w:val="00051D91"/>
    <w:rsid w:val="00061B07"/>
    <w:rsid w:val="0006501F"/>
    <w:rsid w:val="00065C69"/>
    <w:rsid w:val="000672CE"/>
    <w:rsid w:val="00093F81"/>
    <w:rsid w:val="00094B75"/>
    <w:rsid w:val="000A057B"/>
    <w:rsid w:val="000B000A"/>
    <w:rsid w:val="000C43E2"/>
    <w:rsid w:val="000D1696"/>
    <w:rsid w:val="000D2527"/>
    <w:rsid w:val="000D3D1E"/>
    <w:rsid w:val="000D502C"/>
    <w:rsid w:val="000E3958"/>
    <w:rsid w:val="000F383D"/>
    <w:rsid w:val="000F7B6C"/>
    <w:rsid w:val="00104B97"/>
    <w:rsid w:val="00115736"/>
    <w:rsid w:val="001205A9"/>
    <w:rsid w:val="001215E4"/>
    <w:rsid w:val="001328B3"/>
    <w:rsid w:val="00136EBD"/>
    <w:rsid w:val="0015335B"/>
    <w:rsid w:val="001551B9"/>
    <w:rsid w:val="00156800"/>
    <w:rsid w:val="00156AFE"/>
    <w:rsid w:val="0015752F"/>
    <w:rsid w:val="00164C2C"/>
    <w:rsid w:val="00165287"/>
    <w:rsid w:val="00177AFC"/>
    <w:rsid w:val="00187E46"/>
    <w:rsid w:val="0019292B"/>
    <w:rsid w:val="00192EAC"/>
    <w:rsid w:val="00195276"/>
    <w:rsid w:val="00195C7C"/>
    <w:rsid w:val="001A052A"/>
    <w:rsid w:val="001A4452"/>
    <w:rsid w:val="001B463C"/>
    <w:rsid w:val="001C2DCD"/>
    <w:rsid w:val="001C6CB8"/>
    <w:rsid w:val="001D01BA"/>
    <w:rsid w:val="001E256B"/>
    <w:rsid w:val="001E3D4C"/>
    <w:rsid w:val="001E7B38"/>
    <w:rsid w:val="001F1D4F"/>
    <w:rsid w:val="001F3CA4"/>
    <w:rsid w:val="001F3D15"/>
    <w:rsid w:val="001F53D4"/>
    <w:rsid w:val="00203EC3"/>
    <w:rsid w:val="00213531"/>
    <w:rsid w:val="00213CFE"/>
    <w:rsid w:val="00216B90"/>
    <w:rsid w:val="00221CC4"/>
    <w:rsid w:val="00227902"/>
    <w:rsid w:val="00234602"/>
    <w:rsid w:val="00244E3E"/>
    <w:rsid w:val="00263708"/>
    <w:rsid w:val="00263B33"/>
    <w:rsid w:val="002834ED"/>
    <w:rsid w:val="00286C8A"/>
    <w:rsid w:val="002A647C"/>
    <w:rsid w:val="002B625C"/>
    <w:rsid w:val="002C58DB"/>
    <w:rsid w:val="002D6EBB"/>
    <w:rsid w:val="002D74A7"/>
    <w:rsid w:val="002D7DB8"/>
    <w:rsid w:val="002E5D54"/>
    <w:rsid w:val="0030230A"/>
    <w:rsid w:val="0031159C"/>
    <w:rsid w:val="00326584"/>
    <w:rsid w:val="0033231B"/>
    <w:rsid w:val="003441BE"/>
    <w:rsid w:val="00346C4D"/>
    <w:rsid w:val="00361762"/>
    <w:rsid w:val="00363DDF"/>
    <w:rsid w:val="00370E69"/>
    <w:rsid w:val="00375878"/>
    <w:rsid w:val="00380933"/>
    <w:rsid w:val="0039205B"/>
    <w:rsid w:val="003938A3"/>
    <w:rsid w:val="003A230F"/>
    <w:rsid w:val="003A3153"/>
    <w:rsid w:val="003A473F"/>
    <w:rsid w:val="003A57D1"/>
    <w:rsid w:val="003B4B73"/>
    <w:rsid w:val="003C27DE"/>
    <w:rsid w:val="003C3846"/>
    <w:rsid w:val="003E2D20"/>
    <w:rsid w:val="003F52B2"/>
    <w:rsid w:val="003F6FE9"/>
    <w:rsid w:val="00406346"/>
    <w:rsid w:val="004076B3"/>
    <w:rsid w:val="004109E8"/>
    <w:rsid w:val="00410A4A"/>
    <w:rsid w:val="0041443C"/>
    <w:rsid w:val="004155DE"/>
    <w:rsid w:val="00436EA0"/>
    <w:rsid w:val="004373DC"/>
    <w:rsid w:val="004449B9"/>
    <w:rsid w:val="004479E3"/>
    <w:rsid w:val="00450790"/>
    <w:rsid w:val="004518C4"/>
    <w:rsid w:val="0045219A"/>
    <w:rsid w:val="0045733C"/>
    <w:rsid w:val="00462BD1"/>
    <w:rsid w:val="00464149"/>
    <w:rsid w:val="00470E57"/>
    <w:rsid w:val="00473B69"/>
    <w:rsid w:val="0048058E"/>
    <w:rsid w:val="0048124A"/>
    <w:rsid w:val="00481D4A"/>
    <w:rsid w:val="004A2D10"/>
    <w:rsid w:val="004C0559"/>
    <w:rsid w:val="004D3C26"/>
    <w:rsid w:val="004D460A"/>
    <w:rsid w:val="004D50F5"/>
    <w:rsid w:val="004E0762"/>
    <w:rsid w:val="004E1E7F"/>
    <w:rsid w:val="004E30D9"/>
    <w:rsid w:val="004F0C56"/>
    <w:rsid w:val="004F62DB"/>
    <w:rsid w:val="00505A1E"/>
    <w:rsid w:val="005064BA"/>
    <w:rsid w:val="00513D53"/>
    <w:rsid w:val="00514EF2"/>
    <w:rsid w:val="0051560E"/>
    <w:rsid w:val="005171BD"/>
    <w:rsid w:val="00530324"/>
    <w:rsid w:val="005354E1"/>
    <w:rsid w:val="005405CC"/>
    <w:rsid w:val="005419F2"/>
    <w:rsid w:val="00546499"/>
    <w:rsid w:val="0054791A"/>
    <w:rsid w:val="00555BD0"/>
    <w:rsid w:val="0058712D"/>
    <w:rsid w:val="00592243"/>
    <w:rsid w:val="005930D6"/>
    <w:rsid w:val="005B51C5"/>
    <w:rsid w:val="005B76E3"/>
    <w:rsid w:val="005C1AEC"/>
    <w:rsid w:val="005C79C4"/>
    <w:rsid w:val="005F2577"/>
    <w:rsid w:val="005F3E26"/>
    <w:rsid w:val="00605185"/>
    <w:rsid w:val="0062262B"/>
    <w:rsid w:val="00622752"/>
    <w:rsid w:val="006373B2"/>
    <w:rsid w:val="00637DD1"/>
    <w:rsid w:val="00637F0D"/>
    <w:rsid w:val="006457E7"/>
    <w:rsid w:val="00650011"/>
    <w:rsid w:val="00653E08"/>
    <w:rsid w:val="006642C7"/>
    <w:rsid w:val="0066520B"/>
    <w:rsid w:val="00673AB3"/>
    <w:rsid w:val="006854F7"/>
    <w:rsid w:val="006933BA"/>
    <w:rsid w:val="006B416F"/>
    <w:rsid w:val="006B7628"/>
    <w:rsid w:val="006C3A06"/>
    <w:rsid w:val="006D763F"/>
    <w:rsid w:val="006E0DFF"/>
    <w:rsid w:val="006F1821"/>
    <w:rsid w:val="006F1CA4"/>
    <w:rsid w:val="006F1D2B"/>
    <w:rsid w:val="006F770B"/>
    <w:rsid w:val="00712FC4"/>
    <w:rsid w:val="0071441F"/>
    <w:rsid w:val="00732FAD"/>
    <w:rsid w:val="0073505F"/>
    <w:rsid w:val="007522A8"/>
    <w:rsid w:val="0075482D"/>
    <w:rsid w:val="00760D74"/>
    <w:rsid w:val="00761DD7"/>
    <w:rsid w:val="00762FB6"/>
    <w:rsid w:val="00766CAF"/>
    <w:rsid w:val="00773F1C"/>
    <w:rsid w:val="00776A6F"/>
    <w:rsid w:val="007A2408"/>
    <w:rsid w:val="007C3766"/>
    <w:rsid w:val="007D53E3"/>
    <w:rsid w:val="007D5E52"/>
    <w:rsid w:val="007E10E9"/>
    <w:rsid w:val="007F701A"/>
    <w:rsid w:val="008031F8"/>
    <w:rsid w:val="00806C7A"/>
    <w:rsid w:val="008074D5"/>
    <w:rsid w:val="00807FE9"/>
    <w:rsid w:val="008224B6"/>
    <w:rsid w:val="008226FB"/>
    <w:rsid w:val="00826BE4"/>
    <w:rsid w:val="00831B01"/>
    <w:rsid w:val="00841764"/>
    <w:rsid w:val="00843B00"/>
    <w:rsid w:val="00845A36"/>
    <w:rsid w:val="00850679"/>
    <w:rsid w:val="008560C3"/>
    <w:rsid w:val="00890E5B"/>
    <w:rsid w:val="008A1F1B"/>
    <w:rsid w:val="008A69B9"/>
    <w:rsid w:val="008A7057"/>
    <w:rsid w:val="008B1273"/>
    <w:rsid w:val="008C3881"/>
    <w:rsid w:val="008C7119"/>
    <w:rsid w:val="008D04B4"/>
    <w:rsid w:val="008D26C7"/>
    <w:rsid w:val="008D492B"/>
    <w:rsid w:val="008D51E4"/>
    <w:rsid w:val="008D6E8E"/>
    <w:rsid w:val="008E74CC"/>
    <w:rsid w:val="008E7927"/>
    <w:rsid w:val="008F15A5"/>
    <w:rsid w:val="008F7A5A"/>
    <w:rsid w:val="00904CA4"/>
    <w:rsid w:val="009102B2"/>
    <w:rsid w:val="0091387B"/>
    <w:rsid w:val="009160F6"/>
    <w:rsid w:val="009231FA"/>
    <w:rsid w:val="009413F6"/>
    <w:rsid w:val="009573F0"/>
    <w:rsid w:val="00961F0F"/>
    <w:rsid w:val="00973EB1"/>
    <w:rsid w:val="00976755"/>
    <w:rsid w:val="00981209"/>
    <w:rsid w:val="00996BFB"/>
    <w:rsid w:val="00997735"/>
    <w:rsid w:val="009A72A5"/>
    <w:rsid w:val="009B314C"/>
    <w:rsid w:val="009B6A99"/>
    <w:rsid w:val="009C1854"/>
    <w:rsid w:val="009C7FFB"/>
    <w:rsid w:val="009D23D6"/>
    <w:rsid w:val="009D399F"/>
    <w:rsid w:val="009D4EF4"/>
    <w:rsid w:val="009E6762"/>
    <w:rsid w:val="009F78F1"/>
    <w:rsid w:val="009F7AC8"/>
    <w:rsid w:val="00A00FA5"/>
    <w:rsid w:val="00A17F65"/>
    <w:rsid w:val="00A254D8"/>
    <w:rsid w:val="00A313A7"/>
    <w:rsid w:val="00A43397"/>
    <w:rsid w:val="00A4468D"/>
    <w:rsid w:val="00A77CA1"/>
    <w:rsid w:val="00A81B6C"/>
    <w:rsid w:val="00A9180A"/>
    <w:rsid w:val="00AA1919"/>
    <w:rsid w:val="00AA2CFC"/>
    <w:rsid w:val="00AB176E"/>
    <w:rsid w:val="00AB4557"/>
    <w:rsid w:val="00AE0624"/>
    <w:rsid w:val="00AE06D9"/>
    <w:rsid w:val="00AE4342"/>
    <w:rsid w:val="00AF0A0B"/>
    <w:rsid w:val="00AF6913"/>
    <w:rsid w:val="00B03267"/>
    <w:rsid w:val="00B11FB3"/>
    <w:rsid w:val="00B20805"/>
    <w:rsid w:val="00B23B66"/>
    <w:rsid w:val="00B25577"/>
    <w:rsid w:val="00B400F3"/>
    <w:rsid w:val="00B4577F"/>
    <w:rsid w:val="00B52341"/>
    <w:rsid w:val="00B53A4F"/>
    <w:rsid w:val="00B65017"/>
    <w:rsid w:val="00B731B9"/>
    <w:rsid w:val="00B76FE3"/>
    <w:rsid w:val="00BA1897"/>
    <w:rsid w:val="00BA3E56"/>
    <w:rsid w:val="00BB08FE"/>
    <w:rsid w:val="00BD2243"/>
    <w:rsid w:val="00BD7155"/>
    <w:rsid w:val="00BE00D7"/>
    <w:rsid w:val="00BE0203"/>
    <w:rsid w:val="00BE509B"/>
    <w:rsid w:val="00BE618C"/>
    <w:rsid w:val="00BE6B75"/>
    <w:rsid w:val="00C00A2D"/>
    <w:rsid w:val="00C02A79"/>
    <w:rsid w:val="00C048E7"/>
    <w:rsid w:val="00C0791E"/>
    <w:rsid w:val="00C2096B"/>
    <w:rsid w:val="00C24168"/>
    <w:rsid w:val="00C27137"/>
    <w:rsid w:val="00C32825"/>
    <w:rsid w:val="00C34FCB"/>
    <w:rsid w:val="00C35E2F"/>
    <w:rsid w:val="00C45260"/>
    <w:rsid w:val="00C6017A"/>
    <w:rsid w:val="00C727B3"/>
    <w:rsid w:val="00C76D2E"/>
    <w:rsid w:val="00C81116"/>
    <w:rsid w:val="00C91587"/>
    <w:rsid w:val="00C95677"/>
    <w:rsid w:val="00CA1054"/>
    <w:rsid w:val="00CA1A71"/>
    <w:rsid w:val="00CA1FCF"/>
    <w:rsid w:val="00CA3057"/>
    <w:rsid w:val="00CB1438"/>
    <w:rsid w:val="00CB2E2A"/>
    <w:rsid w:val="00CB7F25"/>
    <w:rsid w:val="00CC518B"/>
    <w:rsid w:val="00CE03CA"/>
    <w:rsid w:val="00CE2166"/>
    <w:rsid w:val="00D017A8"/>
    <w:rsid w:val="00D22310"/>
    <w:rsid w:val="00D23448"/>
    <w:rsid w:val="00D24292"/>
    <w:rsid w:val="00D33970"/>
    <w:rsid w:val="00D40D23"/>
    <w:rsid w:val="00D45D0C"/>
    <w:rsid w:val="00D54B8B"/>
    <w:rsid w:val="00D62C9A"/>
    <w:rsid w:val="00D6313B"/>
    <w:rsid w:val="00D63AE0"/>
    <w:rsid w:val="00D744EE"/>
    <w:rsid w:val="00D75309"/>
    <w:rsid w:val="00D75948"/>
    <w:rsid w:val="00D77BF0"/>
    <w:rsid w:val="00DA48B9"/>
    <w:rsid w:val="00DB58B6"/>
    <w:rsid w:val="00DC10F2"/>
    <w:rsid w:val="00DC7B85"/>
    <w:rsid w:val="00DD059C"/>
    <w:rsid w:val="00DD3FEE"/>
    <w:rsid w:val="00DD499D"/>
    <w:rsid w:val="00DE1483"/>
    <w:rsid w:val="00DE5064"/>
    <w:rsid w:val="00DE7F16"/>
    <w:rsid w:val="00DF2952"/>
    <w:rsid w:val="00DF3350"/>
    <w:rsid w:val="00E00C8D"/>
    <w:rsid w:val="00E06EF1"/>
    <w:rsid w:val="00E12972"/>
    <w:rsid w:val="00E151D4"/>
    <w:rsid w:val="00E21966"/>
    <w:rsid w:val="00E322B9"/>
    <w:rsid w:val="00E43625"/>
    <w:rsid w:val="00E5216B"/>
    <w:rsid w:val="00E653F7"/>
    <w:rsid w:val="00E66665"/>
    <w:rsid w:val="00E66F54"/>
    <w:rsid w:val="00EA387C"/>
    <w:rsid w:val="00EB5170"/>
    <w:rsid w:val="00EC0864"/>
    <w:rsid w:val="00ED48D7"/>
    <w:rsid w:val="00ED6409"/>
    <w:rsid w:val="00EE2917"/>
    <w:rsid w:val="00EE6BCA"/>
    <w:rsid w:val="00EE7323"/>
    <w:rsid w:val="00EE7AD5"/>
    <w:rsid w:val="00F151FB"/>
    <w:rsid w:val="00F2143F"/>
    <w:rsid w:val="00F26C6E"/>
    <w:rsid w:val="00F40E98"/>
    <w:rsid w:val="00F43D52"/>
    <w:rsid w:val="00F462FC"/>
    <w:rsid w:val="00F537A3"/>
    <w:rsid w:val="00F65EEC"/>
    <w:rsid w:val="00F75B1D"/>
    <w:rsid w:val="00F84453"/>
    <w:rsid w:val="00F939D0"/>
    <w:rsid w:val="00FA50B3"/>
    <w:rsid w:val="00FB073B"/>
    <w:rsid w:val="00FB5EF6"/>
    <w:rsid w:val="00FC101F"/>
    <w:rsid w:val="00FC2F58"/>
    <w:rsid w:val="00FC4EF6"/>
    <w:rsid w:val="00FC53FA"/>
    <w:rsid w:val="00FD2FA1"/>
    <w:rsid w:val="00FD4423"/>
    <w:rsid w:val="00FD4664"/>
    <w:rsid w:val="00FD78B7"/>
    <w:rsid w:val="00FE0A2A"/>
    <w:rsid w:val="00FE0F1E"/>
    <w:rsid w:val="00FE729E"/>
    <w:rsid w:val="00FF041C"/>
    <w:rsid w:val="26DB761A"/>
    <w:rsid w:val="35345BCF"/>
    <w:rsid w:val="3EB653E9"/>
    <w:rsid w:val="52F26F02"/>
    <w:rsid w:val="564B0FD9"/>
    <w:rsid w:val="579B7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4"/>
    <w:qFormat/>
    <w:uiPriority w:val="99"/>
    <w:pPr>
      <w:keepNext/>
      <w:keepLines/>
      <w:spacing w:before="260" w:after="260" w:line="416" w:lineRule="auto"/>
      <w:outlineLvl w:val="2"/>
    </w:pPr>
    <w:rPr>
      <w:rFonts w:ascii="??" w:hAnsi="??" w:cs="??"/>
      <w:b/>
      <w:bCs/>
      <w:sz w:val="32"/>
      <w:szCs w:val="32"/>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rPr>
      <w:rFonts w:ascii="Times New Roman" w:hAnsi="Times New Roman" w:eastAsia="仿宋_GB2312" w:cs="仿宋_GB2312"/>
      <w:bCs/>
      <w:sz w:val="32"/>
      <w:szCs w:val="32"/>
    </w:rPr>
  </w:style>
  <w:style w:type="paragraph" w:styleId="4">
    <w:name w:val="Balloon Text"/>
    <w:basedOn w:val="1"/>
    <w:link w:val="16"/>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footnote text"/>
    <w:basedOn w:val="1"/>
    <w:link w:val="17"/>
    <w:qFormat/>
    <w:uiPriority w:val="99"/>
    <w:pPr>
      <w:snapToGrid w:val="0"/>
      <w:jc w:val="left"/>
    </w:pPr>
    <w:rPr>
      <w:sz w:val="18"/>
      <w:szCs w:val="18"/>
    </w:rPr>
  </w:style>
  <w:style w:type="paragraph" w:styleId="8">
    <w:name w:val="Normal (Web)"/>
    <w:basedOn w:val="1"/>
    <w:qFormat/>
    <w:uiPriority w:val="0"/>
    <w:pPr>
      <w:spacing w:after="150"/>
      <w:jc w:val="left"/>
    </w:pPr>
    <w:rPr>
      <w:kern w:val="0"/>
      <w:sz w:val="24"/>
    </w:rPr>
  </w:style>
  <w:style w:type="table" w:styleId="10">
    <w:name w:val="Table Grid"/>
    <w:basedOn w:val="9"/>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6"/>
    <w:qFormat/>
    <w:uiPriority w:val="99"/>
    <w:rPr>
      <w:sz w:val="18"/>
      <w:szCs w:val="18"/>
    </w:rPr>
  </w:style>
  <w:style w:type="character" w:customStyle="1" w:styleId="13">
    <w:name w:val="页脚 Char"/>
    <w:basedOn w:val="11"/>
    <w:link w:val="5"/>
    <w:qFormat/>
    <w:uiPriority w:val="99"/>
    <w:rPr>
      <w:sz w:val="18"/>
      <w:szCs w:val="18"/>
    </w:rPr>
  </w:style>
  <w:style w:type="character" w:customStyle="1" w:styleId="14">
    <w:name w:val="标题 3 Char"/>
    <w:basedOn w:val="11"/>
    <w:link w:val="2"/>
    <w:qFormat/>
    <w:uiPriority w:val="99"/>
    <w:rPr>
      <w:rFonts w:ascii="??" w:hAnsi="??" w:eastAsia="宋体" w:cs="??"/>
      <w:b/>
      <w:bCs/>
      <w:sz w:val="32"/>
      <w:szCs w:val="32"/>
    </w:rPr>
  </w:style>
  <w:style w:type="paragraph" w:customStyle="1" w:styleId="15">
    <w:name w:val="正文 New"/>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6">
    <w:name w:val="批注框文本 Char"/>
    <w:basedOn w:val="11"/>
    <w:link w:val="4"/>
    <w:semiHidden/>
    <w:qFormat/>
    <w:uiPriority w:val="99"/>
    <w:rPr>
      <w:rFonts w:ascii="Calibri" w:hAnsi="Calibri" w:eastAsia="宋体" w:cs="Times New Roman"/>
      <w:sz w:val="18"/>
      <w:szCs w:val="18"/>
    </w:rPr>
  </w:style>
  <w:style w:type="character" w:customStyle="1" w:styleId="17">
    <w:name w:val="脚注文本 Char"/>
    <w:basedOn w:val="11"/>
    <w:link w:val="7"/>
    <w:qFormat/>
    <w:uiPriority w:val="99"/>
    <w:rPr>
      <w:rFonts w:ascii="Calibri" w:hAnsi="Calibri" w:eastAsia="宋体" w:cs="Times New Roman"/>
      <w:sz w:val="18"/>
      <w:szCs w:val="18"/>
    </w:rPr>
  </w:style>
  <w:style w:type="character" w:customStyle="1" w:styleId="18">
    <w:name w:val="正文文本 Char"/>
    <w:basedOn w:val="11"/>
    <w:link w:val="3"/>
    <w:qFormat/>
    <w:uiPriority w:val="0"/>
    <w:rPr>
      <w:rFonts w:ascii="Times New Roman" w:hAnsi="Times New Roman" w:eastAsia="仿宋_GB2312" w:cs="仿宋_GB2312"/>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EF32CF-64EC-4BCD-9154-98A4D2567C21}">
  <ds:schemaRefs/>
</ds:datastoreItem>
</file>

<file path=docProps/app.xml><?xml version="1.0" encoding="utf-8"?>
<Properties xmlns="http://schemas.openxmlformats.org/officeDocument/2006/extended-properties" xmlns:vt="http://schemas.openxmlformats.org/officeDocument/2006/docPropsVTypes">
  <Template>Normal</Template>
  <Company>gq</Company>
  <Pages>12</Pages>
  <Words>636</Words>
  <Characters>3627</Characters>
  <Lines>30</Lines>
  <Paragraphs>8</Paragraphs>
  <TotalTime>4</TotalTime>
  <ScaleCrop>false</ScaleCrop>
  <LinksUpToDate>false</LinksUpToDate>
  <CharactersWithSpaces>4255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2019-10-14T08:08:00Z</dcterms:created>
  <dc:creator>lb</dc:creator>
  <cp:lastModifiedBy>WANGXIAO</cp:lastModifiedBy>
  <cp:lastPrinted>2020-06-05T08:04:00Z</cp:lastPrinted>
  <dcterms:modified xsi:type="dcterms:W3CDTF">2020-06-27T07:04:35Z</dcterms:modified>
  <cp:revision>327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