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C4C7D">
      <w:pPr>
        <w:keepNext w:val="0"/>
        <w:keepLines w:val="0"/>
        <w:pageBreakBefore w:val="0"/>
        <w:widowControl w:val="0"/>
        <w:kinsoku/>
        <w:wordWrap/>
        <w:overflowPunct/>
        <w:topLinePunct w:val="0"/>
        <w:autoSpaceDE w:val="0"/>
        <w:autoSpaceDN w:val="0"/>
        <w:bidi w:val="0"/>
        <w:adjustRightInd/>
        <w:snapToGrid w:val="0"/>
        <w:spacing w:line="620" w:lineRule="exact"/>
        <w:ind w:firstLine="0"/>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高青县</w:t>
      </w:r>
      <w:r>
        <w:rPr>
          <w:rFonts w:hint="eastAsia" w:ascii="方正小标宋简体" w:hAnsi="黑体" w:eastAsia="方正小标宋简体"/>
          <w:sz w:val="44"/>
          <w:szCs w:val="44"/>
          <w:lang w:eastAsia="zh-CN"/>
        </w:rPr>
        <w:t>高城</w:t>
      </w:r>
      <w:r>
        <w:rPr>
          <w:rFonts w:hint="default" w:ascii="方正小标宋简体" w:hAnsi="黑体" w:eastAsia="方正小标宋简体"/>
          <w:sz w:val="44"/>
          <w:szCs w:val="44"/>
          <w:lang w:eastAsia="zh-CN"/>
        </w:rPr>
        <w:t>镇</w:t>
      </w:r>
      <w:r>
        <w:rPr>
          <w:rFonts w:hint="default" w:ascii="方正小标宋简体" w:hAnsi="黑体" w:eastAsia="方正小标宋简体"/>
          <w:sz w:val="44"/>
          <w:szCs w:val="44"/>
        </w:rPr>
        <w:t>202</w:t>
      </w:r>
      <w:r>
        <w:rPr>
          <w:rFonts w:hint="default" w:ascii="方正小标宋简体" w:hAnsi="黑体" w:eastAsia="方正小标宋简体"/>
          <w:sz w:val="44"/>
          <w:szCs w:val="44"/>
          <w:lang w:val="en-US" w:eastAsia="zh-CN"/>
        </w:rPr>
        <w:t>5</w:t>
      </w:r>
      <w:r>
        <w:rPr>
          <w:rFonts w:hint="default" w:ascii="方正小标宋简体" w:hAnsi="黑体" w:eastAsia="方正小标宋简体"/>
          <w:sz w:val="44"/>
          <w:szCs w:val="44"/>
        </w:rPr>
        <w:t>年</w:t>
      </w:r>
      <w:r>
        <w:rPr>
          <w:rFonts w:hint="eastAsia" w:ascii="方正小标宋简体" w:hAnsi="黑体" w:eastAsia="方正小标宋简体"/>
          <w:sz w:val="44"/>
          <w:szCs w:val="44"/>
        </w:rPr>
        <w:t>政府信息公开工作</w:t>
      </w:r>
    </w:p>
    <w:p w14:paraId="60C8C646">
      <w:pPr>
        <w:keepNext w:val="0"/>
        <w:keepLines w:val="0"/>
        <w:pageBreakBefore w:val="0"/>
        <w:widowControl w:val="0"/>
        <w:kinsoku/>
        <w:wordWrap/>
        <w:overflowPunct/>
        <w:topLinePunct w:val="0"/>
        <w:autoSpaceDE w:val="0"/>
        <w:autoSpaceDN w:val="0"/>
        <w:bidi w:val="0"/>
        <w:adjustRightInd/>
        <w:snapToGrid w:val="0"/>
        <w:spacing w:line="620" w:lineRule="exact"/>
        <w:ind w:firstLine="0"/>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年度报告</w:t>
      </w:r>
    </w:p>
    <w:p w14:paraId="03E7144A">
      <w:pPr>
        <w:keepNext w:val="0"/>
        <w:keepLines w:val="0"/>
        <w:pageBreakBefore w:val="0"/>
        <w:widowControl w:val="0"/>
        <w:kinsoku/>
        <w:wordWrap/>
        <w:overflowPunct/>
        <w:topLinePunct w:val="0"/>
        <w:bidi w:val="0"/>
        <w:adjustRightInd/>
        <w:spacing w:line="580" w:lineRule="exact"/>
        <w:ind w:firstLine="640" w:firstLineChars="200"/>
        <w:textAlignment w:val="auto"/>
        <w:rPr>
          <w:rFonts w:hint="eastAsia" w:ascii="仿宋_GB2312" w:eastAsia="仿宋_GB2312"/>
        </w:rPr>
      </w:pPr>
    </w:p>
    <w:p w14:paraId="3696F585">
      <w:pPr>
        <w:keepNext w:val="0"/>
        <w:keepLines w:val="0"/>
        <w:pageBreakBefore w:val="0"/>
        <w:widowControl w:val="0"/>
        <w:kinsoku/>
        <w:wordWrap/>
        <w:overflowPunct/>
        <w:topLinePunct w:val="0"/>
        <w:bidi w:val="0"/>
        <w:adjustRightInd/>
        <w:spacing w:line="580" w:lineRule="exact"/>
        <w:ind w:firstLine="640" w:firstLineChars="200"/>
        <w:textAlignment w:val="auto"/>
        <w:rPr>
          <w:rFonts w:hint="default" w:ascii="Times New Roman" w:hAnsi="Times New Roman" w:eastAsia="仿宋_GB2312" w:cs="Times New Roman"/>
        </w:rPr>
      </w:pPr>
      <w:r>
        <w:rPr>
          <w:rFonts w:hint="eastAsia" w:ascii="仿宋_GB2312" w:eastAsia="仿宋_GB2312"/>
        </w:rPr>
        <w:t>本报告根据《中华人民共和国政府信息公开条例》（国务院令第</w:t>
      </w:r>
      <w:r>
        <w:rPr>
          <w:rFonts w:hint="default" w:ascii="Times New Roman" w:hAnsi="Times New Roman" w:eastAsia="仿宋_GB2312" w:cs="Times New Roman"/>
        </w:rPr>
        <w:t>711号</w:t>
      </w:r>
      <w:r>
        <w:rPr>
          <w:rFonts w:hint="eastAsia" w:ascii="仿宋_GB2312" w:eastAsia="仿宋_GB2312"/>
        </w:rPr>
        <w:t>，以下简称《条</w:t>
      </w:r>
      <w:r>
        <w:rPr>
          <w:rFonts w:hint="default" w:ascii="Times New Roman" w:hAnsi="Times New Roman" w:eastAsia="仿宋_GB2312" w:cs="Times New Roman"/>
        </w:rPr>
        <w:t>例》）</w:t>
      </w:r>
      <w:r>
        <w:rPr>
          <w:rFonts w:hint="default" w:ascii="Times New Roman" w:hAnsi="Times New Roman" w:eastAsia="仿宋_GB2312" w:cs="Times New Roman"/>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rPr>
        <w:t>。报告全文分总体情况、主动公开政府信息情况、收到和处理政府信息公开申请情况、政府信息公开行政复议和行政诉讼情况、存在的主要问题及改进情况、其他需要报告的事项六个部分。</w:t>
      </w:r>
    </w:p>
    <w:p w14:paraId="73B6A8CE">
      <w:pPr>
        <w:keepNext w:val="0"/>
        <w:keepLines w:val="0"/>
        <w:pageBreakBefore w:val="0"/>
        <w:widowControl w:val="0"/>
        <w:kinsoku/>
        <w:wordWrap/>
        <w:overflowPunct/>
        <w:topLinePunct w:val="0"/>
        <w:bidi w:val="0"/>
        <w:adjustRightInd/>
        <w:spacing w:line="58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报告中所列数据统计期限自202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eastAsia" w:eastAsia="仿宋_GB2312" w:cs="Times New Roman"/>
          <w:lang w:val="en-US" w:eastAsia="zh-CN"/>
        </w:rPr>
        <w:t>5</w:t>
      </w:r>
      <w:r>
        <w:rPr>
          <w:rFonts w:hint="default" w:ascii="Times New Roman" w:hAnsi="Times New Roman" w:eastAsia="仿宋_GB2312" w:cs="Times New Roman"/>
        </w:rPr>
        <w:t>年12月31日止。报告电子版可在高青县人民政府门户网站（www.gaoqing.gov.cn）查阅和下载。如对报告内容有疑问，请与高青县高城镇人民政府党政办公室联系（地址：山东省淄博市高青县高淄路505号；邮编：256301；电话：0533-6315004；传真：0533-6315994；邮箱：gqxgcz@zb.shandong.cn）</w:t>
      </w:r>
    </w:p>
    <w:p w14:paraId="64DE3B17">
      <w:pPr>
        <w:keepNext w:val="0"/>
        <w:keepLines w:val="0"/>
        <w:pageBreakBefore w:val="0"/>
        <w:widowControl w:val="0"/>
        <w:kinsoku/>
        <w:wordWrap/>
        <w:overflowPunct/>
        <w:topLinePunct w:val="0"/>
        <w:bidi w:val="0"/>
        <w:adjustRightInd/>
        <w:spacing w:line="580" w:lineRule="exact"/>
        <w:ind w:firstLine="640" w:firstLineChars="200"/>
        <w:textAlignment w:val="auto"/>
        <w:rPr>
          <w:rFonts w:ascii="黑体" w:hAnsi="黑体" w:eastAsia="黑体"/>
          <w:szCs w:val="32"/>
        </w:rPr>
      </w:pPr>
      <w:r>
        <w:rPr>
          <w:rFonts w:hint="eastAsia" w:ascii="黑体" w:hAnsi="黑体" w:eastAsia="黑体"/>
          <w:szCs w:val="32"/>
        </w:rPr>
        <w:t>一、总体情况</w:t>
      </w:r>
    </w:p>
    <w:p w14:paraId="0ED0B9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Cs w:val="32"/>
        </w:rPr>
      </w:pPr>
      <w:r>
        <w:rPr>
          <w:rFonts w:hint="default" w:ascii="Times New Roman" w:hAnsi="Times New Roman" w:eastAsia="仿宋_GB2312" w:cs="Times New Roman"/>
          <w:sz w:val="32"/>
          <w:szCs w:val="32"/>
        </w:rPr>
        <w:t>2025年，高城镇坚持以习近平新时代中国特色社会主义思想为指导，认真落实上级关于全面推进政务公开工作的部署要求，聚焦社会发展和群众关心的问题，持续优化公开内容、完善公开机制，切实提升政府信息公开实效。</w:t>
      </w:r>
    </w:p>
    <w:p w14:paraId="00D1DD19">
      <w:pPr>
        <w:keepNext w:val="0"/>
        <w:keepLines w:val="0"/>
        <w:pageBreakBefore w:val="0"/>
        <w:widowControl w:val="0"/>
        <w:kinsoku/>
        <w:wordWrap/>
        <w:overflowPunct/>
        <w:topLinePunct w:val="0"/>
        <w:bidi w:val="0"/>
        <w:adjustRightInd/>
        <w:spacing w:line="580" w:lineRule="exact"/>
        <w:jc w:val="left"/>
        <w:textAlignment w:val="auto"/>
        <w:rPr>
          <w:rFonts w:ascii="楷体_GB2312" w:eastAsia="楷体_GB2312"/>
        </w:rPr>
      </w:pPr>
      <w:r>
        <w:rPr>
          <w:rFonts w:hint="eastAsia" w:ascii="楷体_GB2312" w:eastAsia="楷体_GB2312"/>
        </w:rPr>
        <w:t>（一）主动公开</w:t>
      </w:r>
    </w:p>
    <w:p w14:paraId="5348FC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2025年，我镇以制度引领政务公开规范化建设，制定实施《高青县高城镇政务公开标准规范》，将公开内容融入日常工作中，</w:t>
      </w:r>
      <w:r>
        <w:rPr>
          <w:rFonts w:hint="default" w:ascii="Times New Roman" w:hAnsi="Times New Roman" w:eastAsia="仿宋_GB2312" w:cs="Times New Roman"/>
          <w:strike w:val="0"/>
          <w:dstrike w:val="0"/>
          <w:sz w:val="32"/>
          <w:szCs w:val="32"/>
        </w:rPr>
        <w:t>重点对</w:t>
      </w:r>
      <w:r>
        <w:rPr>
          <w:rFonts w:hint="eastAsia" w:eastAsia="仿宋_GB2312" w:cs="Times New Roman"/>
          <w:strike w:val="0"/>
          <w:dstrike w:val="0"/>
          <w:sz w:val="32"/>
          <w:szCs w:val="32"/>
          <w:lang w:eastAsia="zh-CN"/>
        </w:rPr>
        <w:t>社区（村庄）建设</w:t>
      </w:r>
      <w:r>
        <w:rPr>
          <w:rFonts w:hint="default" w:ascii="Times New Roman" w:hAnsi="Times New Roman" w:eastAsia="仿宋_GB2312" w:cs="Times New Roman"/>
          <w:strike w:val="0"/>
          <w:dstrike w:val="0"/>
          <w:sz w:val="32"/>
          <w:szCs w:val="32"/>
        </w:rPr>
        <w:t>信息进行梳理和发布。</w:t>
      </w:r>
      <w:r>
        <w:rPr>
          <w:rFonts w:hint="default" w:ascii="Times New Roman" w:hAnsi="Times New Roman" w:eastAsia="仿宋_GB2312" w:cs="Times New Roman"/>
          <w:sz w:val="32"/>
          <w:szCs w:val="32"/>
        </w:rPr>
        <w:t>全年累计发布政府信息213条，</w:t>
      </w:r>
      <w:r>
        <w:rPr>
          <w:rFonts w:hint="default" w:ascii="Times New Roman" w:hAnsi="Times New Roman" w:eastAsia="仿宋_GB2312" w:cs="Times New Roman"/>
          <w:strike w:val="0"/>
          <w:dstrike w:val="0"/>
          <w:sz w:val="32"/>
          <w:szCs w:val="32"/>
        </w:rPr>
        <w:t>发布</w:t>
      </w:r>
      <w:r>
        <w:rPr>
          <w:rFonts w:hint="eastAsia" w:eastAsia="仿宋_GB2312" w:cs="Times New Roman"/>
          <w:strike w:val="0"/>
          <w:dstrike w:val="0"/>
          <w:sz w:val="32"/>
          <w:szCs w:val="32"/>
          <w:lang w:eastAsia="zh-CN"/>
        </w:rPr>
        <w:t>信息</w:t>
      </w:r>
      <w:r>
        <w:rPr>
          <w:rFonts w:hint="default" w:ascii="Times New Roman" w:hAnsi="Times New Roman" w:eastAsia="仿宋_GB2312" w:cs="Times New Roman"/>
          <w:strike w:val="0"/>
          <w:dstrike w:val="0"/>
          <w:sz w:val="32"/>
          <w:szCs w:val="32"/>
        </w:rPr>
        <w:t>进一步</w:t>
      </w:r>
      <w:r>
        <w:rPr>
          <w:rFonts w:hint="eastAsia" w:eastAsia="仿宋_GB2312" w:cs="Times New Roman"/>
          <w:strike w:val="0"/>
          <w:dstrike w:val="0"/>
          <w:sz w:val="32"/>
          <w:szCs w:val="32"/>
          <w:lang w:eastAsia="zh-CN"/>
        </w:rPr>
        <w:t>合并与</w:t>
      </w:r>
      <w:r>
        <w:rPr>
          <w:rFonts w:hint="default" w:ascii="Times New Roman" w:hAnsi="Times New Roman" w:eastAsia="仿宋_GB2312" w:cs="Times New Roman"/>
          <w:strike w:val="0"/>
          <w:dstrike w:val="0"/>
          <w:sz w:val="32"/>
          <w:szCs w:val="32"/>
        </w:rPr>
        <w:t>优化</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优化幅度</w:t>
      </w:r>
      <w:r>
        <w:rPr>
          <w:rFonts w:hint="default" w:ascii="Times New Roman" w:hAnsi="Times New Roman" w:eastAsia="仿宋_GB2312" w:cs="Times New Roman"/>
          <w:sz w:val="32"/>
          <w:szCs w:val="32"/>
        </w:rPr>
        <w:t>同比提升33.4%。其中通过县政府门户网站发布40条，政务新媒体平台发布131条，镇村公告栏等线下渠道发布42条。在政策解读方面，积极拓展形式，灵活运用线上专题讲解、实际案例说明、图解问答手册等多种方式，通过新媒体平台发布解读材料1</w:t>
      </w:r>
      <w:r>
        <w:rPr>
          <w:rFonts w:hint="eastAsia" w:eastAsia="仿宋_GB2312" w:cs="Times New Roman"/>
          <w:sz w:val="32"/>
          <w:szCs w:val="32"/>
          <w:lang w:eastAsia="zh-CN"/>
        </w:rPr>
        <w:t>篇</w:t>
      </w:r>
      <w:r>
        <w:rPr>
          <w:rFonts w:hint="default" w:ascii="Times New Roman" w:hAnsi="Times New Roman" w:eastAsia="仿宋_GB2312" w:cs="Times New Roman"/>
          <w:sz w:val="32"/>
          <w:szCs w:val="32"/>
        </w:rPr>
        <w:t>，提升政策知晓度与操作性。同时，持续优化公众参与和诉求回应渠道，确保及时回应群众关切。</w:t>
      </w:r>
    </w:p>
    <w:p w14:paraId="78CA8A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584065" cy="2755265"/>
            <wp:effectExtent l="0" t="0" r="6985" b="698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14:paraId="281BFD18">
      <w:pPr>
        <w:keepNext w:val="0"/>
        <w:keepLines w:val="0"/>
        <w:pageBreakBefore w:val="0"/>
        <w:widowControl w:val="0"/>
        <w:kinsoku/>
        <w:wordWrap/>
        <w:overflowPunct/>
        <w:topLinePunct w:val="0"/>
        <w:bidi w:val="0"/>
        <w:adjustRightInd/>
        <w:spacing w:line="580" w:lineRule="exact"/>
        <w:jc w:val="left"/>
        <w:textAlignment w:val="auto"/>
        <w:rPr>
          <w:rFonts w:ascii="楷体_GB2312" w:eastAsia="楷体_GB2312"/>
        </w:rPr>
      </w:pPr>
      <w:r>
        <w:rPr>
          <w:rFonts w:hint="eastAsia" w:ascii="楷体_GB2312" w:eastAsia="楷体_GB2312"/>
        </w:rPr>
        <w:t>（二）依申请公开</w:t>
      </w:r>
    </w:p>
    <w:p w14:paraId="32903C39">
      <w:pPr>
        <w:keepNext w:val="0"/>
        <w:keepLines w:val="0"/>
        <w:pageBreakBefore w:val="0"/>
        <w:widowControl w:val="0"/>
        <w:kinsoku/>
        <w:wordWrap/>
        <w:overflowPunct/>
        <w:topLinePunct w:val="0"/>
        <w:bidi w:val="0"/>
        <w:adjustRightInd/>
        <w:spacing w:line="580" w:lineRule="exact"/>
        <w:jc w:val="lef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优化依申请公开工作，通过细化受理、转办、答复到归档的全流程</w:t>
      </w:r>
      <w:r>
        <w:rPr>
          <w:rFonts w:hint="eastAsia" w:eastAsia="仿宋_GB2312" w:cs="Times New Roman"/>
          <w:sz w:val="32"/>
          <w:szCs w:val="32"/>
          <w:lang w:val="en-US" w:eastAsia="zh-CN"/>
        </w:rPr>
        <w:t>管理</w:t>
      </w:r>
      <w:r>
        <w:rPr>
          <w:rFonts w:hint="default" w:ascii="Times New Roman" w:hAnsi="Times New Roman" w:eastAsia="仿宋_GB2312" w:cs="Times New Roman"/>
          <w:sz w:val="32"/>
          <w:szCs w:val="32"/>
        </w:rPr>
        <w:t>，明确各环节责任与时限，并建立清单分解到岗，确保权责清晰、衔接顺畅，有效提升了办理规范化水平与实效。202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年共收到政府信息公开申请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件，比上年度增加</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件，申请内容主要涉及</w:t>
      </w:r>
      <w:r>
        <w:rPr>
          <w:rFonts w:hint="default" w:ascii="Times New Roman" w:hAnsi="Times New Roman" w:eastAsia="仿宋_GB2312" w:cs="Times New Roman"/>
          <w:sz w:val="32"/>
          <w:szCs w:val="32"/>
          <w:lang w:val="en-US" w:eastAsia="zh-CN"/>
        </w:rPr>
        <w:t>土地</w:t>
      </w:r>
      <w:r>
        <w:rPr>
          <w:rFonts w:hint="default" w:ascii="Times New Roman" w:hAnsi="Times New Roman" w:eastAsia="仿宋_GB2312" w:cs="Times New Roman"/>
          <w:sz w:val="32"/>
          <w:szCs w:val="32"/>
        </w:rPr>
        <w:t>领域。作出政府信息公开申请答复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件，其中部分公开</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件、无法提供</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件。依申请公开政府信息未收取任何费用。未因政府信息公开被申请行政复议、提起行政诉讼。</w:t>
      </w:r>
    </w:p>
    <w:p w14:paraId="243DD73F">
      <w:pPr>
        <w:keepNext w:val="0"/>
        <w:keepLines w:val="0"/>
        <w:pageBreakBefore w:val="0"/>
        <w:widowControl w:val="0"/>
        <w:kinsoku/>
        <w:wordWrap/>
        <w:overflowPunct/>
        <w:topLinePunct w:val="0"/>
        <w:bidi w:val="0"/>
        <w:adjustRightInd/>
        <w:spacing w:line="580" w:lineRule="exact"/>
        <w:jc w:val="left"/>
        <w:textAlignment w:val="auto"/>
        <w:rPr>
          <w:rFonts w:ascii="楷体_GB2312" w:eastAsia="楷体_GB2312"/>
        </w:rPr>
      </w:pPr>
      <w:r>
        <w:rPr>
          <w:rFonts w:hint="eastAsia" w:ascii="楷体_GB2312" w:eastAsia="楷体_GB2312"/>
        </w:rPr>
        <w:t>（三）政府信息管理</w:t>
      </w:r>
    </w:p>
    <w:p w14:paraId="3513D5F6">
      <w:pPr>
        <w:keepNext w:val="0"/>
        <w:keepLines w:val="0"/>
        <w:pageBreakBefore w:val="0"/>
        <w:widowControl w:val="0"/>
        <w:kinsoku/>
        <w:wordWrap/>
        <w:overflowPunct/>
        <w:topLinePunct w:val="0"/>
        <w:bidi w:val="0"/>
        <w:adjustRightInd/>
        <w:spacing w:line="580" w:lineRule="exact"/>
        <w:jc w:val="both"/>
        <w:textAlignment w:val="auto"/>
        <w:rPr>
          <w:rFonts w:ascii="仿宋_GB2312" w:eastAsia="仿宋_GB2312"/>
        </w:rPr>
      </w:pPr>
      <w:r>
        <w:rPr>
          <w:rFonts w:hint="default" w:ascii="Times New Roman" w:hAnsi="Times New Roman" w:eastAsia="仿宋_GB2312" w:cs="Times New Roman"/>
          <w:sz w:val="32"/>
          <w:szCs w:val="32"/>
        </w:rPr>
        <w:t>严格执行信息发布审核机制，实行“科室初审+党政办复核+分管领导审签”三级流程，并建立信息动态更新台账，对</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条到期信息进行清理归档。加强保密风险防控，完善信息公开保密审查制度，组织开展专题培训2次，开展保密自查4次，全年未发生泄密或敏感信息违规公开事件。</w:t>
      </w:r>
    </w:p>
    <w:p w14:paraId="0F086EB5">
      <w:pPr>
        <w:keepNext w:val="0"/>
        <w:keepLines w:val="0"/>
        <w:pageBreakBefore w:val="0"/>
        <w:widowControl w:val="0"/>
        <w:kinsoku/>
        <w:wordWrap/>
        <w:overflowPunct/>
        <w:topLinePunct w:val="0"/>
        <w:bidi w:val="0"/>
        <w:adjustRightInd/>
        <w:spacing w:line="580" w:lineRule="exact"/>
        <w:jc w:val="left"/>
        <w:textAlignment w:val="auto"/>
        <w:rPr>
          <w:rFonts w:ascii="楷体_GB2312" w:eastAsia="楷体_GB2312"/>
        </w:rPr>
      </w:pPr>
      <w:r>
        <w:rPr>
          <w:rFonts w:hint="eastAsia" w:ascii="楷体_GB2312" w:eastAsia="楷体_GB2312"/>
        </w:rPr>
        <w:t>（四）政府信息公开平台建设</w:t>
      </w:r>
    </w:p>
    <w:p w14:paraId="4726F1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rPr>
      </w:pPr>
      <w:r>
        <w:rPr>
          <w:rFonts w:hint="default" w:ascii="Times New Roman" w:hAnsi="Times New Roman" w:eastAsia="仿宋_GB2312" w:cs="Times New Roman"/>
          <w:sz w:val="32"/>
          <w:szCs w:val="32"/>
        </w:rPr>
        <w:t>今年我镇继续推进政府信息公开平台规范化建设，加强政务新媒体账号运营管理，围绕政策解读、工作动态和便民服务等内容，全年累计发布信息200余条。线下依托镇便民服务中心政务公开专区，为群众提供信息查询、办事指南获取等服务，专区设施和功能保持良好运行状态，全年持续接待群众办理相关业务。</w:t>
      </w:r>
    </w:p>
    <w:p w14:paraId="4C4E06A8">
      <w:pPr>
        <w:keepNext w:val="0"/>
        <w:keepLines w:val="0"/>
        <w:pageBreakBefore w:val="0"/>
        <w:widowControl w:val="0"/>
        <w:kinsoku/>
        <w:wordWrap/>
        <w:overflowPunct/>
        <w:topLinePunct w:val="0"/>
        <w:bidi w:val="0"/>
        <w:adjustRightInd/>
        <w:spacing w:line="580" w:lineRule="exact"/>
        <w:jc w:val="left"/>
        <w:textAlignment w:val="auto"/>
        <w:rPr>
          <w:rFonts w:ascii="楷体_GB2312" w:eastAsia="楷体_GB2312"/>
        </w:rPr>
      </w:pPr>
      <w:r>
        <w:rPr>
          <w:rFonts w:hint="eastAsia" w:ascii="楷体_GB2312" w:eastAsia="楷体_GB2312"/>
        </w:rPr>
        <w:t>（五）监督保障</w:t>
      </w:r>
    </w:p>
    <w:p w14:paraId="09A9883C">
      <w:pPr>
        <w:keepNext w:val="0"/>
        <w:keepLines w:val="0"/>
        <w:pageBreakBefore w:val="0"/>
        <w:widowControl w:val="0"/>
        <w:kinsoku/>
        <w:wordWrap/>
        <w:overflowPunct/>
        <w:topLinePunct w:val="0"/>
        <w:bidi w:val="0"/>
        <w:adjustRightInd/>
        <w:spacing w:line="580" w:lineRule="exact"/>
        <w:jc w:val="both"/>
        <w:textAlignment w:val="auto"/>
        <w:rPr>
          <w:rFonts w:ascii="仿宋_GB2312" w:eastAsia="仿宋_GB2312"/>
        </w:rPr>
      </w:pPr>
      <w:r>
        <w:rPr>
          <w:rFonts w:hint="default" w:ascii="Times New Roman" w:hAnsi="Times New Roman" w:eastAsia="仿宋_GB2312" w:cs="Times New Roman"/>
          <w:sz w:val="32"/>
          <w:szCs w:val="32"/>
        </w:rPr>
        <w:t>健全日常检查机制，每季度对各科室信息公开的及时性、准确性和规范性进行抽查，全年开展检查4次，督促整改各类问题60余项。明确由分管领导统筹负责，党政办公室具体协调，配备专职工作人员1名，各科室设立信息联络员，保持工作队伍稳定。围绕实际工作需要，组织政务公开专题培训1次，内容涵盖条例解读、平台操作，全年培训覆盖15人次，有效提升了工作人员的业务能力。</w:t>
      </w:r>
    </w:p>
    <w:p w14:paraId="4C5C105D">
      <w:pPr>
        <w:spacing w:after="156" w:afterLines="50" w:line="240" w:lineRule="auto"/>
        <w:ind w:firstLine="640" w:firstLineChars="200"/>
        <w:rPr>
          <w:rFonts w:ascii="黑体" w:hAnsi="黑体" w:eastAsia="黑体"/>
          <w:szCs w:val="32"/>
        </w:rPr>
      </w:pPr>
    </w:p>
    <w:p w14:paraId="02627ED1">
      <w:pPr>
        <w:spacing w:after="156" w:afterLines="50" w:line="240" w:lineRule="auto"/>
        <w:ind w:firstLine="640" w:firstLineChars="200"/>
        <w:rPr>
          <w:rFonts w:ascii="黑体" w:hAnsi="黑体" w:eastAsia="黑体"/>
          <w:szCs w:val="32"/>
        </w:rPr>
      </w:pPr>
    </w:p>
    <w:p w14:paraId="27E08D14">
      <w:pPr>
        <w:spacing w:after="156" w:afterLines="50" w:line="240" w:lineRule="auto"/>
        <w:ind w:firstLine="640" w:firstLineChars="200"/>
        <w:rPr>
          <w:rFonts w:ascii="黑体" w:hAnsi="黑体" w:eastAsia="黑体"/>
          <w:szCs w:val="32"/>
        </w:rPr>
      </w:pPr>
    </w:p>
    <w:p w14:paraId="0BF1D087">
      <w:pPr>
        <w:spacing w:after="156" w:afterLines="50" w:line="240" w:lineRule="auto"/>
        <w:ind w:firstLine="640" w:firstLineChars="200"/>
        <w:rPr>
          <w:rFonts w:ascii="黑体" w:hAnsi="黑体" w:eastAsia="黑体"/>
          <w:szCs w:val="32"/>
        </w:rPr>
      </w:pPr>
    </w:p>
    <w:p w14:paraId="6DE411C6">
      <w:pPr>
        <w:spacing w:after="156" w:afterLines="50" w:line="240" w:lineRule="auto"/>
        <w:ind w:firstLine="640" w:firstLineChars="200"/>
        <w:rPr>
          <w:rFonts w:ascii="黑体" w:hAnsi="黑体" w:eastAsia="黑体"/>
          <w:szCs w:val="32"/>
        </w:rPr>
      </w:pPr>
    </w:p>
    <w:p w14:paraId="5FA709BF">
      <w:pPr>
        <w:spacing w:after="156" w:afterLines="50" w:line="240" w:lineRule="auto"/>
        <w:ind w:firstLine="640" w:firstLineChars="200"/>
        <w:rPr>
          <w:rFonts w:ascii="黑体" w:hAnsi="黑体" w:eastAsia="黑体"/>
          <w:szCs w:val="32"/>
        </w:rPr>
      </w:pPr>
    </w:p>
    <w:p w14:paraId="3E9DA25D">
      <w:pPr>
        <w:spacing w:after="156" w:afterLines="50" w:line="240" w:lineRule="auto"/>
        <w:ind w:firstLine="640" w:firstLineChars="200"/>
        <w:rPr>
          <w:rFonts w:ascii="黑体" w:hAnsi="黑体" w:eastAsia="黑体"/>
          <w:szCs w:val="32"/>
        </w:rPr>
      </w:pPr>
    </w:p>
    <w:p w14:paraId="16E6FF81">
      <w:pPr>
        <w:spacing w:after="156" w:afterLines="50" w:line="240" w:lineRule="auto"/>
        <w:ind w:firstLine="640" w:firstLineChars="200"/>
        <w:rPr>
          <w:rFonts w:ascii="黑体" w:hAnsi="黑体" w:eastAsia="黑体"/>
          <w:szCs w:val="32"/>
        </w:rPr>
      </w:pPr>
    </w:p>
    <w:p w14:paraId="7C2E16E1">
      <w:pPr>
        <w:spacing w:after="156" w:afterLines="50" w:line="240" w:lineRule="auto"/>
        <w:ind w:firstLine="640" w:firstLineChars="200"/>
        <w:rPr>
          <w:rFonts w:ascii="黑体" w:hAnsi="黑体" w:eastAsia="黑体"/>
          <w:szCs w:val="32"/>
        </w:rPr>
      </w:pPr>
    </w:p>
    <w:p w14:paraId="024BB498">
      <w:pPr>
        <w:spacing w:after="156" w:afterLines="50" w:line="240" w:lineRule="auto"/>
        <w:ind w:firstLine="640" w:firstLineChars="200"/>
        <w:rPr>
          <w:rFonts w:ascii="黑体" w:hAnsi="黑体" w:eastAsia="黑体"/>
          <w:szCs w:val="32"/>
        </w:rPr>
      </w:pPr>
    </w:p>
    <w:p w14:paraId="5A832999">
      <w:pPr>
        <w:spacing w:after="156" w:afterLines="50" w:line="240" w:lineRule="auto"/>
        <w:ind w:firstLine="640" w:firstLineChars="200"/>
        <w:rPr>
          <w:rFonts w:ascii="黑体" w:hAnsi="黑体" w:eastAsia="黑体"/>
          <w:szCs w:val="32"/>
        </w:rPr>
      </w:pPr>
    </w:p>
    <w:p w14:paraId="655E8139">
      <w:pPr>
        <w:spacing w:after="156" w:afterLines="50" w:line="240" w:lineRule="auto"/>
        <w:ind w:firstLine="640" w:firstLineChars="200"/>
        <w:rPr>
          <w:rFonts w:ascii="黑体" w:hAnsi="黑体" w:eastAsia="黑体"/>
          <w:szCs w:val="32"/>
        </w:rPr>
      </w:pPr>
    </w:p>
    <w:p w14:paraId="6722D1D2">
      <w:pPr>
        <w:spacing w:after="156" w:afterLines="50" w:line="240" w:lineRule="auto"/>
        <w:ind w:firstLine="640" w:firstLineChars="200"/>
        <w:rPr>
          <w:rFonts w:ascii="黑体" w:hAnsi="黑体" w:eastAsia="黑体"/>
          <w:szCs w:val="32"/>
        </w:rPr>
      </w:pPr>
    </w:p>
    <w:p w14:paraId="4F68788A">
      <w:pPr>
        <w:spacing w:after="156" w:afterLines="50" w:line="240" w:lineRule="auto"/>
        <w:ind w:firstLine="640" w:firstLineChars="200"/>
        <w:rPr>
          <w:rFonts w:ascii="黑体" w:hAnsi="黑体" w:eastAsia="黑体"/>
          <w:szCs w:val="32"/>
        </w:rPr>
      </w:pPr>
    </w:p>
    <w:p w14:paraId="672374AB">
      <w:pPr>
        <w:spacing w:after="156" w:afterLines="50" w:line="240" w:lineRule="auto"/>
        <w:ind w:firstLine="640" w:firstLineChars="200"/>
        <w:rPr>
          <w:rFonts w:ascii="黑体" w:hAnsi="黑体" w:eastAsia="黑体"/>
          <w:szCs w:val="32"/>
        </w:rPr>
      </w:pPr>
    </w:p>
    <w:p w14:paraId="47B5B64A">
      <w:pPr>
        <w:spacing w:after="156" w:afterLines="50" w:line="240" w:lineRule="auto"/>
        <w:ind w:firstLine="640" w:firstLineChars="200"/>
        <w:rPr>
          <w:rFonts w:ascii="黑体" w:hAnsi="黑体" w:eastAsia="黑体"/>
          <w:szCs w:val="32"/>
        </w:rPr>
      </w:pPr>
    </w:p>
    <w:p w14:paraId="4C421AB9">
      <w:pPr>
        <w:spacing w:after="156" w:afterLines="50" w:line="240" w:lineRule="auto"/>
        <w:ind w:firstLine="640" w:firstLineChars="200"/>
        <w:rPr>
          <w:rFonts w:ascii="黑体" w:hAnsi="黑体" w:eastAsia="黑体"/>
          <w:szCs w:val="32"/>
        </w:rPr>
      </w:pPr>
    </w:p>
    <w:p w14:paraId="6AC98D76">
      <w:pPr>
        <w:spacing w:after="156" w:afterLines="50" w:line="240" w:lineRule="auto"/>
        <w:ind w:firstLine="640" w:firstLineChars="200"/>
        <w:rPr>
          <w:rFonts w:ascii="黑体" w:hAnsi="黑体" w:eastAsia="黑体"/>
          <w:szCs w:val="32"/>
        </w:rPr>
      </w:pPr>
    </w:p>
    <w:p w14:paraId="70AD2C05">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7919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9A77AAD">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3D72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DB1D9F9">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22A05AC1">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5BE29EB6">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4ED1F0BF">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359F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C24A266">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5093D4C4">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5583A21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19C5D099">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4556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9645E15">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3E8A7C24">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52072A3">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7A47CA0">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3A2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28D9A1C">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22D8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286B3CF">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16C653BD">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0B64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F83EC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30E10198">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7928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4AE72CE">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6760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BED3A7E">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69F62E9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244E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F98DC9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2CA21E8C">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64E3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AE29B35">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1E0A2E8E">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0694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8DEA465">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2715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AD4D56E">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2C6BC54">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305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95FD28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01FC3B07">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bl>
    <w:p w14:paraId="20CC1399">
      <w:pPr>
        <w:spacing w:line="240" w:lineRule="auto"/>
        <w:ind w:firstLine="0"/>
        <w:rPr>
          <w:rFonts w:ascii="黑体" w:hAnsi="黑体" w:eastAsia="黑体"/>
          <w:sz w:val="30"/>
          <w:szCs w:val="30"/>
        </w:rPr>
      </w:pPr>
    </w:p>
    <w:p w14:paraId="7DB6B2C2">
      <w:pPr>
        <w:spacing w:line="240" w:lineRule="auto"/>
        <w:ind w:firstLine="0"/>
        <w:rPr>
          <w:rFonts w:ascii="黑体" w:hAnsi="黑体" w:eastAsia="黑体"/>
          <w:sz w:val="30"/>
          <w:szCs w:val="30"/>
        </w:rPr>
      </w:pPr>
    </w:p>
    <w:p w14:paraId="610C1405">
      <w:pPr>
        <w:spacing w:line="240" w:lineRule="auto"/>
        <w:ind w:firstLine="0"/>
        <w:rPr>
          <w:rFonts w:ascii="黑体" w:hAnsi="黑体" w:eastAsia="黑体"/>
          <w:sz w:val="30"/>
          <w:szCs w:val="30"/>
        </w:rPr>
      </w:pPr>
    </w:p>
    <w:p w14:paraId="7B7D728D">
      <w:pPr>
        <w:spacing w:line="240" w:lineRule="auto"/>
        <w:ind w:firstLine="0"/>
        <w:rPr>
          <w:rFonts w:ascii="黑体" w:hAnsi="黑体" w:eastAsia="黑体"/>
          <w:sz w:val="30"/>
          <w:szCs w:val="30"/>
        </w:rPr>
      </w:pPr>
    </w:p>
    <w:p w14:paraId="1C09F99D">
      <w:pPr>
        <w:spacing w:line="240" w:lineRule="auto"/>
        <w:ind w:firstLine="0"/>
        <w:rPr>
          <w:rFonts w:ascii="黑体" w:hAnsi="黑体" w:eastAsia="黑体"/>
          <w:sz w:val="30"/>
          <w:szCs w:val="30"/>
        </w:rPr>
      </w:pPr>
    </w:p>
    <w:p w14:paraId="0F798552">
      <w:pPr>
        <w:spacing w:line="240" w:lineRule="auto"/>
        <w:ind w:firstLine="0"/>
        <w:rPr>
          <w:rFonts w:ascii="黑体" w:hAnsi="黑体" w:eastAsia="黑体"/>
          <w:sz w:val="30"/>
          <w:szCs w:val="30"/>
        </w:rPr>
      </w:pPr>
    </w:p>
    <w:p w14:paraId="05FC8CDF">
      <w:pPr>
        <w:spacing w:line="240" w:lineRule="auto"/>
        <w:ind w:firstLine="0"/>
        <w:rPr>
          <w:rFonts w:ascii="黑体" w:hAnsi="黑体" w:eastAsia="黑体"/>
          <w:sz w:val="30"/>
          <w:szCs w:val="30"/>
        </w:rPr>
      </w:pPr>
    </w:p>
    <w:p w14:paraId="67A50118">
      <w:pPr>
        <w:spacing w:line="240" w:lineRule="auto"/>
        <w:ind w:firstLine="0"/>
        <w:rPr>
          <w:rFonts w:ascii="黑体" w:hAnsi="黑体" w:eastAsia="黑体"/>
          <w:sz w:val="30"/>
          <w:szCs w:val="30"/>
        </w:rPr>
      </w:pPr>
    </w:p>
    <w:p w14:paraId="4743182F">
      <w:pPr>
        <w:spacing w:line="240" w:lineRule="auto"/>
        <w:ind w:firstLine="0"/>
        <w:rPr>
          <w:rFonts w:ascii="黑体" w:hAnsi="黑体" w:eastAsia="黑体"/>
          <w:sz w:val="30"/>
          <w:szCs w:val="30"/>
        </w:rPr>
      </w:pPr>
    </w:p>
    <w:p w14:paraId="414C0925">
      <w:pPr>
        <w:spacing w:line="240" w:lineRule="auto"/>
        <w:ind w:firstLine="0"/>
        <w:rPr>
          <w:rFonts w:ascii="黑体" w:hAnsi="黑体" w:eastAsia="黑体"/>
          <w:sz w:val="30"/>
          <w:szCs w:val="30"/>
        </w:rPr>
      </w:pPr>
    </w:p>
    <w:p w14:paraId="46845045">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4DD1C713">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71555FEF">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8A3F67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36E6379">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CF3164B">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9A3F39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82DCEF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2AA619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0510A7C1">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917A6ED">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155811ED">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082A4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4AD01A4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DD052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4D0C658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9B2474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964E6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6F14A0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58D7B14D">
            <w:pPr>
              <w:widowControl/>
              <w:autoSpaceDE/>
              <w:autoSpaceDN/>
              <w:snapToGrid/>
              <w:spacing w:line="240" w:lineRule="auto"/>
              <w:ind w:firstLine="0"/>
              <w:jc w:val="left"/>
              <w:rPr>
                <w:rFonts w:ascii="宋体" w:hAnsi="宋体" w:eastAsia="宋体" w:cs="宋体"/>
                <w:snapToGrid/>
                <w:sz w:val="24"/>
                <w:szCs w:val="24"/>
              </w:rPr>
            </w:pPr>
          </w:p>
        </w:tc>
      </w:tr>
      <w:tr w14:paraId="53A79AB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AB9C58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CBEF5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85716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B878B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FA6C62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0EF94F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A9393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3DEC5D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p>
        </w:tc>
      </w:tr>
      <w:tr w14:paraId="2189C76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C2F3EE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C761A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C97C7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229D4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907E64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3AF56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42DDE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9A2525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2AEE61C4">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1DA973C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2B9BB9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BAC37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877D2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99050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218A1F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29963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8FD58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6056A76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1FB37E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BCCE523">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417DAF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74C20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E0C43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FCC39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8143C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0C0FE4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A10E8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58E7DB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2</w:t>
            </w:r>
          </w:p>
        </w:tc>
      </w:tr>
      <w:tr w14:paraId="26094C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D2A76B5">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EB7464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B1E3A2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A8AE2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3A3E2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33E8A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07F86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B6400C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86389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10BA1B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8FEC23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FA9A35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FB2D4A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E28AC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4440B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E4161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70C2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3E5C1A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A8D0FF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DB216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496895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614F1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2598D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61D6CA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8C9F9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FE4E9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CC5D5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63E6C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D984E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AF834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9B0BE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B11B9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3B9806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7FF32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D1BD4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2F56D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9AE989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2C40F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3B019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AB499E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B20A3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D6180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D64370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7D34B0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CD6261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8EBB82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791072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0F4E7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1A65A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0B78B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BA0EC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BC677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F61D2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512889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675CF42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C1C91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B6F056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570F23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C6C77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C5E17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3834B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E9FFA8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3E66D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58B5D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C1F54B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2DB3171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88E6E3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880013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A6D219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577AD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A36BC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CFED4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71A7F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5E8AC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78ED9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F44E3A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496C12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DFFC3E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CC8811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134690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C79186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5BCD6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D124A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30A4E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FC62D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5850A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F4F5F2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4484DD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5A63ED">
            <w:pPr>
              <w:widowControl/>
              <w:autoSpaceDE/>
              <w:autoSpaceDN/>
              <w:snapToGrid/>
              <w:spacing w:line="240" w:lineRule="auto"/>
              <w:ind w:firstLine="0"/>
              <w:jc w:val="left"/>
              <w:rPr>
                <w:rFonts w:ascii="宋体" w:hAnsi="宋体" w:eastAsia="宋体" w:cs="宋体"/>
                <w:snapToGrid/>
                <w:sz w:val="24"/>
                <w:szCs w:val="24"/>
              </w:rPr>
            </w:pPr>
            <w:bookmarkStart w:id="0" w:name="_GoBack" w:colFirst="2" w:colLast="3"/>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3AD7B4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2213B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D0EA4FF">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DF967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6956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75E9C9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65CAFE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CCE23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888BD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bookmarkEnd w:id="0"/>
      <w:tr w14:paraId="6D49A0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EBA544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2999B6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8E4D21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FB979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0EDE2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AB089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A062EE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39CD5A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67161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5FA240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2EFF7DA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3DC938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17565A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079962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E5687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BC668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6ADF3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148254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5F476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4A0F5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FB9E4E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499BF4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114AC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D37D20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49772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66B29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38C3B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834ED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E903F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569244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C8A82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D33AC9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361DDF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930DB7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ECE7FF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490210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A02654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814B9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492BB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DA4A02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AF94B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89C68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AAFFC9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9E38BE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56769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F26D8F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CE0E0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A9BAB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6339A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E49E7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9E975F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900A4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3A736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E99E9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64D0528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A15C63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7874C2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A9F15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0F1755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96D10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0039C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D0C07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CF502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2B542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B5EFF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8E9597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5FF9B3B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A4FB99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74AF040A">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5C01FDA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6A9E05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D6E2D5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65972C9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3AF9E16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45A32B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138CEFD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B312D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4A4EC3D">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8D200D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C32B6B9">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11041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3ABE9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E8AC3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D9464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8F130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55E9D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4D549B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6B39492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3016A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AA93B4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C2F2160">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5B096C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0469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563D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E6FB8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EC5FDB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60FC2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472F4B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2E10FF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24E79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8C87BC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13DAB8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980B9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E9A18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6CF5E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E4DDDD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9E813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AFCE8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B4D198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8AB26B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0B20E5">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C497E9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77D49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7F531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94ACB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C79958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05D50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5C968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919DCB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p>
        </w:tc>
      </w:tr>
      <w:tr w14:paraId="33A252C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836224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2519FD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A0E04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5E356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96640E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4640A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E3FFD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840F7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bl>
    <w:p w14:paraId="4E287045">
      <w:pPr>
        <w:spacing w:line="240" w:lineRule="auto"/>
        <w:ind w:firstLine="600" w:firstLineChars="200"/>
        <w:rPr>
          <w:rFonts w:ascii="黑体" w:hAnsi="黑体" w:eastAsia="黑体"/>
          <w:sz w:val="30"/>
          <w:szCs w:val="30"/>
        </w:rPr>
      </w:pPr>
    </w:p>
    <w:p w14:paraId="6341D4B9">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F464D1A">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2EFB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3597A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46C15639">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E4434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A4D20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1FA57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3625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408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58D1B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8B415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419E9AA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2104F8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5D2A87E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79F7F3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6D2143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B861630">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757AE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BD88E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5B62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35FFB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C8B5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E92E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DA9A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4545A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F19C7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9D533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01729F86">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0CB09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2FC00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428ED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B2F26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29ACE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E1A80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86374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6B791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175A4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20625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0A715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B18C2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D9643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D941F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72BE07">
            <w:pPr>
              <w:widowControl/>
              <w:autoSpaceDE/>
              <w:autoSpaceDN/>
              <w:snapToGrid/>
              <w:spacing w:line="240" w:lineRule="auto"/>
              <w:ind w:firstLine="0"/>
              <w:jc w:val="left"/>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107F7AB8">
      <w:pPr>
        <w:spacing w:line="240" w:lineRule="auto"/>
        <w:ind w:firstLine="640" w:firstLineChars="200"/>
        <w:rPr>
          <w:rFonts w:ascii="黑体" w:hAnsi="黑体" w:eastAsia="黑体"/>
          <w:szCs w:val="32"/>
        </w:rPr>
      </w:pPr>
    </w:p>
    <w:p w14:paraId="13A1532B">
      <w:pPr>
        <w:spacing w:line="240" w:lineRule="auto"/>
        <w:ind w:firstLine="640" w:firstLineChars="200"/>
        <w:rPr>
          <w:rFonts w:ascii="黑体" w:hAnsi="黑体" w:eastAsia="黑体"/>
          <w:szCs w:val="32"/>
        </w:rPr>
      </w:pPr>
    </w:p>
    <w:p w14:paraId="03A59959">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五、存在的主要问题及改进情况</w:t>
      </w:r>
    </w:p>
    <w:p w14:paraId="3F0AF714">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ascii="楷体_GB2312" w:eastAsia="楷体_GB2312"/>
          <w:sz w:val="32"/>
          <w:szCs w:val="32"/>
        </w:rPr>
      </w:pPr>
      <w:r>
        <w:rPr>
          <w:rFonts w:hint="eastAsia" w:ascii="楷体_GB2312" w:eastAsia="楷体_GB2312"/>
          <w:sz w:val="32"/>
          <w:szCs w:val="32"/>
        </w:rPr>
        <w:t>（一）存在问题</w:t>
      </w:r>
    </w:p>
    <w:p w14:paraId="5A6C2724">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一是政策解读形式较为单一，未能有效贴合基层群众理解习惯。部分公开信息以原文转载为主，缺乏适应本镇实际的通俗化、可视化解读材料，影响政策传达效果。</w:t>
      </w:r>
    </w:p>
    <w:p w14:paraId="63407F4C">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二是过度依赖上级统一工作部署。导致公开信息与群众的个性化需求之间出现脱节。</w:t>
      </w:r>
    </w:p>
    <w:p w14:paraId="2E0A6F75">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ascii="楷体_GB2312" w:eastAsia="楷体_GB2312"/>
          <w:sz w:val="32"/>
          <w:szCs w:val="32"/>
        </w:rPr>
      </w:pPr>
      <w:r>
        <w:rPr>
          <w:rFonts w:hint="eastAsia" w:ascii="楷体_GB2312" w:eastAsia="楷体_GB2312"/>
          <w:sz w:val="32"/>
          <w:szCs w:val="32"/>
        </w:rPr>
        <w:t>（二）改进情况</w:t>
      </w:r>
    </w:p>
    <w:p w14:paraId="53A33627">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一是加强宣传引导，强化与群众沟通，结合线下“主题党日”、“村民议事”等线下活动平台，宣讲公开政策、拓展互动渠道。</w:t>
      </w:r>
    </w:p>
    <w:p w14:paraId="3DCE6D9D">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jc w:val="left"/>
        <w:textAlignment w:val="auto"/>
        <w:rPr>
          <w:rFonts w:ascii="黑体" w:hAnsi="黑体" w:eastAsia="黑体"/>
          <w:sz w:val="30"/>
          <w:szCs w:val="30"/>
        </w:rPr>
      </w:pPr>
      <w:r>
        <w:rPr>
          <w:rFonts w:hint="eastAsia" w:ascii="仿宋_GB2312" w:eastAsia="仿宋_GB2312"/>
          <w:color w:val="auto"/>
          <w:sz w:val="32"/>
          <w:szCs w:val="32"/>
          <w:lang w:val="en-US" w:eastAsia="zh-CN"/>
        </w:rPr>
        <w:t>二是定期通过村居座谈会、网格员走访等方式，系统性收集辖区内群众和企业重点关注的信息领域及政策疑问，动态调整本镇主动公开内容的侧重点。</w:t>
      </w:r>
    </w:p>
    <w:p w14:paraId="5DF32484">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六、其他需要报告的事项</w:t>
      </w:r>
    </w:p>
    <w:p w14:paraId="5FACED42">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（一）政府信息公开信息处理费收取情况</w:t>
      </w:r>
    </w:p>
    <w:p w14:paraId="3ADC6C4E">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楷体_GB2312" w:eastAsia="楷体_GB2312"/>
          <w:color w:val="auto"/>
          <w:sz w:val="32"/>
          <w:szCs w:val="32"/>
        </w:rPr>
      </w:pPr>
      <w:r>
        <w:rPr>
          <w:rFonts w:hint="eastAsia" w:ascii="仿宋_GB2312" w:eastAsia="仿宋_GB2312"/>
          <w:color w:val="auto"/>
          <w:sz w:val="32"/>
          <w:szCs w:val="32"/>
        </w:rPr>
        <w:t>本机关依申请提供政府信息，根据《国务院办公厅关于印发&lt;政府信息公开信息处理费管</w:t>
      </w:r>
      <w:r>
        <w:rPr>
          <w:rFonts w:hint="default" w:ascii="Times New Roman" w:hAnsi="Times New Roman" w:eastAsia="仿宋_GB2312" w:cs="Times New Roman"/>
          <w:color w:val="auto"/>
          <w:sz w:val="32"/>
          <w:szCs w:val="32"/>
        </w:rPr>
        <w:t>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年本机关依申请公</w:t>
      </w:r>
      <w:r>
        <w:rPr>
          <w:rFonts w:hint="eastAsia" w:ascii="仿宋_GB2312" w:eastAsia="仿宋_GB2312"/>
          <w:color w:val="auto"/>
          <w:sz w:val="32"/>
          <w:szCs w:val="32"/>
        </w:rPr>
        <w:t>开政府信息未收取任何费用。</w:t>
      </w:r>
    </w:p>
    <w:p w14:paraId="320AD051">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（二）落实上级年度政务公开工作要点情况</w:t>
      </w:r>
    </w:p>
    <w:p w14:paraId="5CF4061B">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eastAsia="仿宋_GB2312"/>
          <w:color w:val="auto"/>
          <w:sz w:val="32"/>
          <w:szCs w:val="32"/>
        </w:rPr>
        <w:t>严格落实国家和</w:t>
      </w:r>
      <w:r>
        <w:rPr>
          <w:rFonts w:hint="default" w:ascii="Times New Roman" w:hAnsi="Times New Roman" w:eastAsia="仿宋_GB2312" w:cs="Times New Roman"/>
          <w:color w:val="auto"/>
          <w:sz w:val="32"/>
          <w:szCs w:val="32"/>
        </w:rPr>
        <w:t>省市县政务公开工作要点，并根据《高青县人民政府办公室关于印发202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年高青县政务公开工作方案的通知》要求，制定了《202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年高青县</w:t>
      </w:r>
      <w:r>
        <w:rPr>
          <w:rFonts w:hint="default" w:ascii="Times New Roman" w:hAnsi="Times New Roman" w:eastAsia="仿宋_GB2312" w:cs="Times New Roman"/>
          <w:color w:val="auto"/>
          <w:sz w:val="32"/>
          <w:szCs w:val="32"/>
          <w:lang w:val="en-US" w:eastAsia="zh-CN"/>
        </w:rPr>
        <w:t>高城镇</w:t>
      </w:r>
      <w:r>
        <w:rPr>
          <w:rFonts w:hint="default" w:ascii="Times New Roman" w:hAnsi="Times New Roman" w:eastAsia="仿宋_GB2312" w:cs="Times New Roman"/>
          <w:color w:val="auto"/>
          <w:sz w:val="32"/>
          <w:szCs w:val="32"/>
        </w:rPr>
        <w:t>政务公开工作方案》，明确了重点任务、工作标准和完成时限。</w:t>
      </w:r>
      <w:r>
        <w:rPr>
          <w:rFonts w:hint="eastAsia" w:eastAsia="仿宋_GB2312" w:cs="Times New Roman"/>
          <w:color w:val="auto"/>
          <w:sz w:val="32"/>
          <w:szCs w:val="32"/>
          <w:lang w:eastAsia="zh-CN"/>
        </w:rPr>
        <w:t>一是</w:t>
      </w:r>
      <w:r>
        <w:rPr>
          <w:rFonts w:hint="default" w:ascii="Times New Roman" w:hAnsi="Times New Roman" w:eastAsia="仿宋_GB2312" w:cs="Times New Roman"/>
          <w:color w:val="auto"/>
          <w:sz w:val="32"/>
          <w:szCs w:val="32"/>
          <w:lang w:val="en-US" w:eastAsia="zh-CN"/>
        </w:rPr>
        <w:t>紧扣镇域实际，规范重点领域公开。围绕高城镇产业发展、乡村建设民生服务等群众关切领域，依据公开标准目录，实行清单动态管理，确保政府门户网站专栏信息全面、及时、准确更新。二是强化能力建设，系统开展全员业务素养培训。制定系统性的培训计划。培训内容紧密围绕《政府信息公开条例》深度解读、依申请公开的规范受理与答复、政务新媒体运营与舆情回应、基层标准化平台操作等核心实务展开。三是着眼提质增效，务实探索接地气的创新实践。在用好公开栏、宣传册等传统载体的同时，灵活运用乡村广播、镇村微信群、通俗易懂的一图读懂等群众喜闻乐见的形式，增强信息送达的精准性和政策解读的感染力。</w:t>
      </w:r>
    </w:p>
    <w:p w14:paraId="7251D593">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（三）人大代表建议和政协委员提案办理结果公开情况</w:t>
      </w:r>
    </w:p>
    <w:p w14:paraId="442482E4">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hint="eastAsia" w:ascii="楷体_GB2312" w:eastAsia="楷体_GB2312"/>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年共承办县十八届人大</w:t>
      </w:r>
      <w:r>
        <w:rPr>
          <w:rFonts w:hint="eastAsia"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次会议建议</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件，承办县政协十五届</w:t>
      </w:r>
      <w:r>
        <w:rPr>
          <w:rFonts w:hint="eastAsia"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次会议提案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件，办复率均为100%。除涉及国家秘密、工作秘密的，所有建议提案办理复文或摘要以及办理总体情况均在县政府门户网站建议提案办理专题中予以公开。</w:t>
      </w:r>
    </w:p>
    <w:p w14:paraId="035D244D">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（四）政务公开工作创新情况</w:t>
      </w:r>
    </w:p>
    <w:p w14:paraId="55A1214F">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2025年，以“精准服务、主动上门”为导向，创新推出“政务公开联络纸”机制，线上线下协同推进政策解读。线上，按规范解读高频办事指南、安全防范要点及惠民政策，用通俗语言增强可读性。线下，聚焦农村失独老人及行动不便群体，编制惠民政策“一纸通”便民手册，整合服务电话等信息，通过“网格员+村干部+包村干部”联动入户送达并讲解，实现“政策找人”，推动政务公开与民生服务深度融合。</w:t>
      </w:r>
    </w:p>
    <w:p w14:paraId="7765E72C">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（五）有关数据统计说明</w:t>
      </w:r>
    </w:p>
    <w:p w14:paraId="27F3733E">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报告中所列数据可能因四舍五入原因与数据直接相加之和存在尾数差异。</w:t>
      </w:r>
    </w:p>
    <w:p w14:paraId="2F016659">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行政许可数量、行政处罚和行政强制数量，包括已公开和依法未公开的全部处理决定。</w:t>
      </w:r>
    </w:p>
    <w:p w14:paraId="225CF51E">
      <w:pPr>
        <w:keepNext w:val="0"/>
        <w:keepLines w:val="0"/>
        <w:pageBreakBefore w:val="0"/>
        <w:widowControl w:val="0"/>
        <w:kinsoku/>
        <w:wordWrap/>
        <w:overflowPunct/>
        <w:topLinePunct w:val="0"/>
        <w:autoSpaceDE w:val="0"/>
        <w:autoSpaceDN w:val="0"/>
        <w:bidi w:val="0"/>
        <w:adjustRightInd/>
        <w:snapToGrid w:val="0"/>
        <w:spacing w:line="580" w:lineRule="exact"/>
        <w:ind w:firstLine="640" w:firstLineChars="200"/>
        <w:textAlignment w:val="auto"/>
        <w:rPr>
          <w:rFonts w:ascii="仿宋_GB2312" w:eastAsia="仿宋_GB2312"/>
          <w:color w:val="auto"/>
          <w:sz w:val="32"/>
          <w:szCs w:val="32"/>
        </w:rPr>
      </w:pPr>
      <w:r>
        <w:rPr>
          <w:rFonts w:hint="default" w:ascii="Times New Roman" w:hAnsi="Times New Roman" w:eastAsia="仿宋_GB2312" w:cs="Times New Roman"/>
          <w:color w:val="auto"/>
          <w:sz w:val="32"/>
          <w:szCs w:val="32"/>
        </w:rPr>
        <w:t>3</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行政复议</w:t>
      </w:r>
      <w:r>
        <w:rPr>
          <w:rFonts w:hint="eastAsia" w:ascii="仿宋_GB2312" w:eastAsia="仿宋_GB2312"/>
          <w:color w:val="auto"/>
          <w:sz w:val="32"/>
          <w:szCs w:val="32"/>
        </w:rPr>
        <w:t>机关作为共同被告的行政诉讼案件，只计算原行为主体的案件数量，不计算行政复议机关的案件数量。</w:t>
      </w:r>
    </w:p>
    <w:p w14:paraId="61C7C354">
      <w:pPr>
        <w:ind w:firstLine="640" w:firstLineChars="200"/>
        <w:jc w:val="left"/>
        <w:rPr>
          <w:rFonts w:ascii="仿宋_GB2312" w:eastAsia="仿宋_GB2312"/>
        </w:rPr>
      </w:pPr>
    </w:p>
    <w:p w14:paraId="0D38EFEC">
      <w:pPr>
        <w:spacing w:line="560" w:lineRule="exact"/>
        <w:ind w:left="0" w:leftChars="0" w:firstLine="0" w:firstLineChars="0"/>
        <w:rPr>
          <w:rFonts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129B1B1C"/>
    <w:rsid w:val="1E5E0376"/>
    <w:rsid w:val="2F386B53"/>
    <w:rsid w:val="37DD02B6"/>
    <w:rsid w:val="397F563B"/>
    <w:rsid w:val="457DAB8B"/>
    <w:rsid w:val="49746B8B"/>
    <w:rsid w:val="5C191891"/>
    <w:rsid w:val="5C7825F5"/>
    <w:rsid w:val="5DD21321"/>
    <w:rsid w:val="603B332A"/>
    <w:rsid w:val="66FB7144"/>
    <w:rsid w:val="6FDEDF86"/>
    <w:rsid w:val="75DF5FD3"/>
    <w:rsid w:val="77472A61"/>
    <w:rsid w:val="9FFB6BEB"/>
    <w:rsid w:val="B7BEFB76"/>
    <w:rsid w:val="DCDBE11E"/>
    <w:rsid w:val="EEF9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1387</Words>
  <Characters>1493</Characters>
  <Lines>15</Lines>
  <Paragraphs>4</Paragraphs>
  <TotalTime>76</TotalTime>
  <ScaleCrop>false</ScaleCrop>
  <LinksUpToDate>false</LinksUpToDate>
  <CharactersWithSpaces>1493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2022-01-03T09:04:00Z</dcterms:created>
  <dc:creator>lb</dc:creator>
  <cp:lastModifiedBy>。</cp:lastModifiedBy>
  <dcterms:modified xsi:type="dcterms:W3CDTF">2026-01-28T06:35:27Z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1C46C27DF42A426991271D93C8823CD9_13</vt:lpwstr>
  </property>
</Properties>
</file>