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淄博市公共资源交易中心高青分中心</w:t>
      </w:r>
    </w:p>
    <w:p>
      <w:pPr>
        <w:spacing w:line="600" w:lineRule="exact"/>
        <w:ind w:firstLine="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2021年政府信息公开工作年度报告</w:t>
      </w:r>
    </w:p>
    <w:p>
      <w:pPr>
        <w:spacing w:line="600" w:lineRule="exact"/>
        <w:ind w:firstLine="640" w:firstLineChars="200"/>
        <w:rPr>
          <w:rFonts w:ascii="仿宋_GB2312" w:eastAsia="仿宋_GB2312"/>
        </w:rPr>
      </w:pPr>
    </w:p>
    <w:p>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autoSpaceDE/>
        <w:autoSpaceDN/>
        <w:snapToGrid/>
        <w:spacing w:line="560" w:lineRule="exact"/>
        <w:ind w:firstLine="640" w:firstLineChars="200"/>
        <w:jc w:val="left"/>
        <w:rPr>
          <w:rFonts w:ascii="仿宋_GB2312" w:hAnsi="仿宋_GB2312" w:eastAsia="仿宋_GB2312" w:cs="仿宋_GB2312"/>
          <w:color w:val="000000" w:themeColor="text1"/>
          <w:szCs w:val="32"/>
          <w14:textFill>
            <w14:solidFill>
              <w14:schemeClr w14:val="tx1"/>
            </w14:solidFill>
          </w14:textFill>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w:t>
      </w:r>
      <w:r>
        <w:rPr>
          <w:rFonts w:hint="eastAsia" w:ascii="仿宋_GB2312" w:hAnsi="仿宋_GB2312" w:eastAsia="仿宋_GB2312" w:cs="仿宋_GB2312"/>
          <w:kern w:val="22"/>
          <w:szCs w:val="32"/>
        </w:rPr>
        <w:t>淄博市公共资源交易中心高青分中心</w:t>
      </w:r>
      <w:r>
        <w:rPr>
          <w:rFonts w:hint="eastAsia" w:ascii="仿宋_GB2312" w:hAnsi="仿宋_GB2312" w:eastAsia="仿宋_GB2312" w:cs="仿宋_GB2312"/>
          <w:color w:val="000000" w:themeColor="text1"/>
          <w:szCs w:val="32"/>
          <w14:textFill>
            <w14:solidFill>
              <w14:schemeClr w14:val="tx1"/>
            </w14:solidFill>
          </w14:textFill>
        </w:rPr>
        <w:t>综合科联系（地址：山东省淄博市</w:t>
      </w:r>
      <w:r>
        <w:rPr>
          <w:rFonts w:hint="eastAsia" w:ascii="仿宋_GB2312" w:hAnsi="仿宋_GB2312" w:eastAsia="仿宋_GB2312" w:cs="仿宋_GB2312"/>
          <w:kern w:val="22"/>
          <w:szCs w:val="32"/>
        </w:rPr>
        <w:t>高青县高苑东路7号</w:t>
      </w:r>
      <w:r>
        <w:rPr>
          <w:rFonts w:hint="eastAsia" w:ascii="仿宋_GB2312" w:hAnsi="仿宋_GB2312" w:eastAsia="仿宋_GB2312" w:cs="仿宋_GB2312"/>
          <w:color w:val="000000" w:themeColor="text1"/>
          <w:szCs w:val="32"/>
          <w14:textFill>
            <w14:solidFill>
              <w14:schemeClr w14:val="tx1"/>
            </w14:solidFill>
          </w14:textFill>
        </w:rPr>
        <w:t>；邮编：</w:t>
      </w:r>
      <w:r>
        <w:rPr>
          <w:rFonts w:hint="eastAsia" w:ascii="仿宋_GB2312" w:hAnsi="仿宋_GB2312" w:eastAsia="仿宋_GB2312" w:cs="仿宋_GB2312"/>
          <w:kern w:val="22"/>
          <w:szCs w:val="32"/>
        </w:rPr>
        <w:t>256300</w:t>
      </w:r>
      <w:r>
        <w:rPr>
          <w:rFonts w:hint="eastAsia" w:ascii="仿宋_GB2312" w:hAnsi="仿宋_GB2312" w:eastAsia="仿宋_GB2312" w:cs="仿宋_GB2312"/>
          <w:color w:val="000000" w:themeColor="text1"/>
          <w:szCs w:val="32"/>
          <w14:textFill>
            <w14:solidFill>
              <w14:schemeClr w14:val="tx1"/>
            </w14:solidFill>
          </w14:textFill>
        </w:rPr>
        <w:t>；电话：</w:t>
      </w:r>
      <w:r>
        <w:rPr>
          <w:rFonts w:hint="eastAsia" w:ascii="仿宋_GB2312" w:hAnsi="仿宋_GB2312" w:eastAsia="仿宋_GB2312" w:cs="仿宋_GB2312"/>
          <w:kern w:val="22"/>
          <w:szCs w:val="32"/>
        </w:rPr>
        <w:t>0533-7015123</w:t>
      </w:r>
      <w:r>
        <w:rPr>
          <w:rFonts w:hint="eastAsia" w:ascii="仿宋_GB2312" w:hAnsi="仿宋_GB2312" w:eastAsia="仿宋_GB2312" w:cs="仿宋_GB2312"/>
          <w:color w:val="000000" w:themeColor="text1"/>
          <w:szCs w:val="32"/>
          <w14:textFill>
            <w14:solidFill>
              <w14:schemeClr w14:val="tx1"/>
            </w14:solidFill>
          </w14:textFill>
        </w:rPr>
        <w:t>；传真：0533-7015129）。</w:t>
      </w:r>
    </w:p>
    <w:p>
      <w:pPr>
        <w:spacing w:line="600" w:lineRule="exact"/>
        <w:ind w:firstLine="640" w:firstLineChars="200"/>
        <w:rPr>
          <w:rFonts w:ascii="黑体" w:hAnsi="黑体" w:eastAsia="黑体"/>
          <w:szCs w:val="32"/>
        </w:rPr>
      </w:pPr>
      <w:r>
        <w:rPr>
          <w:rFonts w:hint="eastAsia" w:ascii="黑体" w:hAnsi="黑体" w:eastAsia="黑体"/>
          <w:szCs w:val="32"/>
        </w:rPr>
        <w:t>一、总体情况</w:t>
      </w:r>
    </w:p>
    <w:p>
      <w:pPr>
        <w:spacing w:line="600" w:lineRule="exact"/>
        <w:jc w:val="left"/>
        <w:rPr>
          <w:rFonts w:ascii="楷体_GB2312" w:eastAsia="楷体_GB2312"/>
        </w:rPr>
      </w:pPr>
      <w:r>
        <w:rPr>
          <w:rFonts w:hint="eastAsia" w:ascii="楷体_GB2312" w:eastAsia="楷体_GB2312"/>
        </w:rPr>
        <w:t>（一）主动公开</w:t>
      </w:r>
    </w:p>
    <w:p>
      <w:pPr>
        <w:spacing w:line="600" w:lineRule="exact"/>
        <w:rPr>
          <w:rFonts w:ascii="仿宋_GB2312" w:eastAsia="仿宋_GB2312"/>
          <w:szCs w:val="32"/>
        </w:rPr>
      </w:pPr>
      <w:r>
        <w:rPr>
          <w:rFonts w:hint="eastAsia" w:ascii="仿宋_GB2312" w:eastAsia="仿宋_GB2312"/>
        </w:rPr>
        <w:t>淄博市公共资源交易中心高青分中心</w:t>
      </w:r>
      <w:r>
        <w:rPr>
          <w:rFonts w:hint="eastAsia" w:ascii="仿宋_GB2312" w:hAnsi="宋体" w:eastAsia="仿宋_GB2312" w:cs="仿宋_GB2312"/>
          <w:color w:val="000000"/>
          <w:szCs w:val="32"/>
          <w:shd w:val="clear" w:color="auto" w:fill="FFFFFF"/>
        </w:rPr>
        <w:t>根据市中心出台制定的</w:t>
      </w:r>
      <w:r>
        <w:rPr>
          <w:rFonts w:ascii="仿宋_GB2312" w:hAnsi="宋体" w:eastAsia="仿宋_GB2312" w:cs="仿宋_GB2312"/>
          <w:color w:val="000000"/>
          <w:szCs w:val="32"/>
          <w:shd w:val="clear" w:color="auto" w:fill="FFFFFF"/>
        </w:rPr>
        <w:t>《淄博市公共资源交易中心</w:t>
      </w:r>
      <w:r>
        <w:rPr>
          <w:rFonts w:hint="eastAsia" w:ascii="仿宋_GB2312" w:hAnsi="宋体" w:eastAsia="仿宋_GB2312" w:cs="仿宋_GB2312"/>
          <w:color w:val="000000"/>
          <w:szCs w:val="32"/>
          <w:shd w:val="clear" w:color="auto" w:fill="FFFFFF"/>
        </w:rPr>
        <w:t>2021年政务公开工作要点》，</w:t>
      </w:r>
      <w:r>
        <w:rPr>
          <w:rFonts w:ascii="仿宋_GB2312" w:hAnsi="宋体" w:eastAsia="仿宋_GB2312" w:cs="仿宋_GB2312"/>
          <w:color w:val="000000"/>
          <w:szCs w:val="32"/>
          <w:shd w:val="clear" w:color="auto" w:fill="FFFFFF"/>
        </w:rPr>
        <w:t>强化政务公开工作落实的抓手</w:t>
      </w:r>
      <w:r>
        <w:rPr>
          <w:rFonts w:hint="eastAsia" w:ascii="仿宋_GB2312" w:hAnsi="宋体" w:eastAsia="仿宋_GB2312" w:cs="仿宋_GB2312"/>
          <w:color w:val="000000"/>
          <w:szCs w:val="32"/>
          <w:shd w:val="clear" w:color="auto" w:fill="FFFFFF"/>
        </w:rPr>
        <w:t>，</w:t>
      </w:r>
      <w:r>
        <w:rPr>
          <w:rFonts w:ascii="仿宋_GB2312" w:hAnsi="宋体" w:eastAsia="仿宋_GB2312" w:cs="仿宋_GB2312"/>
          <w:color w:val="000000"/>
          <w:szCs w:val="32"/>
          <w:shd w:val="clear" w:color="auto" w:fill="FFFFFF"/>
        </w:rPr>
        <w:t>细化公开内容，不断将政务公开标准化延伸到基层，推动实现全</w:t>
      </w:r>
      <w:r>
        <w:rPr>
          <w:rFonts w:hint="eastAsia" w:ascii="仿宋_GB2312" w:hAnsi="宋体" w:eastAsia="仿宋_GB2312" w:cs="仿宋_GB2312"/>
          <w:color w:val="000000"/>
          <w:szCs w:val="32"/>
          <w:shd w:val="clear" w:color="auto" w:fill="FFFFFF"/>
        </w:rPr>
        <w:t>县</w:t>
      </w:r>
      <w:r>
        <w:rPr>
          <w:rFonts w:ascii="仿宋_GB2312" w:hAnsi="宋体" w:eastAsia="仿宋_GB2312" w:cs="仿宋_GB2312"/>
          <w:color w:val="000000"/>
          <w:szCs w:val="32"/>
          <w:shd w:val="clear" w:color="auto" w:fill="FFFFFF"/>
        </w:rPr>
        <w:t>公共资源交易领域政务公开标准化规范化全覆盖</w:t>
      </w:r>
      <w:r>
        <w:rPr>
          <w:rFonts w:hint="eastAsia" w:ascii="仿宋_GB2312" w:hAnsi="宋体" w:eastAsia="仿宋_GB2312" w:cs="仿宋_GB2312"/>
          <w:color w:val="000000"/>
          <w:szCs w:val="32"/>
          <w:shd w:val="clear" w:color="auto" w:fill="FFFFFF"/>
        </w:rPr>
        <w:t>。</w:t>
      </w:r>
      <w:r>
        <w:rPr>
          <w:rFonts w:hint="eastAsia" w:ascii="仿宋_GB2312" w:eastAsia="仿宋_GB2312"/>
          <w:szCs w:val="32"/>
        </w:rPr>
        <w:t>2021年高青分中心信息公开数量为657</w:t>
      </w:r>
      <w:r>
        <w:rPr>
          <w:rFonts w:hint="eastAsia" w:ascii="仿宋_GB2312" w:eastAsia="仿宋_GB2312"/>
          <w:szCs w:val="32"/>
          <w:lang w:eastAsia="zh-CN"/>
        </w:rPr>
        <w:t>余</w:t>
      </w:r>
      <w:r>
        <w:rPr>
          <w:rFonts w:hint="eastAsia" w:ascii="仿宋_GB2312" w:eastAsia="仿宋_GB2312"/>
          <w:szCs w:val="32"/>
        </w:rPr>
        <w:t>件，未发布解读材料，未通过政府信箱收到群众留言。</w:t>
      </w:r>
    </w:p>
    <w:p>
      <w:pPr>
        <w:spacing w:line="240" w:lineRule="auto"/>
        <w:jc w:val="left"/>
        <w:rPr>
          <w:rFonts w:ascii="仿宋_GB2312" w:eastAsia="仿宋_GB2312"/>
          <w:szCs w:val="32"/>
        </w:rPr>
      </w:pPr>
      <w:r>
        <w:rPr>
          <w:rFonts w:ascii="仿宋_GB2312" w:eastAsia="仿宋_GB2312"/>
          <w:szCs w:val="32"/>
        </w:rPr>
        <w:drawing>
          <wp:inline distT="0" distB="0" distL="114300" distR="114300">
            <wp:extent cx="4222750" cy="3159125"/>
            <wp:effectExtent l="0" t="0" r="6350" b="3175"/>
            <wp:docPr id="1" name="图片 1"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5"/>
                    <pic:cNvPicPr>
                      <a:picLocks noChangeAspect="true"/>
                    </pic:cNvPicPr>
                  </pic:nvPicPr>
                  <pic:blipFill>
                    <a:blip r:embed="rId6"/>
                    <a:stretch>
                      <a:fillRect/>
                    </a:stretch>
                  </pic:blipFill>
                  <pic:spPr>
                    <a:xfrm>
                      <a:off x="0" y="0"/>
                      <a:ext cx="4222750" cy="3159125"/>
                    </a:xfrm>
                    <a:prstGeom prst="rect">
                      <a:avLst/>
                    </a:prstGeom>
                  </pic:spPr>
                </pic:pic>
              </a:graphicData>
            </a:graphic>
          </wp:inline>
        </w:drawing>
      </w:r>
    </w:p>
    <w:p>
      <w:pPr>
        <w:spacing w:line="60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1.收到和处理政府信息公开申请情况</w:t>
      </w:r>
    </w:p>
    <w:p>
      <w:pPr>
        <w:spacing w:line="560" w:lineRule="exact"/>
        <w:ind w:firstLine="640" w:firstLineChars="200"/>
        <w:rPr>
          <w:rFonts w:ascii="仿宋_GB2312" w:eastAsia="仿宋_GB2312"/>
          <w:szCs w:val="32"/>
        </w:rPr>
      </w:pPr>
      <w:r>
        <w:rPr>
          <w:rFonts w:hint="eastAsia" w:ascii="仿宋_GB2312" w:eastAsia="仿宋_GB2312"/>
          <w:szCs w:val="32"/>
        </w:rPr>
        <w:t>2021年未收到政府信息公开申请，上年度结转政府信息公开申请0件。</w:t>
      </w:r>
    </w:p>
    <w:p>
      <w:pPr>
        <w:spacing w:line="560" w:lineRule="exact"/>
        <w:ind w:firstLine="640" w:firstLineChars="200"/>
        <w:rPr>
          <w:rFonts w:ascii="仿宋_GB2312" w:eastAsia="仿宋_GB2312"/>
          <w:szCs w:val="32"/>
        </w:rPr>
      </w:pPr>
      <w:r>
        <w:rPr>
          <w:rFonts w:hint="eastAsia" w:ascii="仿宋_GB2312" w:eastAsia="仿宋_GB2312"/>
          <w:szCs w:val="32"/>
        </w:rPr>
        <w:t>2.收费和减免情况</w:t>
      </w:r>
    </w:p>
    <w:p>
      <w:pPr>
        <w:spacing w:line="560" w:lineRule="exact"/>
        <w:ind w:left="640" w:leftChars="200" w:firstLine="0"/>
        <w:rPr>
          <w:rFonts w:ascii="仿宋_GB2312" w:eastAsia="仿宋_GB2312"/>
          <w:szCs w:val="32"/>
        </w:rPr>
      </w:pPr>
      <w:r>
        <w:rPr>
          <w:rFonts w:hint="eastAsia" w:ascii="仿宋_GB2312" w:eastAsia="仿宋_GB2312"/>
          <w:szCs w:val="32"/>
        </w:rPr>
        <w:t>2021年度本机关依申请公开政府信息未收取任何费用。3.政府信息公开行政复议、行政诉讼情况</w:t>
      </w:r>
    </w:p>
    <w:p>
      <w:pPr>
        <w:spacing w:line="560" w:lineRule="exact"/>
        <w:ind w:firstLine="640" w:firstLineChars="200"/>
        <w:rPr>
          <w:rFonts w:ascii="仿宋_GB2312" w:eastAsia="仿宋_GB2312"/>
          <w:szCs w:val="32"/>
        </w:rPr>
      </w:pPr>
      <w:r>
        <w:rPr>
          <w:rFonts w:hint="eastAsia" w:ascii="仿宋_GB2312" w:eastAsia="仿宋_GB2312"/>
          <w:szCs w:val="32"/>
        </w:rPr>
        <w:t>2021年因政府信息公开被申请行政复议0起，被提起行政诉讼0起。</w:t>
      </w:r>
    </w:p>
    <w:p>
      <w:pPr>
        <w:spacing w:line="600" w:lineRule="exact"/>
        <w:jc w:val="left"/>
        <w:rPr>
          <w:rFonts w:ascii="楷体_GB2312" w:eastAsia="楷体_GB2312"/>
        </w:rPr>
      </w:pPr>
      <w:r>
        <w:rPr>
          <w:rFonts w:hint="eastAsia" w:ascii="楷体_GB2312" w:eastAsia="楷体_GB2312"/>
        </w:rPr>
        <w:t>（三）政府信息管理</w:t>
      </w:r>
    </w:p>
    <w:p>
      <w:pPr>
        <w:spacing w:line="600" w:lineRule="exact"/>
        <w:jc w:val="left"/>
        <w:rPr>
          <w:rFonts w:ascii="仿宋_GB2312" w:eastAsia="仿宋_GB2312"/>
        </w:rPr>
      </w:pPr>
      <w:r>
        <w:rPr>
          <w:rFonts w:hint="eastAsia" w:ascii="仿宋_GB2312" w:eastAsia="仿宋_GB2312"/>
        </w:rPr>
        <w:t>按照市公共资源交易中心制定的</w:t>
      </w:r>
      <w:r>
        <w:rPr>
          <w:rFonts w:ascii="仿宋_GB2312" w:hAnsi="宋体" w:eastAsia="仿宋_GB2312" w:cs="仿宋_GB2312"/>
          <w:color w:val="000000"/>
          <w:szCs w:val="32"/>
          <w:shd w:val="clear" w:color="auto" w:fill="FFFFFF"/>
        </w:rPr>
        <w:t>《淄博市公共资源交易中心政务信息公开指南</w:t>
      </w:r>
      <w:r>
        <w:rPr>
          <w:rFonts w:hint="eastAsia" w:ascii="仿宋_GB2312" w:hAnsi="宋体" w:eastAsia="仿宋_GB2312" w:cs="仿宋_GB2312"/>
          <w:color w:val="000000"/>
          <w:szCs w:val="32"/>
          <w:shd w:val="clear" w:color="auto" w:fill="FFFFFF"/>
        </w:rPr>
        <w:t>》</w:t>
      </w:r>
      <w:r>
        <w:rPr>
          <w:rFonts w:hint="eastAsia" w:ascii="仿宋_GB2312" w:eastAsia="仿宋_GB2312"/>
        </w:rPr>
        <w:t>要求，相关信息发布严格审查、保密，积极配合市中心完善相关栏目建设。</w:t>
      </w:r>
      <w:r>
        <w:rPr>
          <w:rFonts w:hint="eastAsia" w:ascii="仿宋_GB2312" w:eastAsia="仿宋_GB2312"/>
          <w:szCs w:val="32"/>
        </w:rPr>
        <w:t>实行政府信息动态调整制度，对本单位公开信</w:t>
      </w:r>
      <w:r>
        <w:rPr>
          <w:rFonts w:hint="eastAsia" w:ascii="仿宋_GB2312" w:eastAsia="仿宋_GB2312"/>
        </w:rPr>
        <w:t>息进行定期评估审查，及时</w:t>
      </w:r>
      <w:r>
        <w:rPr>
          <w:rFonts w:hint="eastAsia" w:ascii="仿宋_GB2312" w:eastAsia="仿宋_GB2312"/>
          <w:szCs w:val="32"/>
        </w:rPr>
        <w:t>清理、调整失效文件。</w:t>
      </w:r>
    </w:p>
    <w:p>
      <w:pPr>
        <w:spacing w:line="600" w:lineRule="exact"/>
        <w:jc w:val="left"/>
        <w:rPr>
          <w:rFonts w:ascii="楷体_GB2312" w:eastAsia="楷体_GB2312"/>
        </w:rPr>
      </w:pPr>
      <w:r>
        <w:rPr>
          <w:rFonts w:hint="eastAsia" w:ascii="楷体_GB2312" w:eastAsia="楷体_GB2312"/>
        </w:rPr>
        <w:t>（四）政府信息公开平台建设</w:t>
      </w:r>
    </w:p>
    <w:p>
      <w:pPr>
        <w:spacing w:line="600" w:lineRule="exact"/>
        <w:jc w:val="left"/>
        <w:rPr>
          <w:rFonts w:ascii="仿宋_GB2312" w:hAnsi="仿宋_GB2312" w:eastAsia="仿宋_GB2312" w:cs="仿宋_GB2312"/>
          <w:color w:val="000000"/>
          <w:szCs w:val="32"/>
          <w:shd w:val="clear" w:color="auto" w:fill="FFFFFF"/>
        </w:rPr>
      </w:pPr>
      <w:r>
        <w:rPr>
          <w:rFonts w:hint="eastAsia" w:ascii="仿宋_GB2312" w:eastAsia="仿宋_GB2312"/>
          <w:szCs w:val="32"/>
        </w:rPr>
        <w:t>充分利用淄博市公共资源交易中心网站、</w:t>
      </w:r>
      <w:r>
        <w:rPr>
          <w:rFonts w:ascii="仿宋_GB2312" w:hAnsi="宋体" w:eastAsia="仿宋_GB2312" w:cs="仿宋_GB2312"/>
          <w:color w:val="000000"/>
          <w:sz w:val="31"/>
          <w:szCs w:val="31"/>
          <w:shd w:val="clear" w:color="auto" w:fill="FFFFFF"/>
        </w:rPr>
        <w:t>报纸、新媒体等多种形式，</w:t>
      </w:r>
      <w:r>
        <w:rPr>
          <w:rFonts w:hint="eastAsia" w:ascii="仿宋_GB2312" w:eastAsia="仿宋_GB2312"/>
          <w:szCs w:val="32"/>
        </w:rPr>
        <w:t>及时宣传报送亮点工作、工作动态及工作进展信息，在《今日高青》、信用淄博和市中心网站等媒体发表稿件30余篇。</w:t>
      </w:r>
    </w:p>
    <w:p>
      <w:pPr>
        <w:spacing w:line="600" w:lineRule="exact"/>
        <w:ind w:firstLine="640" w:firstLineChars="200"/>
        <w:jc w:val="left"/>
        <w:rPr>
          <w:rFonts w:ascii="楷体_GB2312" w:eastAsia="楷体_GB2312"/>
        </w:rPr>
      </w:pPr>
      <w:r>
        <w:rPr>
          <w:rFonts w:hint="eastAsia" w:ascii="楷体_GB2312" w:eastAsia="楷体_GB2312"/>
        </w:rPr>
        <w:t>（五）监督保障</w:t>
      </w:r>
    </w:p>
    <w:p>
      <w:pPr>
        <w:pStyle w:val="5"/>
        <w:widowControl/>
        <w:autoSpaceDE/>
        <w:autoSpaceDN/>
        <w:snapToGrid/>
        <w:spacing w:after="0" w:line="560" w:lineRule="exact"/>
        <w:ind w:firstLine="640" w:firstLineChars="200"/>
        <w:jc w:val="both"/>
        <w:rPr>
          <w:rFonts w:ascii="黑体" w:hAnsi="黑体" w:eastAsia="黑体"/>
          <w:szCs w:val="32"/>
        </w:rPr>
      </w:pPr>
      <w:r>
        <w:rPr>
          <w:rFonts w:hint="eastAsia" w:ascii="仿宋_GB2312" w:hAnsi="仿宋_GB2312" w:eastAsia="仿宋_GB2312" w:cs="仿宋_GB2312"/>
          <w:kern w:val="22"/>
          <w:sz w:val="32"/>
          <w:szCs w:val="32"/>
        </w:rPr>
        <w:t>进一步调整充实淄博市公共资源交易中心高青分中心政务公开领导小组，由分中心副主任任组长。</w:t>
      </w:r>
      <w:r>
        <w:rPr>
          <w:rFonts w:hint="eastAsia" w:ascii="仿宋_GB2312" w:hAnsi="仿宋_GB2312" w:eastAsia="仿宋_GB2312" w:cs="仿宋_GB2312"/>
          <w:kern w:val="22"/>
          <w:sz w:val="32"/>
          <w:szCs w:val="32"/>
          <w:lang w:eastAsia="zh-CN"/>
        </w:rPr>
        <w:t>明确</w:t>
      </w:r>
      <w:r>
        <w:rPr>
          <w:rFonts w:hint="eastAsia" w:ascii="仿宋_GB2312" w:hAnsi="仿宋_GB2312" w:eastAsia="仿宋_GB2312" w:cs="仿宋_GB2312"/>
          <w:color w:val="000000"/>
          <w:sz w:val="31"/>
          <w:szCs w:val="31"/>
          <w:shd w:val="clear" w:color="auto" w:fill="FFFFFF"/>
        </w:rPr>
        <w:t>由综合科具体负责政务公开工作，</w:t>
      </w:r>
      <w:r>
        <w:rPr>
          <w:rFonts w:hint="eastAsia" w:ascii="仿宋_GB2312" w:hAnsi="仿宋_GB2312" w:eastAsia="仿宋_GB2312" w:cs="仿宋_GB2312"/>
          <w:color w:val="000000"/>
          <w:sz w:val="31"/>
          <w:szCs w:val="31"/>
          <w:shd w:val="clear" w:color="auto" w:fill="FFFFFF"/>
          <w:lang w:eastAsia="zh-CN"/>
        </w:rPr>
        <w:t>并配备</w:t>
      </w:r>
      <w:bookmarkStart w:id="0" w:name="_GoBack"/>
      <w:bookmarkEnd w:id="0"/>
      <w:r>
        <w:rPr>
          <w:rFonts w:hint="eastAsia" w:ascii="仿宋_GB2312" w:hAnsi="宋体" w:eastAsia="仿宋_GB2312" w:cs="仿宋_GB2312"/>
          <w:color w:val="000000"/>
          <w:sz w:val="31"/>
          <w:szCs w:val="31"/>
          <w:shd w:val="clear" w:color="auto" w:fill="FFFFFF"/>
        </w:rPr>
        <w:t>2名工作人员</w:t>
      </w:r>
      <w:r>
        <w:rPr>
          <w:rFonts w:hint="eastAsia" w:ascii="仿宋_GB2312" w:hAnsi="仿宋_GB2312" w:eastAsia="仿宋_GB2312" w:cs="仿宋_GB2312"/>
          <w:color w:val="000000"/>
          <w:sz w:val="31"/>
          <w:szCs w:val="31"/>
          <w:shd w:val="clear" w:color="auto" w:fill="FFFFFF"/>
        </w:rPr>
        <w:t>。积极参加市公共资源交易中心组织的相关业务培训。</w:t>
      </w: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color w:val="0000FF"/>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hint="eastAsia"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bl>
    <w:p>
      <w:pPr>
        <w:spacing w:line="240" w:lineRule="auto"/>
        <w:ind w:firstLine="0"/>
        <w:rPr>
          <w:rFonts w:ascii="黑体" w:hAnsi="黑体" w:eastAsia="黑体"/>
          <w:sz w:val="30"/>
          <w:szCs w:val="30"/>
        </w:rPr>
      </w:pPr>
    </w:p>
    <w:p>
      <w:pPr>
        <w:spacing w:line="240" w:lineRule="auto"/>
        <w:ind w:firstLine="0"/>
        <w:rPr>
          <w:rFonts w:hint="eastAsia"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ind w:firstLine="640" w:firstLineChars="200"/>
        <w:jc w:val="both"/>
        <w:rPr>
          <w:rFonts w:ascii="仿宋_GB2312" w:eastAsia="仿宋_GB2312"/>
        </w:rPr>
      </w:pPr>
      <w:r>
        <w:rPr>
          <w:rFonts w:hint="eastAsia" w:ascii="仿宋_GB2312" w:eastAsia="仿宋_GB2312"/>
        </w:rPr>
        <w:t>淄博市公共资源高青分中心深入贯彻政府信息公开相关法律规定，严格落实政府信息公开工作，目前存在的主要问题是部分工作人员对政府信息公开工作认识还需进一步提高；监督机制还需要进一步完善。</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（二）改进措施</w:t>
      </w:r>
    </w:p>
    <w:p>
      <w:pPr>
        <w:ind w:firstLine="640" w:firstLineChars="200"/>
        <w:jc w:val="left"/>
        <w:rPr>
          <w:rFonts w:ascii="仿宋_GB2312" w:eastAsia="仿宋_GB2312"/>
        </w:rPr>
      </w:pPr>
      <w:r>
        <w:rPr>
          <w:rFonts w:hint="eastAsia" w:ascii="仿宋_GB2312" w:eastAsia="仿宋_GB2312"/>
        </w:rPr>
        <w:t>一是加强学习培训，提高思想认识，营造政府信息公开良好氛围。充分利用各种方式和渠道，不断加强本单位对政府信息公开目的、意义、方式、具体要求及标准的认识，切实提高干部职工公仆观念、群众观念、法治观念。</w:t>
      </w:r>
    </w:p>
    <w:p>
      <w:pPr>
        <w:ind w:firstLine="640" w:firstLineChars="200"/>
        <w:jc w:val="left"/>
        <w:rPr>
          <w:rFonts w:ascii="仿宋_GB2312" w:eastAsia="仿宋_GB2312"/>
        </w:rPr>
      </w:pPr>
      <w:r>
        <w:rPr>
          <w:rFonts w:hint="eastAsia" w:ascii="仿宋_GB2312" w:eastAsia="仿宋_GB2312"/>
        </w:rPr>
        <w:t>二是加强舆论监督、法律监督、制度监督，将政府信息公开监督工作与其他检查工作相结合，进一步丰富监督形式。</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（一）收取信息处理费情况</w:t>
      </w:r>
    </w:p>
    <w:p>
      <w:pPr>
        <w:ind w:firstLine="640" w:firstLineChars="200"/>
        <w:jc w:val="left"/>
        <w:rPr>
          <w:rFonts w:ascii="仿宋_GB2312" w:eastAsia="仿宋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ind w:firstLine="640" w:firstLineChars="200"/>
        <w:jc w:val="left"/>
        <w:rPr>
          <w:rFonts w:ascii="楷体_GB2312" w:hAnsi="黑体" w:eastAsia="楷体_GB2312"/>
          <w:szCs w:val="32"/>
        </w:rPr>
      </w:pPr>
      <w:r>
        <w:rPr>
          <w:rFonts w:hint="eastAsia" w:ascii="楷体_GB2312" w:hAnsi="黑体" w:eastAsia="楷体_GB2312"/>
          <w:szCs w:val="32"/>
        </w:rPr>
        <w:t>（二）落实上级年度政务公开工作要点情况</w:t>
      </w:r>
    </w:p>
    <w:p>
      <w:pPr>
        <w:ind w:firstLine="640" w:firstLineChars="200"/>
        <w:rPr>
          <w:rFonts w:ascii="仿宋_GB2312" w:eastAsia="仿宋_GB2312"/>
          <w:szCs w:val="32"/>
        </w:rPr>
      </w:pPr>
      <w:r>
        <w:rPr>
          <w:rFonts w:hint="eastAsia" w:ascii="仿宋_GB2312" w:eastAsia="仿宋_GB231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淄博市公共资源交易中心高青分中心2021年政务公开工作实施方案》，并根据通知要求，重点做好公共资源交易领域信息公开工作，加强公开信息平台建设，及时调整政府信息公开目录，结合县实际工作，将公共资源交易网上的重点领域信息链接到县政府网站，使公众能够方便、快捷地获取所需信息。</w:t>
      </w:r>
    </w:p>
    <w:p>
      <w:pPr>
        <w:ind w:firstLine="640" w:firstLineChars="200"/>
        <w:jc w:val="left"/>
        <w:rPr>
          <w:rFonts w:ascii="楷体_GB2312" w:hAnsi="黑体" w:eastAsia="楷体_GB2312"/>
          <w:szCs w:val="32"/>
        </w:rPr>
      </w:pPr>
      <w:r>
        <w:rPr>
          <w:rFonts w:hint="eastAsia" w:ascii="楷体_GB2312" w:hAnsi="黑体" w:eastAsia="楷体_GB2312"/>
          <w:szCs w:val="32"/>
        </w:rPr>
        <w:t>（三）人大代表建议和政协委员提案办理结果公开情况</w:t>
      </w:r>
    </w:p>
    <w:p>
      <w:pPr>
        <w:ind w:firstLine="640" w:firstLineChars="200"/>
        <w:rPr>
          <w:rFonts w:ascii="仿宋_GB2312" w:eastAsia="仿宋_GB2312"/>
          <w:szCs w:val="32"/>
        </w:rPr>
      </w:pPr>
      <w:r>
        <w:rPr>
          <w:rFonts w:hint="eastAsia" w:ascii="仿宋_GB2312" w:eastAsia="仿宋_GB2312"/>
          <w:szCs w:val="32"/>
        </w:rPr>
        <w:t>2021年，本机关未承办县十七届人大五次会议建议、县政协十四届五次会议提案。</w:t>
      </w:r>
    </w:p>
    <w:p>
      <w:pPr>
        <w:ind w:firstLine="640" w:firstLineChars="200"/>
        <w:jc w:val="left"/>
        <w:rPr>
          <w:rFonts w:ascii="楷体_GB2312" w:hAnsi="黑体" w:eastAsia="楷体_GB2312"/>
          <w:szCs w:val="32"/>
        </w:rPr>
      </w:pPr>
      <w:r>
        <w:rPr>
          <w:rFonts w:hint="eastAsia" w:ascii="楷体_GB2312" w:hAnsi="黑体" w:eastAsia="楷体_GB2312"/>
          <w:szCs w:val="32"/>
        </w:rPr>
        <w:t>（四）政务公开工作创新情况</w:t>
      </w:r>
    </w:p>
    <w:p>
      <w:pPr>
        <w:widowControl/>
        <w:jc w:val="left"/>
        <w:rPr>
          <w:rFonts w:ascii="仿宋_GB2312" w:eastAsia="仿宋_GB2312"/>
          <w:szCs w:val="32"/>
        </w:rPr>
      </w:pPr>
      <w:r>
        <w:rPr>
          <w:rFonts w:hint="eastAsia" w:ascii="仿宋_GB2312" w:eastAsia="仿宋_GB2312"/>
          <w:szCs w:val="32"/>
        </w:rPr>
        <w:t>不断创新政务公开载体，积极通过各类网站、报纸、新媒体宣传报送亮点工作、工作动态及工作进展信息。交易</w:t>
      </w:r>
      <w:r>
        <w:rPr>
          <w:rFonts w:ascii="仿宋_GB2312" w:hAnsi="宋体" w:eastAsia="仿宋_GB2312" w:cs="仿宋_GB2312"/>
          <w:color w:val="000000"/>
          <w:sz w:val="31"/>
          <w:szCs w:val="31"/>
          <w:lang w:bidi="ar"/>
        </w:rPr>
        <w:t>系统进一步升级，“不见面开标”系统</w:t>
      </w:r>
      <w:r>
        <w:rPr>
          <w:rFonts w:hint="eastAsia" w:ascii="仿宋_GB2312" w:hAnsi="宋体" w:eastAsia="仿宋_GB2312" w:cs="仿宋_GB2312"/>
          <w:color w:val="000000"/>
          <w:sz w:val="31"/>
          <w:szCs w:val="31"/>
          <w:lang w:bidi="ar"/>
        </w:rPr>
        <w:t>更加优化，所有交易项目均实现网上开标，提高了全流程电子化水平，远程异地评标进一步常态化，逐步实现信息全公开、程序全透明、结果全公示，提升服务能见度及交易透明度，广泛接受社会各界监督，规范交易行为。</w:t>
      </w:r>
    </w:p>
    <w:p>
      <w:pPr>
        <w:ind w:firstLine="640" w:firstLineChars="200"/>
        <w:jc w:val="left"/>
        <w:rPr>
          <w:rFonts w:ascii="楷体_GB2312" w:hAnsi="黑体" w:eastAsia="楷体_GB2312"/>
          <w:szCs w:val="32"/>
        </w:rPr>
      </w:pPr>
      <w:r>
        <w:rPr>
          <w:rFonts w:hint="eastAsia" w:ascii="楷体_GB2312" w:hAnsi="黑体" w:eastAsia="楷体_GB2312"/>
          <w:szCs w:val="32"/>
        </w:rPr>
        <w:t>（五）有关数据统计说明</w:t>
      </w:r>
    </w:p>
    <w:p>
      <w:pPr>
        <w:ind w:firstLine="640" w:firstLineChars="200"/>
        <w:jc w:val="left"/>
        <w:rPr>
          <w:rFonts w:ascii="楷体_GB2312" w:hAnsi="黑体" w:eastAsia="楷体_GB2312"/>
          <w:sz w:val="30"/>
          <w:szCs w:val="30"/>
        </w:rPr>
      </w:pPr>
      <w:r>
        <w:rPr>
          <w:rFonts w:hint="eastAsia" w:ascii="仿宋_GB2312" w:eastAsia="仿宋_GB2312"/>
          <w:szCs w:val="32"/>
        </w:rPr>
        <w:t>报告中所列数据可能因四舍五入原因与数据直接相加之和存在尾数差异。</w:t>
      </w:r>
    </w:p>
    <w:p>
      <w:pPr>
        <w:spacing w:line="560" w:lineRule="exact"/>
        <w:ind w:firstLine="600" w:firstLineChars="200"/>
        <w:rPr>
          <w:rFonts w:ascii="楷体_GB2312" w:hAnsi="黑体" w:eastAsia="楷体_GB2312"/>
          <w:sz w:val="30"/>
          <w:szCs w:val="3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945"/>
    <w:rsid w:val="00117733"/>
    <w:rsid w:val="00121DCF"/>
    <w:rsid w:val="00172A27"/>
    <w:rsid w:val="00211942"/>
    <w:rsid w:val="002E3543"/>
    <w:rsid w:val="00415AB1"/>
    <w:rsid w:val="00591E5D"/>
    <w:rsid w:val="00673AC7"/>
    <w:rsid w:val="00704FCD"/>
    <w:rsid w:val="007639AF"/>
    <w:rsid w:val="008C4ED2"/>
    <w:rsid w:val="00993042"/>
    <w:rsid w:val="009B028C"/>
    <w:rsid w:val="00C55A09"/>
    <w:rsid w:val="00C67940"/>
    <w:rsid w:val="00CC2BE7"/>
    <w:rsid w:val="00CD1D00"/>
    <w:rsid w:val="00EA0721"/>
    <w:rsid w:val="00EF5607"/>
    <w:rsid w:val="00F70077"/>
    <w:rsid w:val="00FA216A"/>
    <w:rsid w:val="00FD5381"/>
    <w:rsid w:val="153B752F"/>
    <w:rsid w:val="16F5AFCD"/>
    <w:rsid w:val="16FC1572"/>
    <w:rsid w:val="1B836B58"/>
    <w:rsid w:val="1CFB04FF"/>
    <w:rsid w:val="1EFAB357"/>
    <w:rsid w:val="1F2DB4FC"/>
    <w:rsid w:val="1FB7823E"/>
    <w:rsid w:val="1FFFF9C2"/>
    <w:rsid w:val="26F727AB"/>
    <w:rsid w:val="378D8B75"/>
    <w:rsid w:val="3BEEB8D6"/>
    <w:rsid w:val="3C7DE849"/>
    <w:rsid w:val="3FF6500A"/>
    <w:rsid w:val="41C87AB8"/>
    <w:rsid w:val="477EE2FC"/>
    <w:rsid w:val="4BF31A95"/>
    <w:rsid w:val="4D646E55"/>
    <w:rsid w:val="569F2AD8"/>
    <w:rsid w:val="56FB1A53"/>
    <w:rsid w:val="5EAF692D"/>
    <w:rsid w:val="5FCD012A"/>
    <w:rsid w:val="5FF799F9"/>
    <w:rsid w:val="62FF6299"/>
    <w:rsid w:val="62FF83EF"/>
    <w:rsid w:val="6C7F29A3"/>
    <w:rsid w:val="6CE22B71"/>
    <w:rsid w:val="6DF18D05"/>
    <w:rsid w:val="6E5B47C6"/>
    <w:rsid w:val="6FF698FA"/>
    <w:rsid w:val="71CA8AD9"/>
    <w:rsid w:val="79DF0305"/>
    <w:rsid w:val="7A164CCA"/>
    <w:rsid w:val="7B6D77D7"/>
    <w:rsid w:val="7BEF9740"/>
    <w:rsid w:val="7BFF5100"/>
    <w:rsid w:val="7DBB7614"/>
    <w:rsid w:val="7E97BDD1"/>
    <w:rsid w:val="7EDE324E"/>
    <w:rsid w:val="7F671E45"/>
    <w:rsid w:val="7F7B129A"/>
    <w:rsid w:val="7F7F545E"/>
    <w:rsid w:val="7F9EEDBD"/>
    <w:rsid w:val="7FB8952B"/>
    <w:rsid w:val="7FF3ACCB"/>
    <w:rsid w:val="7FF66253"/>
    <w:rsid w:val="8F7DB2DC"/>
    <w:rsid w:val="91F9D15D"/>
    <w:rsid w:val="9CB73BB1"/>
    <w:rsid w:val="9EFEDA5C"/>
    <w:rsid w:val="9FFEE566"/>
    <w:rsid w:val="A7EFD462"/>
    <w:rsid w:val="A7FFF132"/>
    <w:rsid w:val="AEFD39D3"/>
    <w:rsid w:val="B45F22D9"/>
    <w:rsid w:val="BB5A1B8C"/>
    <w:rsid w:val="BCBF94EB"/>
    <w:rsid w:val="CD3C31EC"/>
    <w:rsid w:val="CDB7BC58"/>
    <w:rsid w:val="CF7F212B"/>
    <w:rsid w:val="D77BA2BA"/>
    <w:rsid w:val="D96D32FA"/>
    <w:rsid w:val="DBAF6F4D"/>
    <w:rsid w:val="DCF98B93"/>
    <w:rsid w:val="DDF5E9C6"/>
    <w:rsid w:val="DECE6C1C"/>
    <w:rsid w:val="E6FDA778"/>
    <w:rsid w:val="E8D768EA"/>
    <w:rsid w:val="EBFF9F8F"/>
    <w:rsid w:val="EEF73AC9"/>
    <w:rsid w:val="EFFF73A1"/>
    <w:rsid w:val="F2D76A6C"/>
    <w:rsid w:val="F3BF5D90"/>
    <w:rsid w:val="F6FA708A"/>
    <w:rsid w:val="F77E16D4"/>
    <w:rsid w:val="F7FFC391"/>
    <w:rsid w:val="F8FF3CA8"/>
    <w:rsid w:val="F9DED5BE"/>
    <w:rsid w:val="FA7E9876"/>
    <w:rsid w:val="FBFE7E9D"/>
    <w:rsid w:val="FBFF793F"/>
    <w:rsid w:val="FBFF8B78"/>
    <w:rsid w:val="FBFF91C4"/>
    <w:rsid w:val="FC6D14EF"/>
    <w:rsid w:val="FE8D6ED0"/>
    <w:rsid w:val="FF3CC037"/>
    <w:rsid w:val="FF3F3DFC"/>
    <w:rsid w:val="FF75C7D4"/>
    <w:rsid w:val="FF77D390"/>
    <w:rsid w:val="FFD90BF4"/>
    <w:rsid w:val="FFF9F452"/>
    <w:rsid w:val="FFFF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qFormat/>
    <w:uiPriority w:val="0"/>
    <w:pPr>
      <w:spacing w:after="150"/>
      <w:jc w:val="left"/>
    </w:pPr>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rFonts w:ascii="Times New Roman" w:hAnsi="Times New Roman" w:eastAsia="方正仿宋_GBK" w:cs="Times New Roman"/>
      <w:snapToGrid w:val="0"/>
      <w:kern w:val="0"/>
      <w:sz w:val="18"/>
      <w:szCs w:val="18"/>
    </w:rPr>
  </w:style>
  <w:style w:type="character" w:customStyle="1" w:styleId="10">
    <w:name w:val="页脚 Char"/>
    <w:basedOn w:val="8"/>
    <w:link w:val="3"/>
    <w:qFormat/>
    <w:uiPriority w:val="99"/>
    <w:rPr>
      <w:rFonts w:ascii="Times New Roman" w:hAnsi="Times New Roman" w:eastAsia="方正仿宋_GBK" w:cs="Times New Roman"/>
      <w:snapToGrid w:val="0"/>
      <w:kern w:val="0"/>
      <w:sz w:val="18"/>
      <w:szCs w:val="18"/>
    </w:rPr>
  </w:style>
  <w:style w:type="character" w:customStyle="1" w:styleId="11">
    <w:name w:val="批注框文本 Char"/>
    <w:basedOn w:val="8"/>
    <w:link w:val="2"/>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531</Words>
  <Characters>3027</Characters>
  <Lines>25</Lines>
  <Paragraphs>7</Paragraphs>
  <TotalTime>0</TotalTime>
  <ScaleCrop>false</ScaleCrop>
  <LinksUpToDate>false</LinksUpToDate>
  <CharactersWithSpaces>3551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2022-01-04T17:04:00Z</dcterms:created>
  <dc:creator>lb</dc:creator>
  <cp:lastModifiedBy>user</cp:lastModifiedBy>
  <dcterms:modified xsi:type="dcterms:W3CDTF">2022-01-24T14:34:49Z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C3FF37C01A5848BCB4AECDA4A3D891ED</vt:lpwstr>
  </property>
</Properties>
</file>