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imSun" w:hAnsi="SimSun" w:cs="SimSun"/>
          <w:b/>
          <w:sz w:val="52"/>
          <w:szCs w:val="52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52"/>
          <w:szCs w:val="52"/>
        </w:rPr>
      </w:pPr>
    </w:p>
    <w:p>
      <w:pPr>
        <w:jc w:val="center"/>
        <w:rPr>
          <w:rFonts w:ascii="SimSun" w:hAnsi="SimSun" w:cs="SimSun"/>
          <w:b/>
          <w:sz w:val="52"/>
          <w:szCs w:val="52"/>
        </w:rPr>
      </w:pPr>
    </w:p>
    <w:p>
      <w:pPr>
        <w:jc w:val="center"/>
        <w:rPr>
          <w:rFonts w:hint="eastAsia" w:ascii="SimSun" w:hAnsi="SimSun" w:eastAsia="SimSun" w:cs="SimSun"/>
          <w:b/>
          <w:sz w:val="52"/>
          <w:szCs w:val="52"/>
          <w:lang w:eastAsia="zh-CN"/>
        </w:rPr>
      </w:pPr>
      <w:r>
        <w:rPr>
          <w:rFonts w:hint="eastAsia" w:ascii="SimSun" w:hAnsi="SimSun" w:cs="SimSun"/>
          <w:b/>
          <w:sz w:val="52"/>
          <w:szCs w:val="52"/>
          <w:lang w:eastAsia="zh-CN"/>
        </w:rPr>
        <w:t>高青县规划服务中心</w:t>
      </w:r>
    </w:p>
    <w:p>
      <w:pPr>
        <w:jc w:val="center"/>
        <w:rPr>
          <w:rFonts w:ascii="SimSun" w:hAnsi="SimSun" w:cs="SimSun"/>
          <w:b/>
          <w:sz w:val="52"/>
          <w:szCs w:val="52"/>
        </w:rPr>
      </w:pPr>
      <w:r>
        <w:rPr>
          <w:rFonts w:hint="eastAsia" w:ascii="SimSun" w:hAnsi="SimSun" w:cs="SimSun"/>
          <w:b/>
          <w:sz w:val="52"/>
          <w:szCs w:val="52"/>
        </w:rPr>
        <w:t>20</w:t>
      </w:r>
      <w:r>
        <w:rPr>
          <w:rFonts w:hint="eastAsia" w:ascii="SimSun" w:hAnsi="SimSun" w:cs="SimSun"/>
          <w:b/>
          <w:sz w:val="52"/>
          <w:szCs w:val="52"/>
          <w:lang w:val="en-US" w:eastAsia="zh-CN"/>
        </w:rPr>
        <w:t>20</w:t>
      </w:r>
      <w:r>
        <w:rPr>
          <w:rFonts w:hint="eastAsia" w:ascii="SimSun" w:hAnsi="SimSun" w:cs="SimSun"/>
          <w:b/>
          <w:sz w:val="52"/>
          <w:szCs w:val="52"/>
        </w:rPr>
        <w:t>年政府信息公开工作年度报告</w:t>
      </w: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SimSun" w:hAnsi="SimSun" w:cs="SimSun"/>
          <w:b/>
          <w:sz w:val="44"/>
          <w:szCs w:val="44"/>
        </w:rPr>
      </w:pPr>
    </w:p>
    <w:p>
      <w:pPr>
        <w:spacing w:line="560" w:lineRule="exact"/>
        <w:jc w:val="center"/>
        <w:rPr>
          <w:rFonts w:ascii="FangSong_GB2312" w:hAnsi="FangSong" w:eastAsia="FangSong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after="0" w:line="560" w:lineRule="exact"/>
        <w:jc w:val="center"/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高青县规划服务中心</w:t>
      </w:r>
    </w:p>
    <w:p>
      <w:pPr>
        <w:pStyle w:val="4"/>
        <w:widowControl/>
        <w:spacing w:after="0" w:line="560" w:lineRule="exact"/>
        <w:jc w:val="center"/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FangSong_GB2312" w:hAnsi="FangSong" w:eastAsia="FangSong_GB2312" w:cs="FangSong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spacing w:line="560" w:lineRule="exact"/>
        <w:ind w:firstLine="640" w:firstLineChars="200"/>
        <w:rPr>
          <w:rFonts w:hint="eastAsia" w:ascii="FangSong_GB2312" w:hAnsi="FangSong" w:eastAsia="FangSong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FangSong_GB2312" w:eastAsia="FangSong_GB2312"/>
          <w:sz w:val="32"/>
          <w:szCs w:val="32"/>
          <w:lang w:eastAsia="zh-CN"/>
        </w:rPr>
        <w:t>规划服务中心</w:t>
      </w:r>
      <w:r>
        <w:rPr>
          <w:rFonts w:hint="eastAsia" w:ascii="FangSong_GB2312" w:eastAsia="FangSong_GB2312"/>
          <w:sz w:val="32"/>
          <w:szCs w:val="32"/>
        </w:rPr>
        <w:t>办公室综合本单位政府信息公开工作情况编制。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SimHei" w:hAnsi="SimHei" w:eastAsia="SimHei"/>
          <w:kern w:val="22"/>
          <w:sz w:val="32"/>
          <w:szCs w:val="32"/>
        </w:rPr>
      </w:pPr>
      <w:r>
        <w:rPr>
          <w:rFonts w:hint="eastAsia" w:ascii="FangSong_GB2312" w:hAnsi="FangSong" w:eastAsia="FangSong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报告中所列数据统计期限自20</w:t>
      </w:r>
      <w:r>
        <w:rPr>
          <w:rFonts w:hint="eastAsia" w:ascii="FangSong_GB2312" w:hAnsi="FangSong" w:eastAsia="FangSong_GB2312" w:cs="FangSong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FangSong_GB2312" w:hAnsi="FangSong" w:eastAsia="FangSong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年1月1日始，至20</w:t>
      </w:r>
      <w:r>
        <w:rPr>
          <w:rFonts w:hint="eastAsia" w:ascii="FangSong_GB2312" w:hAnsi="FangSong" w:eastAsia="FangSong_GB2312" w:cs="FangSong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FangSong_GB2312" w:hAnsi="FangSong" w:eastAsia="FangSong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年12月31日止。报告电子版可在高青县人民政府门户网站（www.gaoqing.gov.cn）查阅和下载。如对报告内容有疑问，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请与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高青县规划服务中心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办公室联系（地址：高青县城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高苑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路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号；邮编：256300；电话：0533-696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>1238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；传真：0533-696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>1238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）。</w:t>
      </w: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</w:p>
    <w:p/>
    <w:p/>
    <w:p>
      <w:pPr>
        <w:spacing w:line="560" w:lineRule="exact"/>
        <w:ind w:firstLine="640" w:firstLineChars="200"/>
        <w:jc w:val="left"/>
        <w:rPr>
          <w:rFonts w:hint="eastAsia"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SimHei" w:hAnsi="SimHei" w:eastAsia="SimHei"/>
          <w:kern w:val="2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SimHei" w:hAnsi="SimHei" w:eastAsia="SimHei"/>
          <w:kern w:val="22"/>
          <w:sz w:val="32"/>
          <w:szCs w:val="32"/>
        </w:rPr>
      </w:pPr>
      <w:r>
        <w:rPr>
          <w:rFonts w:hint="eastAsia" w:ascii="SimHei" w:hAnsi="SimHei" w:eastAsia="SimHei"/>
          <w:kern w:val="22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FangSong_GB2312"/>
          <w:kern w:val="22"/>
          <w:sz w:val="32"/>
          <w:szCs w:val="32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年，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高青县规划服务中心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深入贯彻新修订的《中华人民共和国政府信息公开条例》，认真落实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国家、省、市、县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KaiTi_GB2312" w:hAnsi="Times New Roman" w:eastAsia="KaiTi_GB2312"/>
          <w:color w:val="FF0000"/>
          <w:kern w:val="22"/>
          <w:sz w:val="32"/>
          <w:szCs w:val="32"/>
        </w:rPr>
      </w:pPr>
      <w:r>
        <w:rPr>
          <w:rFonts w:hint="eastAsia" w:ascii="SimHei" w:hAnsi="SimHei" w:eastAsia="SimHei" w:cs="SimHei"/>
          <w:color w:val="auto"/>
          <w:kern w:val="22"/>
          <w:sz w:val="32"/>
          <w:szCs w:val="32"/>
        </w:rPr>
        <w:t>（一）政府信息公开体制机制建设情况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</w:pPr>
      <w:r>
        <w:rPr>
          <w:rFonts w:hint="eastAsia" w:ascii="FangSong" w:hAnsi="FangSong" w:eastAsia="FangSong" w:cs="FangSong"/>
          <w:b w:val="0"/>
          <w:bCs/>
          <w:kern w:val="22"/>
          <w:sz w:val="32"/>
          <w:szCs w:val="32"/>
          <w:lang w:val="en-US" w:eastAsia="zh-CN"/>
        </w:rPr>
        <w:t>1、进一步明确</w:t>
      </w:r>
      <w:r>
        <w:rPr>
          <w:rFonts w:hint="eastAsia" w:ascii="FangSong" w:hAnsi="FangSong" w:eastAsia="FangSong" w:cs="FangSong"/>
          <w:b w:val="0"/>
          <w:bCs/>
          <w:kern w:val="22"/>
          <w:sz w:val="32"/>
          <w:szCs w:val="32"/>
        </w:rPr>
        <w:t>县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规划服务中心</w:t>
      </w:r>
      <w:r>
        <w:rPr>
          <w:rFonts w:hint="eastAsia" w:ascii="FangSong_GB2312" w:eastAsia="FangSong_GB2312"/>
          <w:sz w:val="32"/>
          <w:szCs w:val="32"/>
        </w:rPr>
        <w:t>政务公开工作</w:t>
      </w:r>
      <w:r>
        <w:rPr>
          <w:rFonts w:hint="eastAsia" w:ascii="FangSong_GB2312" w:eastAsia="FangSong_GB2312"/>
          <w:sz w:val="32"/>
          <w:szCs w:val="32"/>
          <w:lang w:eastAsia="zh-CN"/>
        </w:rPr>
        <w:t>分管负责人，由中心</w:t>
      </w:r>
      <w:r>
        <w:rPr>
          <w:rFonts w:hint="eastAsia" w:ascii="FangSong_GB2312" w:eastAsia="FangSong_GB2312"/>
          <w:sz w:val="32"/>
          <w:szCs w:val="32"/>
        </w:rPr>
        <w:t>政府信息公开工作办公室作为政务公开工作主管科室</w:t>
      </w:r>
      <w:r>
        <w:rPr>
          <w:rFonts w:hint="eastAsia" w:ascii="FangSong_GB2312" w:eastAsia="FangSong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工程服务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科作为政府信息公开工作具体科室，2人负责政务公开工作，其中1人专职，1人兼职。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FangSong_GB2312" w:eastAsia="FangSong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单位平时通过在高青县人民政府门户网站、高青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县自然资源局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微信公众号等平台发布重要文件和活动等形式开展信息公开工作，由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韩坤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分管信息公开，由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组织人事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科具体负责，其中共有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两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名工作人员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。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（二）主动公开政府信息情况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FangSong_GB2312" w:eastAsia="FangSong_GB2312"/>
          <w:sz w:val="32"/>
          <w:szCs w:val="32"/>
          <w:lang w:eastAsia="zh-CN"/>
        </w:rPr>
      </w:pPr>
      <w:r>
        <w:rPr>
          <w:rFonts w:hint="eastAsia" w:ascii="FangSong_GB2312" w:eastAsia="FangSong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人大代表建议和政协委员</w:t>
      </w:r>
      <w:r>
        <w:rPr>
          <w:rFonts w:hint="eastAsia" w:ascii="FangSong_GB2312" w:eastAsia="FangSong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提案办理结果公开方面</w:t>
      </w:r>
      <w:r>
        <w:rPr>
          <w:rFonts w:hint="eastAsia" w:ascii="FangSong_GB2312" w:eastAsia="FangSong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2020年高青县规划服务中心收到0件代表建议。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（三）依申请公开情况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KaiTi_GB2312" w:hAnsi="Times New Roman" w:eastAsia="KaiTi_GB2312"/>
          <w:kern w:val="22"/>
          <w:sz w:val="32"/>
          <w:szCs w:val="32"/>
        </w:rPr>
      </w:pPr>
      <w:r>
        <w:rPr>
          <w:rFonts w:hint="eastAsia" w:ascii="FangSong_GB2312" w:hAnsi="FangSong" w:eastAsia="FangSong_GB2312" w:cs="FangSong_GB2312"/>
          <w:sz w:val="32"/>
          <w:szCs w:val="32"/>
        </w:rPr>
        <w:t>依法依法做好申请答复。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FangSong_GB2312" w:hAnsi="FangSong" w:eastAsia="FangSong_GB2312" w:cs="FangSong_GB2312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FangSong_GB2312" w:hAnsi="FangSong" w:eastAsia="FangSong_GB2312" w:cs="FangSong_GB2312"/>
          <w:sz w:val="32"/>
          <w:szCs w:val="32"/>
        </w:rPr>
        <w:t>行政</w:t>
      </w:r>
      <w:r>
        <w:rPr>
          <w:rFonts w:ascii="FangSong_GB2312" w:hAnsi="FangSong" w:eastAsia="FangSong_GB2312" w:cs="FangSong_GB2312"/>
          <w:sz w:val="32"/>
          <w:szCs w:val="32"/>
        </w:rPr>
        <w:t>诉讼</w:t>
      </w:r>
      <w:r>
        <w:rPr>
          <w:rFonts w:hint="eastAsia" w:ascii="FangSong_GB2312" w:hAnsi="FangSong" w:eastAsia="FangSong_GB2312" w:cs="FangSong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KaiTi" w:hAnsi="KaiTi" w:eastAsia="KaiTi" w:cs="KaiTi"/>
          <w:b w:val="0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KaiTi" w:hAnsi="KaiTi" w:eastAsia="KaiTi" w:cs="KaiTi"/>
          <w:b w:val="0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1.收到和处理政府信息公开申请情况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年，共收到政府信息公开申请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件，201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年度结转政府信息公开申请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KaiTi" w:hAnsi="KaiTi" w:eastAsia="KaiTi" w:cs="KaiTi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KaiTi" w:hAnsi="KaiTi" w:eastAsia="KaiTi" w:cs="KaiTi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2.收费及减免情况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FangSong_GB2312"/>
          <w:kern w:val="22"/>
          <w:sz w:val="32"/>
          <w:szCs w:val="32"/>
          <w:highlight w:val="none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本年度，全县各级各部门在政府信息公开申请办理过程中，未收取任何费用。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KaiTi" w:hAnsi="KaiTi" w:eastAsia="KaiTi" w:cs="KaiTi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KaiTi" w:hAnsi="KaiTi" w:eastAsia="KaiTi" w:cs="KaiTi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3.政府信息公开行政复议、行政诉讼情况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无行政复议件，共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发生政府信息公开行政诉讼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</w:rPr>
        <w:t>件，其中：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尚未审结数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val="en-US" w:eastAsia="zh-CN"/>
        </w:rPr>
        <w:t>0件，其他结果数0件</w:t>
      </w:r>
      <w:r>
        <w:rPr>
          <w:rFonts w:hint="eastAsia" w:ascii="Times New Roman" w:hAnsi="Times New Roman" w:eastAsia="FangSong_GB2312"/>
          <w:kern w:val="2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（四）政府信息管理情况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FangSong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</w:rPr>
        <w:t>加强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政务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信息规范管理，及时清理废止、失效的政府信息。</w:t>
      </w:r>
      <w:r>
        <w:rPr>
          <w:rFonts w:hint="eastAsia" w:ascii="FangSong_GB2312" w:eastAsia="FangSong_GB2312"/>
          <w:sz w:val="32"/>
          <w:szCs w:val="32"/>
        </w:rPr>
        <w:t>加强公文公开属性管理，文件拟稿纸设有公开属性栏目，文件起草审核过程中同步确定其公开属性，规范发布程序和渠道</w:t>
      </w:r>
      <w:r>
        <w:rPr>
          <w:rFonts w:hint="eastAsia" w:ascii="FangSong_GB2312" w:eastAsia="FangSong_GB2312"/>
          <w:sz w:val="32"/>
          <w:szCs w:val="32"/>
          <w:lang w:eastAsia="zh-CN"/>
        </w:rPr>
        <w:t>，及时公开主动公开的公文。</w:t>
      </w:r>
    </w:p>
    <w:p>
      <w:pPr>
        <w:spacing w:line="240" w:lineRule="auto"/>
        <w:jc w:val="center"/>
        <w:rPr>
          <w:rFonts w:hint="eastAsia" w:ascii="Times New Roman" w:hAnsi="Times New Roman" w:eastAsia="FangSong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FangSong_GB2312" w:cs="Times New Roman"/>
          <w:color w:val="000000"/>
          <w:sz w:val="32"/>
          <w:szCs w:val="32"/>
          <w:lang w:eastAsia="zh-CN"/>
        </w:rPr>
        <w:drawing>
          <wp:inline distT="0" distB="0" distL="114300" distR="114300">
            <wp:extent cx="4326255" cy="4027805"/>
            <wp:effectExtent l="0" t="0" r="17145" b="10795"/>
            <wp:docPr id="15" name="图片 15" descr="政府信息管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政府信息管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SimHei" w:hAnsi="SimHei" w:eastAsia="SimHei" w:cs="SimHei"/>
          <w:kern w:val="22"/>
          <w:sz w:val="32"/>
          <w:szCs w:val="32"/>
          <w:lang w:eastAsia="zh-CN"/>
        </w:rPr>
      </w:pPr>
      <w:r>
        <w:rPr>
          <w:rFonts w:hint="eastAsia" w:ascii="SimHei" w:hAnsi="SimHei" w:eastAsia="SimHei" w:cs="SimHei"/>
          <w:kern w:val="22"/>
          <w:sz w:val="32"/>
          <w:szCs w:val="32"/>
          <w:lang w:eastAsia="zh-CN"/>
        </w:rPr>
        <w:t>（五）政府信息公开平台建设情况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加强平台建设，拓展公开渠道。充分发挥政府网站作为政务公开第一平台作用，按时维护更新政府信息公开目录、</w:t>
      </w:r>
      <w:r>
        <w:rPr>
          <w:rFonts w:hint="eastAsia" w:ascii="FangSong_GB2312" w:eastAsia="FangSong_GB2312"/>
          <w:sz w:val="32"/>
          <w:szCs w:val="32"/>
          <w:lang w:eastAsia="zh-CN"/>
        </w:rPr>
        <w:t>法定主动公开内容、</w:t>
      </w:r>
      <w:r>
        <w:rPr>
          <w:rFonts w:hint="eastAsia" w:ascii="FangSong_GB2312" w:eastAsia="FangSong_GB2312"/>
          <w:sz w:val="32"/>
          <w:szCs w:val="32"/>
        </w:rPr>
        <w:t>政府信息依申请公开等栏目。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sz w:val="32"/>
          <w:szCs w:val="32"/>
          <w:lang w:eastAsia="zh-CN"/>
        </w:rPr>
        <w:t>发挥政务新媒体优势，扎实推进政务公开工作。利用新媒体及时发布率高、原创作品多、传播速度快的优势，两个平台相互协调、共同发力，焕发出强大的传播力、引导力、影响力及公信力。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FangSong_GB2312" w:eastAsia="FangSong_GB2312"/>
          <w:sz w:val="32"/>
          <w:szCs w:val="32"/>
          <w:lang w:val="en-US" w:eastAsia="zh-CN"/>
        </w:rPr>
      </w:pPr>
      <w:r>
        <w:rPr>
          <w:rFonts w:hint="default" w:ascii="FangSong_GB2312" w:eastAsia="FangSong_GB2312"/>
          <w:sz w:val="32"/>
          <w:szCs w:val="32"/>
          <w:lang w:val="en-US" w:eastAsia="zh-CN"/>
        </w:rPr>
        <w:drawing>
          <wp:inline distT="0" distB="0" distL="114300" distR="114300">
            <wp:extent cx="3077845" cy="3295015"/>
            <wp:effectExtent l="0" t="0" r="8255" b="635"/>
            <wp:docPr id="17" name="图片 17" descr="新媒体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新媒体素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784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FangSong_GB2312" w:eastAsia="FangSong_GB2312"/>
          <w:sz w:val="32"/>
          <w:szCs w:val="32"/>
          <w:lang w:val="en-US" w:eastAsia="zh-CN"/>
        </w:rPr>
        <w:drawing>
          <wp:inline distT="0" distB="0" distL="114300" distR="114300">
            <wp:extent cx="2098675" cy="3273425"/>
            <wp:effectExtent l="0" t="0" r="15875" b="3175"/>
            <wp:docPr id="16" name="图片 16" descr="新媒体素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新媒体素材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SimHei"/>
          <w:color w:val="000000" w:themeColor="text1"/>
          <w:kern w:val="22"/>
          <w:sz w:val="32"/>
          <w:szCs w:val="32"/>
          <w14:textFill>
            <w14:solidFill>
              <w14:schemeClr w14:val="tx1"/>
            </w14:solidFill>
          </w14:textFill>
        </w:rPr>
        <w:t>（六）监督保障情况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</w:rPr>
      </w:pPr>
      <w:r>
        <w:rPr>
          <w:rFonts w:hint="eastAsia" w:ascii="Times New Roman" w:hAnsi="Times New Roman" w:eastAsia="FangSong_GB2312"/>
          <w:b w:val="0"/>
          <w:bCs/>
          <w:kern w:val="22"/>
          <w:sz w:val="32"/>
          <w:szCs w:val="32"/>
        </w:rPr>
        <w:t>一是加强工作考核。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年，政务公开工作纳入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本单位年度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综合考核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明确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各科室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公开任务，落实具体责任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人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。</w:t>
      </w:r>
      <w:r>
        <w:rPr>
          <w:rFonts w:hint="eastAsia" w:ascii="Times New Roman" w:hAnsi="Times New Roman" w:eastAsia="FangSong_GB2312"/>
          <w:b w:val="0"/>
          <w:bCs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积极参加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政府信息公开培训，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并组织两次培训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对新修订的《中华人民共和国政府信息公开条例》以及省市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政务公开方案进行系统</w:t>
      </w: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t>学习</w:t>
      </w:r>
      <w:r>
        <w:rPr>
          <w:rFonts w:hint="eastAsia" w:ascii="Times New Roman" w:hAnsi="Times New Roman" w:eastAsia="FangSong_GB2312"/>
          <w:kern w:val="22"/>
          <w:sz w:val="32"/>
          <w:szCs w:val="32"/>
        </w:rPr>
        <w:t>，进一步提高了政务公开工作人员的业务能力。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FangSong_GB2312"/>
          <w:kern w:val="2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/>
          <w:kern w:val="22"/>
          <w:sz w:val="32"/>
          <w:szCs w:val="32"/>
          <w:lang w:eastAsia="zh-CN"/>
        </w:rPr>
        <w:drawing>
          <wp:inline distT="0" distB="0" distL="114300" distR="114300">
            <wp:extent cx="2546985" cy="1686560"/>
            <wp:effectExtent l="0" t="0" r="5715" b="8890"/>
            <wp:docPr id="19" name="图片 19" descr="DSC_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SC_27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FangSong_GB2312"/>
          <w:kern w:val="2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FangSong_GB2312"/>
          <w:kern w:val="22"/>
          <w:sz w:val="32"/>
          <w:szCs w:val="32"/>
          <w:lang w:val="en-US" w:eastAsia="zh-CN"/>
        </w:rPr>
        <w:drawing>
          <wp:inline distT="0" distB="0" distL="114300" distR="114300">
            <wp:extent cx="2567940" cy="1701165"/>
            <wp:effectExtent l="0" t="0" r="3810" b="13335"/>
            <wp:docPr id="20" name="图片 20" descr="DSC_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SC_40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SimHei" w:hAnsi="SimHei" w:eastAsia="SimHei" w:cs="FangSong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SimHei" w:hAnsi="SimHei" w:eastAsia="SimHei"/>
          <w:b w:val="0"/>
          <w:bCs w:val="0"/>
          <w:sz w:val="32"/>
          <w:szCs w:val="32"/>
        </w:rPr>
      </w:pPr>
      <w:r>
        <w:rPr>
          <w:rFonts w:hint="eastAsia" w:ascii="SimHei" w:hAnsi="SimHei" w:eastAsia="SimHei" w:cs="FangSong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SimHei" w:hAnsi="SimHei" w:eastAsia="SimHei"/>
          <w:b w:val="0"/>
          <w:bCs w:val="0"/>
          <w:sz w:val="32"/>
          <w:szCs w:val="32"/>
        </w:rPr>
        <w:t>主动公开政府信息情况</w:t>
      </w:r>
    </w:p>
    <w:tbl>
      <w:tblPr>
        <w:tblStyle w:val="6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本年新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对外公开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Calibri" w:hAnsi="Calibri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Calibri" w:hAnsi="Calibri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Calibri" w:hAnsi="Calibri" w:eastAsia="SimSu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eastAsia="SimSu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21"/>
          <w:szCs w:val="21"/>
        </w:rPr>
      </w:pPr>
    </w:p>
    <w:p>
      <w:pPr>
        <w:pStyle w:val="4"/>
        <w:widowControl/>
        <w:spacing w:after="0"/>
        <w:ind w:firstLine="640" w:firstLineChars="200"/>
        <w:jc w:val="both"/>
        <w:rPr>
          <w:rFonts w:ascii="FangSong_GB2312" w:hAnsi="FangSong" w:eastAsia="FangSong_GB2312" w:cs="FangSong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SimHei" w:hAnsi="SimHei" w:eastAsia="SimHei" w:cs="FangSong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SimHei" w:hAnsi="SimHei" w:eastAsia="SimHei"/>
          <w:b w:val="0"/>
          <w:bCs w:val="0"/>
          <w:sz w:val="32"/>
          <w:szCs w:val="32"/>
        </w:rPr>
        <w:t>收到和处理政府信息公开申请情况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854"/>
        <w:gridCol w:w="2749"/>
        <w:gridCol w:w="754"/>
        <w:gridCol w:w="638"/>
        <w:gridCol w:w="683"/>
        <w:gridCol w:w="737"/>
        <w:gridCol w:w="783"/>
        <w:gridCol w:w="551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842" w:type="dxa"/>
            <w:gridSpan w:val="7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  <w:jc w:val="center"/>
        </w:trPr>
        <w:tc>
          <w:tcPr>
            <w:tcW w:w="42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7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自然人</w:t>
            </w:r>
          </w:p>
        </w:tc>
        <w:tc>
          <w:tcPr>
            <w:tcW w:w="33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exact"/>
          <w:jc w:val="center"/>
        </w:trPr>
        <w:tc>
          <w:tcPr>
            <w:tcW w:w="42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企业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科研机构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社会公益组织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法律服务机构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三、本年度办理结果</w:t>
            </w: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（一）予以公开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（三）不予公开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1.属于国家秘密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2.其他法律行政法规禁止公开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3.危及“三安全一稳定”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4.保护第三方合法权益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5.属于三类内部事务信息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6.属于四类过程性信息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7.属于行政执法案卷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8.属于行政查询事项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（四）无法提供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1.本机关不掌握相关政府信息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2.没有现成信息需要另行制作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3.补正后申请内容仍不明确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（五）不予处理</w:t>
            </w: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1.信访举报投诉类申请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2.重复申请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3.要求提供公开出版物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4.无正当理由大量反复申请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274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（六）其他处理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FangSong_GB2312" w:eastAsia="FangSong_GB2312"/>
                <w:sz w:val="21"/>
                <w:szCs w:val="21"/>
              </w:rPr>
            </w:pPr>
          </w:p>
        </w:tc>
        <w:tc>
          <w:tcPr>
            <w:tcW w:w="36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（七）总计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4233" w:type="dxa"/>
            <w:gridSpan w:val="3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1"/>
                <w:szCs w:val="21"/>
              </w:rPr>
            </w:pPr>
            <w:r>
              <w:rPr>
                <w:rFonts w:hint="eastAsia" w:ascii="FangSong_GB2312" w:eastAsia="FangSong_GB2312"/>
                <w:sz w:val="21"/>
                <w:szCs w:val="21"/>
              </w:rPr>
              <w:t>四、结转下年度继续办理</w:t>
            </w:r>
          </w:p>
        </w:tc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hAnsi="Calibri" w:eastAsia="FangSong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eastAsia="FangSong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after="0"/>
        <w:ind w:firstLine="640" w:firstLineChars="200"/>
        <w:rPr>
          <w:rFonts w:hint="eastAsia" w:ascii="SimHei" w:hAnsi="SimHei" w:eastAsia="SimHei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after="0"/>
        <w:ind w:firstLine="640" w:firstLineChars="200"/>
        <w:rPr>
          <w:rFonts w:hint="eastAsia" w:ascii="SimHei" w:hAnsi="SimHei" w:eastAsia="SimHei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pacing w:after="0"/>
        <w:ind w:firstLine="640" w:firstLineChars="200"/>
        <w:rPr>
          <w:rFonts w:hint="eastAsia" w:ascii="SimHei" w:hAnsi="SimHei" w:eastAsia="SimHei"/>
          <w:sz w:val="32"/>
          <w:szCs w:val="32"/>
        </w:rPr>
      </w:pPr>
      <w:r>
        <w:rPr>
          <w:rFonts w:hint="eastAsia" w:ascii="SimHei" w:hAnsi="SimHei" w:eastAsia="SimHei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SimHei" w:hAnsi="SimHei" w:eastAsia="SimHei"/>
          <w:sz w:val="32"/>
          <w:szCs w:val="32"/>
        </w:rPr>
        <w:t>政府信息公开行政复议、行政诉讼情况</w:t>
      </w:r>
    </w:p>
    <w:tbl>
      <w:tblPr>
        <w:tblStyle w:val="5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45"/>
        <w:gridCol w:w="58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30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总计</w:t>
            </w:r>
          </w:p>
        </w:tc>
        <w:tc>
          <w:tcPr>
            <w:tcW w:w="300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0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FangSong_GB2312" w:eastAsia="FangSong_GB231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结果纠正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尚未审结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eastAsia="FangSong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after="0" w:line="560" w:lineRule="exact"/>
        <w:ind w:firstLine="640" w:firstLineChars="200"/>
        <w:jc w:val="both"/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SimHei" w:hAnsi="SimHei" w:eastAsia="SimHei"/>
          <w:sz w:val="32"/>
          <w:szCs w:val="32"/>
        </w:rPr>
        <w:t>存在的主要问题及改进情况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ascii="KaiTi_GB2312" w:hAnsi="SimHei" w:eastAsia="KaiTi_GB2312" w:cs="FangSong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KaiTi_GB2312" w:hAnsi="SimHei" w:eastAsia="KaiTi_GB2312"/>
          <w:sz w:val="32"/>
          <w:szCs w:val="32"/>
        </w:rPr>
        <w:t>（一）存在问题</w:t>
      </w:r>
    </w:p>
    <w:p>
      <w:pPr>
        <w:pStyle w:val="4"/>
        <w:widowControl/>
        <w:spacing w:after="0" w:line="560" w:lineRule="exact"/>
        <w:ind w:firstLine="640" w:firstLineChars="200"/>
        <w:jc w:val="both"/>
        <w:rPr>
          <w:rFonts w:hint="eastAsia" w:ascii="FangSong" w:hAnsi="FangSong" w:eastAsia="FangSong" w:cs="FangSong"/>
          <w:sz w:val="32"/>
          <w:szCs w:val="32"/>
          <w:lang w:eastAsia="zh-CN"/>
        </w:rPr>
      </w:pPr>
      <w:r>
        <w:rPr>
          <w:rFonts w:hint="eastAsia" w:ascii="FangSong" w:hAnsi="FangSong" w:eastAsia="FangSong" w:cs="FangSong"/>
          <w:sz w:val="32"/>
          <w:szCs w:val="32"/>
        </w:rPr>
        <w:t>20</w:t>
      </w: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20</w:t>
      </w:r>
      <w:r>
        <w:rPr>
          <w:rFonts w:hint="eastAsia" w:ascii="FangSong" w:hAnsi="FangSong" w:eastAsia="FangSong" w:cs="FangSong"/>
          <w:sz w:val="32"/>
          <w:szCs w:val="32"/>
        </w:rPr>
        <w:t>年，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规划服务中心</w:t>
      </w:r>
      <w:r>
        <w:rPr>
          <w:rFonts w:hint="eastAsia" w:ascii="FangSong" w:hAnsi="FangSong" w:eastAsia="FangSong" w:cs="FangSong"/>
          <w:sz w:val="32"/>
          <w:szCs w:val="32"/>
        </w:rPr>
        <w:t>政府信息公开工作虽然取得了一定的成效，但</w:t>
      </w: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信息公开的内容有待进一步完善，主动公开范围需要进一步放宽。</w:t>
      </w:r>
      <w:r>
        <w:rPr>
          <w:rFonts w:hint="eastAsia" w:ascii="FangSong" w:hAnsi="FangSong" w:eastAsia="FangSong" w:cs="FangSong"/>
          <w:sz w:val="32"/>
          <w:szCs w:val="32"/>
          <w:lang w:eastAsia="zh-CN"/>
        </w:rPr>
        <w:t>二是涉及社会热点、群众关切的信息公开较少。在对待互动交流平台的问题上，仅满足于按时回复网民所提出问题，没有形成通过问题发现社会热点和群众关切的意识。</w:t>
      </w:r>
    </w:p>
    <w:p>
      <w:pPr>
        <w:pStyle w:val="4"/>
        <w:widowControl/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hint="eastAsia" w:ascii="KaiTi_GB2312" w:hAnsi="SimHei" w:eastAsia="KaiTi_GB2312"/>
          <w:sz w:val="32"/>
          <w:szCs w:val="32"/>
        </w:rPr>
      </w:pPr>
      <w:r>
        <w:rPr>
          <w:rFonts w:hint="eastAsia" w:ascii="KaiTi_GB2312" w:hAnsi="SimHei" w:eastAsia="KaiTi_GB2312"/>
          <w:sz w:val="32"/>
          <w:szCs w:val="32"/>
        </w:rPr>
        <w:t>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1.</w:t>
      </w:r>
      <w:r>
        <w:rPr>
          <w:rFonts w:hint="eastAsia" w:ascii="FangSong" w:hAnsi="FangSong" w:eastAsia="FangSong" w:cs="FangSong"/>
          <w:sz w:val="32"/>
          <w:szCs w:val="32"/>
        </w:rPr>
        <w:t>一是加强政务公开内容核查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按照政务公开工作要点要求，进一步扩展政务公开内容，不断提升政务公开质量与实效，及时更新公开信息，确保政府公开工作能有效运作，保证公众便利查询。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.二是推进政府门户网站与政务新媒体建设相结合。进一步归纳整理政府信息对原有政府信息公开目录进行补充完善，保证公开信息的完整性和准确性。着力提升信息发布、解读回应、政民互动、办事服务的整体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3.与时俱进，确保信息公开及时有效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我单位将虚心接受公众建议，不断升级完善信息公开的反馈渠道，确保信息公开的时效性。</w:t>
      </w:r>
    </w:p>
    <w:p>
      <w:pPr>
        <w:spacing w:line="560" w:lineRule="exact"/>
        <w:ind w:firstLine="640" w:firstLineChars="200"/>
        <w:jc w:val="left"/>
        <w:outlineLvl w:val="0"/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FangSong_GB2312"/>
          <w:kern w:val="22"/>
          <w:sz w:val="32"/>
          <w:szCs w:val="32"/>
        </w:rPr>
      </w:pPr>
    </w:p>
    <w:p>
      <w:pPr>
        <w:pStyle w:val="4"/>
        <w:widowControl/>
        <w:spacing w:after="0" w:line="560" w:lineRule="exact"/>
        <w:jc w:val="right"/>
        <w:rPr>
          <w:rFonts w:hint="default" w:ascii="FangSong" w:hAnsi="FangSong" w:eastAsia="FangSong" w:cs="FangSong"/>
          <w:kern w:val="22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kern w:val="22"/>
          <w:sz w:val="32"/>
          <w:szCs w:val="32"/>
          <w:lang w:val="en-US" w:eastAsia="zh-CN"/>
        </w:rPr>
        <w:t>2021年1月28日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KaiTi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SimSun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SimSun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01CEF"/>
    <w:multiLevelType w:val="singleLevel"/>
    <w:tmpl w:val="96801C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92396"/>
    <w:rsid w:val="04460D8E"/>
    <w:rsid w:val="06C9124C"/>
    <w:rsid w:val="080E7D9B"/>
    <w:rsid w:val="09532691"/>
    <w:rsid w:val="0C454D84"/>
    <w:rsid w:val="10387679"/>
    <w:rsid w:val="12ED78DC"/>
    <w:rsid w:val="13FB50E5"/>
    <w:rsid w:val="14FB0F5A"/>
    <w:rsid w:val="17586CD3"/>
    <w:rsid w:val="190C69B9"/>
    <w:rsid w:val="1A965FE1"/>
    <w:rsid w:val="1B0C197B"/>
    <w:rsid w:val="1C05593C"/>
    <w:rsid w:val="1E33296A"/>
    <w:rsid w:val="1F157F3F"/>
    <w:rsid w:val="26184D22"/>
    <w:rsid w:val="26A91CE2"/>
    <w:rsid w:val="279729A6"/>
    <w:rsid w:val="29475247"/>
    <w:rsid w:val="2C25269C"/>
    <w:rsid w:val="2EB77CCD"/>
    <w:rsid w:val="2EB9265A"/>
    <w:rsid w:val="2EC07987"/>
    <w:rsid w:val="324155BB"/>
    <w:rsid w:val="343D1301"/>
    <w:rsid w:val="357775D4"/>
    <w:rsid w:val="366739C1"/>
    <w:rsid w:val="390B49BC"/>
    <w:rsid w:val="3A222761"/>
    <w:rsid w:val="3E272702"/>
    <w:rsid w:val="41F44970"/>
    <w:rsid w:val="44072D22"/>
    <w:rsid w:val="462E3716"/>
    <w:rsid w:val="49C734B4"/>
    <w:rsid w:val="4F497B9B"/>
    <w:rsid w:val="4FBE21EE"/>
    <w:rsid w:val="54CF779E"/>
    <w:rsid w:val="5ABA6B54"/>
    <w:rsid w:val="5E8C4278"/>
    <w:rsid w:val="5F943CCB"/>
    <w:rsid w:val="5FEA6315"/>
    <w:rsid w:val="60464C39"/>
    <w:rsid w:val="60CA01F7"/>
    <w:rsid w:val="61FB11CF"/>
    <w:rsid w:val="62C82B57"/>
    <w:rsid w:val="64C25A87"/>
    <w:rsid w:val="678C221D"/>
    <w:rsid w:val="68DB48A8"/>
    <w:rsid w:val="6A11492E"/>
    <w:rsid w:val="6A225A70"/>
    <w:rsid w:val="6CFF6C6F"/>
    <w:rsid w:val="6D890090"/>
    <w:rsid w:val="6DA51A4E"/>
    <w:rsid w:val="6E6D534A"/>
    <w:rsid w:val="6F5940D2"/>
    <w:rsid w:val="70292396"/>
    <w:rsid w:val="711451E5"/>
    <w:rsid w:val="72B03F1C"/>
    <w:rsid w:val="745073DC"/>
    <w:rsid w:val="74E71186"/>
    <w:rsid w:val="75E50374"/>
    <w:rsid w:val="765D227A"/>
    <w:rsid w:val="77681EAB"/>
    <w:rsid w:val="78AB1860"/>
    <w:rsid w:val="7D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2020-06-22T02:05:00Z</dcterms:created>
  <dc:creator>♂娃娃♀</dc:creator>
  <cp:lastModifiedBy>高浩亮</cp:lastModifiedBy>
  <dcterms:modified xsi:type="dcterms:W3CDTF">2021-01-28T02:36:26Z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