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方正小标宋简体" w:cs="Times New Roman"/>
          <w:color w:val="FF0000"/>
          <w:spacing w:val="-20"/>
          <w:w w:val="70"/>
          <w:sz w:val="110"/>
          <w:szCs w:val="110"/>
          <w:lang w:val="en-US" w:eastAsia="zh-CN"/>
        </w:rPr>
      </w:pPr>
      <w:r>
        <w:rPr>
          <w:rFonts w:hint="default" w:ascii="Times New Roman" w:hAnsi="Times New Roman" w:eastAsia="方正小标宋简体" w:cs="Times New Roman"/>
          <w:color w:val="FF0000"/>
          <w:spacing w:val="-20"/>
          <w:w w:val="70"/>
          <w:sz w:val="110"/>
          <w:szCs w:val="110"/>
          <w:lang w:val="en-US" w:eastAsia="zh-CN"/>
        </w:rPr>
        <w:t>高青县工业和信息化局文件</w:t>
      </w:r>
    </w:p>
    <w:p>
      <w:pPr>
        <w:rPr>
          <w:rFonts w:hint="default" w:ascii="Times New Roman"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高工信字〔2023〕1号</w:t>
      </w:r>
    </w:p>
    <w:p>
      <w:pPr>
        <w:pStyle w:val="2"/>
        <w:keepNext/>
        <w:keepLines/>
        <w:pageBreakBefore w:val="0"/>
        <w:widowControl w:val="0"/>
        <w:kinsoku/>
        <w:wordWrap/>
        <w:overflowPunct/>
        <w:topLinePunct w:val="0"/>
        <w:autoSpaceDE/>
        <w:autoSpaceDN/>
        <w:bidi w:val="0"/>
        <w:adjustRightInd/>
        <w:snapToGrid/>
        <w:spacing w:before="0" w:after="0" w:line="900" w:lineRule="exact"/>
        <w:jc w:val="both"/>
        <w:textAlignment w:val="auto"/>
        <w:rPr>
          <w:rFonts w:hint="eastAsia"/>
          <w:lang w:eastAsia="zh-CN"/>
        </w:rPr>
      </w:pPr>
      <w:r>
        <w:rPr>
          <w:rFonts w:hint="default" w:ascii="Times New Roman" w:hAnsi="Times New Roman" w:cs="Times New Roman"/>
          <w:sz w:val="4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116205</wp:posOffset>
                </wp:positionV>
                <wp:extent cx="5760085" cy="0"/>
                <wp:effectExtent l="0" t="10795" r="12065" b="17780"/>
                <wp:wrapNone/>
                <wp:docPr id="2" name="直接连接符 2"/>
                <wp:cNvGraphicFramePr/>
                <a:graphic xmlns:a="http://schemas.openxmlformats.org/drawingml/2006/main">
                  <a:graphicData uri="http://schemas.microsoft.com/office/word/2010/wordprocessingShape">
                    <wps:wsp>
                      <wps:cNvCnPr/>
                      <wps:spPr>
                        <a:xfrm>
                          <a:off x="866140" y="3825875"/>
                          <a:ext cx="5760085" cy="0"/>
                        </a:xfrm>
                        <a:prstGeom prst="line">
                          <a:avLst/>
                        </a:prstGeom>
                        <a:noFill/>
                        <a:ln w="22225" cap="flat" cmpd="sng" algn="ctr">
                          <a:solidFill>
                            <a:srgbClr val="FF0000"/>
                          </a:solidFill>
                          <a:prstDash val="solid"/>
                        </a:ln>
                        <a:effectLst/>
                      </wps:spPr>
                      <wps:bodyPr/>
                    </wps:wsp>
                  </a:graphicData>
                </a:graphic>
              </wp:anchor>
            </w:drawing>
          </mc:Choice>
          <mc:Fallback>
            <w:pict>
              <v:line id="_x0000_s1026" o:spid="_x0000_s1026" o:spt="20" style="position:absolute;left:0pt;margin-left:-8.5pt;margin-top:9.15pt;height:0pt;width:453.55pt;z-index:251659264;mso-width-relative:page;mso-height-relative:page;" filled="f" stroked="t" coordsize="21600,21600" o:gfxdata="UEsDBAoAAAAAAIdO4kAAAAAAAAAAAAAAAAAEAAAAZHJzL1BLAwQUAAAACACHTuJAOqh3ZtcAAAAJ&#10;AQAADwAAAGRycy9kb3ducmV2LnhtbE2PzU7DMBCE70i8g7VI3Fo7ILUhxOkBCSR+pRQewImXJKq9&#10;DrGbFp6eRRzguDOjb2fKzdE7MeMUh0AasqUCgdQGO1Cn4e31dpGDiMmQNS4QavjECJvq9KQ0hQ0H&#10;qnHepk4whGJhNPQpjYWUse3Rm7gMIxJ772HyJvE5ddJO5sBw7+SFUivpzUD8oTcj3vTY7rZ7z5R5&#10;vXt6fP6qPx6GcF/frV6azqHW52eZugaR8Jj+wvBTn6tDxZ2asCcbhdOwyNa8JbGRX4LgQH6lMhDN&#10;ryCrUv5fUH0DUEsDBBQAAAAIAIdO4kCiSGKu6wEAALQDAAAOAAAAZHJzL2Uyb0RvYy54bWytU82O&#10;0zAQviPxDpbvNGmh3ShquoetygVBJeABXMdOLPlPHm/TvgQvgMQNThy58zYsj8HYCfvHZQ/44Mx4&#10;Jt/M93m8vjwZTY4igHK2ofNZSYmw3LXKdg39+GH3oqIEIrMt086Khp4F0MvN82frwddi4XqnWxEI&#10;glioB9/QPkZfFwXwXhgGM+eFxaB0wbCIbuiKNrAB0Y0uFmW5KgYXWh8cFwB4uh2DdEIMTwF0Uiou&#10;to5fG2HjiBqEZhEpQa880E3uVkrB4zspQUSiG4pMY96xCNqHtBebNau7wHyv+NQCe0oLjzgZpiwW&#10;vYXassjIdVD/QBnFgwMn44w7U4xEsiLIYl4+0uZ9z7zIXFBq8Leiw/+D5W+P+0BU29AFJZYZvPCb&#10;zz9+ffr6++cX3G++fyOLJNLgocbcK7sPkwd+HxLjkwwmfZELOTW0Wq3mr1Ddc0NfVotldbEcNRan&#10;SDjGlxersqyWlHDMyPoXdxg+QHwtnCHJaKhWNtFnNTu+gYh1MfVvSjq2bqe0zleoLRmQA64EzXAu&#10;Jc4DmsYjN7AdJUx3OPA8hgwJTqs2/Z6AIHSHKx3IkeGY7HYlrtQ1lnuQlmpvGfRjXg5NadomGJEH&#10;bmo1KTZqlKyDa89ZuiJ5eJkZfRq8NC33fbTvP7bN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o&#10;d2bXAAAACQEAAA8AAAAAAAAAAQAgAAAAIgAAAGRycy9kb3ducmV2LnhtbFBLAQIUABQAAAAIAIdO&#10;4kCiSGKu6wEAALQDAAAOAAAAAAAAAAEAIAAAACYBAABkcnMvZTJvRG9jLnhtbFBLBQYAAAAABgAG&#10;AFkBAACD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高青县工业和信息化局2022年度法治政府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建设工作报告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以来，县工信局坚持以习近平新时代中国特色社会主义思想为指导、紧紧围绕习近平法治思想和党的二十大以及二十届一中全会精神，按照省、市、县关于法治政府建设的工作部署，将法治政府建设工作要求贯穿到重大事项决策、规范性文件管理、政务公开等法治建设方面，为企业提供创新发展的土壤、营造良好的产业发展生态。</w:t>
      </w:r>
      <w:r>
        <w:rPr>
          <w:rFonts w:hint="default" w:ascii="Times New Roman" w:hAnsi="Times New Roman" w:eastAsia="仿宋_GB2312" w:cs="Times New Roman"/>
          <w:sz w:val="32"/>
          <w:szCs w:val="32"/>
        </w:rPr>
        <w:t>现将有关推进法治政府建设情况报告如下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一、2022年度党政主要负责人履行推进法治建设第一责任人职责，加强法治政府建设情况</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2022年，县工信局主要责任人认真履行推进法治建设第一责任人职责，推动我县工信系统法治政府建设迈上新台阶。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组织领导，压实主体责任。制定年度法治工作计划，对全年法治工作作出总体部署。局主要领导总抓全局法治建设，始终坚持依法行政、依法管理；其他领导在分管工作范围内抓实抓细法治建设工作，将法治建设纳入工作实绩考核，形成法治建设责任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（二）狠抓全员学法，增强法治思维。</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扩大学法范围，通过专题培训、网上学法、专家讲座等多种方式组织全体人员学习各类行政执法法律法规和工信、商务相关法律法规，提升我局工作人员法治思维和法治方式解决实际问题的能力。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积极组织参加线上法律培训，组织全体工作人员参加淄博市2022年度国家工作人员学法考法活动，实现了培训全覆盖。按照学法要求，组织全局工作人员完成年度学习任务并参加学法考试，实现参考率100%，及格率100%，优秀率100%，局执法人员年度法律知识培训时间均不少于40学时，取得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（三）落实政务公开，科学依法决策。</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认真落实民主集中制，坚持集体领导、民主集中、个别酝酿、会议决定的原则。严格落实 “三重一大”事项议事决策制度，</w:t>
      </w:r>
      <w:r>
        <w:rPr>
          <w:rFonts w:hint="default" w:ascii="仿宋_GB2312" w:hAnsi="仿宋_GB2312" w:eastAsia="仿宋_GB2312" w:cs="仿宋_GB2312"/>
          <w:sz w:val="32"/>
          <w:szCs w:val="32"/>
          <w:lang w:val="en-US" w:eastAsia="zh-CN"/>
        </w:rPr>
        <w:t>工作中“三重一大”事项均向局党组汇报，由党组会讨论决定。</w:t>
      </w:r>
      <w:r>
        <w:rPr>
          <w:rFonts w:hint="eastAsia" w:ascii="仿宋_GB2312" w:hAnsi="仿宋_GB2312" w:eastAsia="仿宋_GB2312" w:cs="仿宋_GB2312"/>
          <w:sz w:val="32"/>
          <w:szCs w:val="32"/>
          <w:lang w:val="en-US" w:eastAsia="zh-CN"/>
        </w:rPr>
        <w:t>确保决策制度科学合法、程序正当、过程公开、责任明确。</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落实信息公开制度。严格落实主动发布机制、公开属性源头认定机制、依申请公开工作机制,通过政府信息公开,利用广播电视等媒介,主动、及时、全面、准确地发布与广大企业、职工利益密切相关的政府信息。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（四）规范执法行为，严格守法用法。</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严格实行执法人员持证上岗和资格管理制度。认真组织执法人员培训考试工作，</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年有</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位同志</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eastAsia="zh-CN"/>
        </w:rPr>
        <w:t>考试领取执法证。</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健全完善信访、复议、应诉工作机制。全面做好工作范围内的信访、复议、应诉工作。认真、及时办理</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12345平台转交的工单，</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年共办理交办件</w:t>
      </w:r>
      <w:r>
        <w:rPr>
          <w:rFonts w:hint="eastAsia" w:ascii="Times New Roman" w:hAnsi="Times New Roman" w:eastAsia="仿宋_GB2312" w:cs="Times New Roman"/>
          <w:sz w:val="32"/>
          <w:szCs w:val="32"/>
          <w:lang w:val="en-US" w:eastAsia="zh-CN"/>
        </w:rPr>
        <w:t>309</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eastAsia="zh-CN"/>
        </w:rPr>
        <w:t>健全监督机制,接受司法监督。健全完善行政应诉工作机制，主动接受人大代表、政协委员的监督。充分听取人大代表、政协委员们对办理建议、批评和意见以及提案、议案的意见和建议。202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年共协助办理了政协委员提案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件,办复率100%。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二、2022年度推进法治政府建设的主要举措和成效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（一）突出建设法治政府重要位置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把建设法治政府摆在全局工作的重要位置，要求全体领导干部全面提升法治意识、增强依法行政本领，用法治思维推进各项任务工作落实。坚持党组对法治建设工作的领导，强化主要负责人履行推进法治建设第一责任人意识，确定法治政府建设工作由主要负责人亲自抓，分管领导具体抓，层层抓落实的工作方式。深入学习贯彻习近平新时代中国特色社会主义思想，将《习近平关于全面依法治国论述摘编》等文件内容纳入到局党组理论学习内容，开展局党组书记、支部书记讲党课活动，带领全体党员干部重点学习党内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（二）不断优化政府服务水平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1、完善政府服务平台。按照省、市、县工作部署，根据机构改革要求，及时清理规范行政权力事项和公共服务事项，全面完成清单管理和规范运行工作。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按要求认真履行权责清单，坚持“法定职责必须做，法无授权不可为”的行政总原则，按照“合法行政、合理行政、程序正当、高效便民、诚实守信、权责统一”的基本要求用法、执法，严格规范公正文明执法公示制度、执法过程记录制度、重大执法决定法制审核制度，加强执法内部监督，切实做到公平与正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依法精简和规范行政审批事项，积极贯彻落实“市县同权”改革，承接好市级部门下放的相关事项，切实提升县域发展要素集聚能力，进一步优化营商环境，方便群众企业办事，为企业营造良好法治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（三）不断完善依法行政制度体系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1、加强规范性文件管理。对于涉及公民、法人和其他组织权利义务的规范性文件，我局按照法定要求和程序予以公布，未经公布的不作为行政管理依据，实现了对部门存量规范性文件清单化的动态管理。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落实法规规章、规范性文件和其他政策措施清理工作。根据县委县政府统一部署，我局已全面完成规范性文件清理工作。对涉及我局需要清理的文件进行认真核查，对应当废止的进行废止，对需要政策调整的后续进行相应的调整，并进行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3、全面完成县法治政府建设任务。认真完成县法制办关于法治政府建设部署要求和工作任务，及时将法治工作重要决定和方案向法制办备案。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（四）深入全面推进政务公开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强政策文件解读回应。对以高青县工业和信息化局名义印发的、非针对机关内部管理的政策文件，按照“谁起草谁解读”原则，开展多种形式的政策解读，按时将政策文件与解读材料同步组织、同步审签、同步对外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2、深化重点领域信息公开。落实政策文件、政府工作报告任务执行情况、部门活动、“双随机一公开”抽查计划、清单及结果等重点领域信息公开制度，按期在县政府门户网站对外公开。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3、多渠道多媒介公开政务信息。通过微信平台、新闻媒体等方式开展政务信息公开。加强对新媒体平台内容保障、专题栏目的维护管理和功能完善，加大与公众在线互动交流力度，确保内容丰富、更新及时、沟通有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三、2022年度推进法治政府建设存在的问题与不足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法治政府建设工作中虽然取得一定成效，但与建设法治政府的目标仍有一定差距，主要表现在：一是法治学习的深度广度有待提高。对习近平法治思想及最新重要讲话精神的学习不够系统、全面，联系我局工作实际开展研讨、研究深度不够、与业务工作的高度融合需要持续强化。二是法治队伍力量有待加强。目前我局法律专业人才缺乏，现有法治队伍力量难以满足法律事务处理实际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四、2023年度推进法治政府建设的主要安排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（一）持续推进法治政府建设工作。继续增强法治政府建设的紧迫感、责任感及荣誉感，将落实法治政府建设年度重点工作摆在全局工作重要位置，主动谋划和落实法治政府建设各项任务。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（二）不断提升监督执法规范化水平。严格落实行政执法三项制度，推进严格执法，理顺执法机制，完善执法程序，实现高效、便捷、规范执法。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（三）持续优化营商环境。以简政放权为基础，主动作为，认真履职，加强协调配合，</w:t>
      </w:r>
      <w:r>
        <w:rPr>
          <w:rFonts w:hint="default" w:ascii="Times New Roman" w:hAnsi="Times New Roman" w:eastAsia="仿宋_GB2312" w:cs="Times New Roman"/>
          <w:kern w:val="2"/>
          <w:sz w:val="32"/>
          <w:szCs w:val="32"/>
          <w:lang w:val="en-US" w:eastAsia="zh-CN" w:bidi="ar-SA"/>
        </w:rPr>
        <w:t>继续贯彻落实国家和上级有关营商环境的政策，抓好营造法治化营商环境具体要求，促进营商环境进一步优化，为我县推进工业企业高质量发展提供良好环境。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（四）提高执法人员依法行政能力。加强领导干部学法用法带头作用，持续加强对执法人员培训力度，通过法治实践提高执法人员法治思维和依法行政能力，提高行政执法人员的执法能力。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高青县工业和信息化局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2023年1月6日</w:t>
      </w:r>
    </w:p>
    <w:sectPr>
      <w:footerReference r:id="rId3" w:type="default"/>
      <w:pgSz w:w="11906" w:h="16838"/>
      <w:pgMar w:top="1984"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MmRmZTJmOGVhY2RjNmJiYTU0YmMzNmNlMGFmNzEifQ=="/>
  </w:docVars>
  <w:rsids>
    <w:rsidRoot w:val="3E141538"/>
    <w:rsid w:val="27A55466"/>
    <w:rsid w:val="37E1553E"/>
    <w:rsid w:val="3E141538"/>
    <w:rsid w:val="44AA2305"/>
    <w:rsid w:val="5D5D22C2"/>
    <w:rsid w:val="637C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576" w:lineRule="auto"/>
      <w:jc w:val="center"/>
      <w:outlineLvl w:val="0"/>
    </w:pPr>
    <w:rPr>
      <w:rFonts w:ascii="Calibri" w:hAnsi="Calibri" w:eastAsia="方正小标宋简体"/>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2842</Words>
  <Characters>2903</Characters>
  <Lines>0</Lines>
  <Paragraphs>0</Paragraphs>
  <TotalTime>7</TotalTime>
  <ScaleCrop>false</ScaleCrop>
  <LinksUpToDate>false</LinksUpToDate>
  <CharactersWithSpaces>2951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2023-01-03T00:47:00Z</dcterms:created>
  <dc:creator>Ti Amo</dc:creator>
  <cp:lastModifiedBy>Ti Amo</cp:lastModifiedBy>
  <cp:lastPrinted>2023-01-03T05:56:00Z</cp:lastPrinted>
  <dcterms:modified xsi:type="dcterms:W3CDTF">2023-01-06T03:47:51Z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E71271DF43B84F71A45911BC450D6BD0</vt:lpwstr>
  </property>
</Properties>
</file>