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8F30C">
      <w:pPr>
        <w:spacing w:line="560" w:lineRule="exact"/>
        <w:ind w:firstLine="0"/>
        <w:jc w:val="center"/>
        <w:rPr>
          <w:rFonts w:hint="eastAsia" w:eastAsia="方正小标宋简体"/>
          <w:sz w:val="44"/>
          <w:szCs w:val="44"/>
        </w:rPr>
      </w:pPr>
      <w:r>
        <w:rPr>
          <w:rFonts w:hint="eastAsia" w:eastAsia="方正小标宋简体"/>
          <w:sz w:val="44"/>
          <w:szCs w:val="44"/>
        </w:rPr>
        <w:t>高青县</w:t>
      </w:r>
      <w:r>
        <w:rPr>
          <w:rFonts w:hint="eastAsia" w:eastAsia="方正小标宋简体"/>
          <w:sz w:val="44"/>
          <w:szCs w:val="44"/>
          <w:lang w:eastAsia="zh-CN"/>
        </w:rPr>
        <w:t>工业和信息化</w:t>
      </w:r>
      <w:r>
        <w:rPr>
          <w:rFonts w:hint="eastAsia" w:eastAsia="方正小标宋简体"/>
          <w:sz w:val="44"/>
          <w:szCs w:val="44"/>
        </w:rPr>
        <w:t>局</w:t>
      </w:r>
    </w:p>
    <w:p w14:paraId="73ADA5BA">
      <w:pPr>
        <w:spacing w:line="560" w:lineRule="exact"/>
        <w:ind w:firstLine="0"/>
        <w:jc w:val="center"/>
        <w:rPr>
          <w:rFonts w:hint="eastAsia" w:eastAsia="方正小标宋简体"/>
          <w:sz w:val="44"/>
          <w:szCs w:val="44"/>
        </w:rPr>
      </w:pPr>
      <w:r>
        <w:rPr>
          <w:rFonts w:hint="eastAsia" w:eastAsia="方正小标宋简体"/>
          <w:sz w:val="44"/>
          <w:szCs w:val="44"/>
        </w:rPr>
        <w:t>202</w:t>
      </w:r>
      <w:r>
        <w:rPr>
          <w:rFonts w:hint="eastAsia" w:eastAsia="方正小标宋简体"/>
          <w:sz w:val="44"/>
          <w:szCs w:val="44"/>
          <w:lang w:val="en-US" w:eastAsia="zh-CN"/>
        </w:rPr>
        <w:t>5</w:t>
      </w:r>
      <w:r>
        <w:rPr>
          <w:rFonts w:hint="eastAsia" w:eastAsia="方正小标宋简体"/>
          <w:sz w:val="44"/>
          <w:szCs w:val="44"/>
        </w:rPr>
        <w:t>年政府信息公开工作年度报告</w:t>
      </w:r>
    </w:p>
    <w:p w14:paraId="2F688063">
      <w:pPr>
        <w:spacing w:line="560" w:lineRule="exact"/>
        <w:ind w:firstLine="0"/>
        <w:jc w:val="center"/>
        <w:rPr>
          <w:rFonts w:hint="eastAsia" w:eastAsia="方正小标宋简体"/>
          <w:sz w:val="44"/>
          <w:szCs w:val="44"/>
        </w:rPr>
      </w:pPr>
    </w:p>
    <w:p w14:paraId="112ABC80">
      <w:pPr>
        <w:spacing w:line="560" w:lineRule="exact"/>
        <w:ind w:firstLine="640" w:firstLineChars="200"/>
        <w:rPr>
          <w:rFonts w:hint="eastAsia" w:eastAsia="仿宋_GB2312"/>
        </w:rPr>
      </w:pPr>
      <w:r>
        <w:rPr>
          <w:rFonts w:hint="eastAsia" w:eastAsia="仿宋_GB2312"/>
        </w:rPr>
        <w:t>本报告根据《中华人民共和国政府信息公开条例》（国务院令第711号，以下简称《条例》）和《国务院办公厅政府信息与政务公开办公室关于印发&lt;中华人民共和国政府信息公开工作年度报告格式&gt;的通知》（国办公开办函〔</w:t>
      </w:r>
      <w:r>
        <w:rPr>
          <w:rFonts w:eastAsia="仿宋_GB2312"/>
        </w:rPr>
        <w:t>2021〕30号</w:t>
      </w:r>
      <w:r>
        <w:rPr>
          <w:rFonts w:hint="eastAsia" w:eastAsia="仿宋_GB2312"/>
        </w:rPr>
        <w:t>）相关要求编制。报告全文分总体情况、主动公开政府信息情况、收到和处理政府信息公开申请情况、政府信息公开行政复议和行政诉讼情况、存在的主要问题及改进情况、其他需要报告的事项六个部分。</w:t>
      </w:r>
    </w:p>
    <w:p w14:paraId="03E8ACD6">
      <w:pPr>
        <w:spacing w:line="560" w:lineRule="exact"/>
        <w:ind w:firstLine="640" w:firstLineChars="200"/>
        <w:rPr>
          <w:rFonts w:hint="eastAsia" w:eastAsia="仿宋_GB2312"/>
        </w:rPr>
      </w:pPr>
      <w:r>
        <w:rPr>
          <w:rFonts w:hint="eastAsia" w:eastAsia="仿宋_GB2312"/>
        </w:rPr>
        <w:t>报告中所列数据统计期限自202</w:t>
      </w:r>
      <w:r>
        <w:rPr>
          <w:rFonts w:hint="eastAsia" w:eastAsia="仿宋_GB2312"/>
          <w:lang w:val="en-US" w:eastAsia="zh-CN"/>
        </w:rPr>
        <w:t>5</w:t>
      </w:r>
      <w:r>
        <w:rPr>
          <w:rFonts w:hint="eastAsia" w:eastAsia="仿宋_GB2312"/>
        </w:rPr>
        <w:t>年1月1日始，至202</w:t>
      </w:r>
      <w:r>
        <w:rPr>
          <w:rFonts w:hint="eastAsia" w:eastAsia="仿宋_GB2312"/>
          <w:lang w:val="en-US" w:eastAsia="zh-CN"/>
        </w:rPr>
        <w:t>5</w:t>
      </w:r>
      <w:r>
        <w:rPr>
          <w:rFonts w:hint="eastAsia" w:eastAsia="仿宋_GB2312"/>
        </w:rPr>
        <w:t>年12月31日止。报告电子版可在高青县人民政府门户网站（www.gaoqing.gov.cn）查阅和下载。如对报告内容有疑问，请与高青县</w:t>
      </w:r>
      <w:r>
        <w:rPr>
          <w:rFonts w:hint="eastAsia" w:eastAsia="仿宋_GB2312"/>
          <w:lang w:eastAsia="zh-CN"/>
        </w:rPr>
        <w:t>工业和信息化</w:t>
      </w:r>
      <w:r>
        <w:rPr>
          <w:rFonts w:hint="eastAsia" w:eastAsia="仿宋_GB2312"/>
        </w:rPr>
        <w:t>局办公室联系（</w:t>
      </w:r>
      <w:r>
        <w:rPr>
          <w:rFonts w:hint="eastAsia" w:eastAsia="仿宋_GB2312"/>
          <w:lang w:val="en-US" w:eastAsia="zh-CN"/>
        </w:rPr>
        <w:t>地址：地址：山东省淄博市高青县高苑路32号；邮编：256300；电话：0533-6961158；电子邮箱：gqxjxj@zb.shandong.cn）。</w:t>
      </w:r>
    </w:p>
    <w:p w14:paraId="3B584E0C">
      <w:pPr>
        <w:spacing w:line="560" w:lineRule="exact"/>
        <w:ind w:firstLine="640" w:firstLineChars="200"/>
        <w:rPr>
          <w:rFonts w:eastAsia="黑体"/>
          <w:szCs w:val="32"/>
        </w:rPr>
      </w:pPr>
      <w:r>
        <w:rPr>
          <w:rFonts w:hint="eastAsia" w:eastAsia="黑体"/>
          <w:szCs w:val="32"/>
        </w:rPr>
        <w:t>一、总体情况</w:t>
      </w:r>
    </w:p>
    <w:p w14:paraId="407F8ACD">
      <w:pPr>
        <w:spacing w:line="560" w:lineRule="exact"/>
        <w:ind w:firstLine="640" w:firstLineChars="200"/>
        <w:rPr>
          <w:rFonts w:eastAsia="仿宋_GB2312"/>
        </w:rPr>
      </w:pPr>
      <w:r>
        <w:rPr>
          <w:rFonts w:eastAsia="仿宋_GB2312"/>
        </w:rPr>
        <w:t>202</w:t>
      </w:r>
      <w:r>
        <w:rPr>
          <w:rFonts w:hint="eastAsia" w:eastAsia="仿宋_GB2312"/>
          <w:lang w:val="en-US" w:eastAsia="zh-CN"/>
        </w:rPr>
        <w:t>5</w:t>
      </w:r>
      <w:r>
        <w:rPr>
          <w:rFonts w:hint="eastAsia" w:eastAsia="仿宋_GB2312"/>
        </w:rPr>
        <w:t>年，高青县</w:t>
      </w:r>
      <w:r>
        <w:rPr>
          <w:rFonts w:hint="eastAsia" w:eastAsia="仿宋_GB2312"/>
          <w:lang w:eastAsia="zh-CN"/>
        </w:rPr>
        <w:t>工业和信息化</w:t>
      </w:r>
      <w:r>
        <w:rPr>
          <w:rFonts w:hint="eastAsia" w:eastAsia="仿宋_GB2312"/>
        </w:rPr>
        <w:t>局坚持以习近平新时代中国特色社会主义思想为指导，</w:t>
      </w:r>
      <w:r>
        <w:rPr>
          <w:rFonts w:hint="eastAsia" w:eastAsia="仿宋_GB2312"/>
          <w:lang w:eastAsia="zh-CN"/>
        </w:rPr>
        <w:t>深</w:t>
      </w:r>
      <w:r>
        <w:rPr>
          <w:rFonts w:hint="eastAsia" w:eastAsia="仿宋_GB2312"/>
          <w:lang w:val="en-US" w:eastAsia="zh-CN"/>
        </w:rPr>
        <w:t>入贯彻落实省、市、县关于政务公开工作的决策部署，锚定“新型工业化强县建设”目标，以政务公开标准化规范化建设为抓手，持续提升公开质量、拓宽公开渠道、强化公开实效，为县域工业经济高质量发展营造了透明高效的政务环境。</w:t>
      </w:r>
    </w:p>
    <w:p w14:paraId="77B90ED6">
      <w:pPr>
        <w:spacing w:line="560" w:lineRule="exact"/>
        <w:ind w:firstLine="640" w:firstLineChars="200"/>
        <w:rPr>
          <w:rFonts w:hint="eastAsia" w:ascii="楷体_GB2312" w:eastAsia="楷体_GB2312"/>
          <w:szCs w:val="32"/>
          <w:lang w:eastAsia="zh-CN"/>
        </w:rPr>
      </w:pPr>
      <w:r>
        <w:rPr>
          <w:rFonts w:hint="eastAsia" w:ascii="楷体_GB2312" w:eastAsia="楷体_GB2312"/>
          <w:szCs w:val="32"/>
        </w:rPr>
        <w:t>（</w:t>
      </w:r>
      <w:r>
        <w:rPr>
          <w:rFonts w:hint="eastAsia" w:ascii="楷体_GB2312" w:eastAsia="楷体_GB2312"/>
          <w:szCs w:val="32"/>
          <w:lang w:val="en-US" w:eastAsia="zh-CN"/>
        </w:rPr>
        <w:t>一</w:t>
      </w:r>
      <w:r>
        <w:rPr>
          <w:rFonts w:hint="eastAsia" w:ascii="楷体_GB2312" w:eastAsia="楷体_GB2312"/>
          <w:szCs w:val="32"/>
        </w:rPr>
        <w:t>）主动公开</w:t>
      </w:r>
    </w:p>
    <w:p w14:paraId="4D0E403B">
      <w:pPr>
        <w:keepNext w:val="0"/>
        <w:keepLines w:val="0"/>
        <w:widowControl/>
        <w:suppressLineNumbers w:val="0"/>
        <w:jc w:val="both"/>
        <w:rPr>
          <w:rFonts w:hint="eastAsia" w:eastAsia="仿宋_GB2312"/>
          <w:lang w:val="en-US" w:eastAsia="zh-CN"/>
        </w:rPr>
      </w:pPr>
      <w:r>
        <w:rPr>
          <w:rFonts w:hint="eastAsia" w:ascii="楷体_GB2312" w:eastAsia="楷体_GB2312"/>
          <w:szCs w:val="32"/>
          <w:lang w:eastAsia="zh-CN"/>
        </w:rPr>
        <w:drawing>
          <wp:anchor distT="0" distB="0" distL="114300" distR="114300" simplePos="0" relativeHeight="251659264" behindDoc="0" locked="0" layoutInCell="1" allowOverlap="1">
            <wp:simplePos x="0" y="0"/>
            <wp:positionH relativeFrom="column">
              <wp:posOffset>584835</wp:posOffset>
            </wp:positionH>
            <wp:positionV relativeFrom="page">
              <wp:posOffset>6047740</wp:posOffset>
            </wp:positionV>
            <wp:extent cx="4839970" cy="2987040"/>
            <wp:effectExtent l="0" t="0" r="17780" b="0"/>
            <wp:wrapTopAndBottom/>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6"/>
                    <a:stretch>
                      <a:fillRect/>
                    </a:stretch>
                  </pic:blipFill>
                  <pic:spPr>
                    <a:xfrm>
                      <a:off x="0" y="0"/>
                      <a:ext cx="4839970" cy="2987040"/>
                    </a:xfrm>
                    <a:prstGeom prst="rect">
                      <a:avLst/>
                    </a:prstGeom>
                  </pic:spPr>
                </pic:pic>
              </a:graphicData>
            </a:graphic>
          </wp:anchor>
        </w:drawing>
      </w:r>
      <w:r>
        <w:rPr>
          <w:rFonts w:hint="eastAsia" w:eastAsia="仿宋_GB2312"/>
          <w:lang w:val="en-US" w:eastAsia="zh-CN"/>
        </w:rPr>
        <w:t>持续推进政府信息公开制度建设，制定《高青县工业和信息化局政府信息公开工作方案》、完善公开指南，建立分工协作机制全力做好信息公开工作。2025年通过政府门户网站、政务新媒体、新闻媒体等渠道累计主动公开政府信息190条，较往年同比增长6.7%，其中政府网站公开61条、政务新媒体113条、新闻媒体6条。公开内容涵盖部门工作动态、惠企政策实施、企业荣誉申报流程等。构建线上线下联动工作机制，开展11场惠企政策大讲堂，同时，单位主要负责人发布6条政策解读视频，形成闭合回路。此外，全年高效办理12345热线诉求500余件，群众满意率达100%。</w:t>
      </w:r>
    </w:p>
    <w:p w14:paraId="2C2B8475">
      <w:pPr>
        <w:keepNext w:val="0"/>
        <w:keepLines w:val="0"/>
        <w:widowControl/>
        <w:suppressLineNumbers w:val="0"/>
        <w:ind w:left="0" w:leftChars="0" w:firstLine="0" w:firstLineChars="0"/>
        <w:jc w:val="left"/>
        <w:rPr>
          <w:rFonts w:hint="eastAsia" w:eastAsia="仿宋_GB2312"/>
          <w:lang w:val="en-US" w:eastAsia="zh-CN"/>
        </w:rPr>
      </w:pPr>
    </w:p>
    <w:p w14:paraId="1FCD3E3F">
      <w:pPr>
        <w:spacing w:line="560" w:lineRule="exact"/>
        <w:ind w:firstLine="640" w:firstLineChars="200"/>
        <w:rPr>
          <w:rFonts w:hint="eastAsia" w:ascii="楷体_GB2312" w:eastAsia="楷体_GB2312"/>
          <w:szCs w:val="32"/>
        </w:rPr>
      </w:pPr>
      <w:r>
        <w:rPr>
          <w:rFonts w:hint="eastAsia" w:ascii="楷体_GB2312" w:eastAsia="楷体_GB2312"/>
          <w:szCs w:val="32"/>
        </w:rPr>
        <w:t>（二）依申请公开</w:t>
      </w:r>
    </w:p>
    <w:p w14:paraId="79BB0C04">
      <w:pPr>
        <w:spacing w:line="560" w:lineRule="exact"/>
        <w:ind w:firstLine="640" w:firstLineChars="200"/>
        <w:rPr>
          <w:rFonts w:eastAsia="仿宋_GB2312"/>
        </w:rPr>
      </w:pPr>
      <w:r>
        <w:rPr>
          <w:rFonts w:hint="eastAsia" w:eastAsia="仿宋_GB2312"/>
          <w:lang w:val="en-US" w:eastAsia="zh-CN"/>
        </w:rPr>
        <w:t>健全“接件-分办-审核-答复-归档”闭环流程，明确责任，分类处置，建立台账管理依申请公开答复。</w:t>
      </w:r>
      <w:r>
        <w:rPr>
          <w:rFonts w:hint="eastAsia" w:eastAsia="仿宋_GB2312"/>
        </w:rPr>
        <w:t>202</w:t>
      </w:r>
      <w:r>
        <w:rPr>
          <w:rFonts w:hint="eastAsia" w:eastAsia="仿宋_GB2312"/>
          <w:lang w:val="en-US" w:eastAsia="zh-CN"/>
        </w:rPr>
        <w:t>5</w:t>
      </w:r>
      <w:r>
        <w:rPr>
          <w:rFonts w:hint="eastAsia" w:eastAsia="仿宋_GB2312"/>
        </w:rPr>
        <w:t>年未收到政府信息公开申请，上年度结转0件。依申请公开政府信息未收取任何费用。未因政府信息公开被申请行政复议、提起行政诉讼。</w:t>
      </w:r>
    </w:p>
    <w:p w14:paraId="02A3A92C">
      <w:pPr>
        <w:spacing w:line="560" w:lineRule="exact"/>
        <w:ind w:firstLine="640" w:firstLineChars="200"/>
        <w:rPr>
          <w:rFonts w:hint="eastAsia" w:ascii="楷体_GB2312" w:eastAsia="楷体_GB2312"/>
          <w:szCs w:val="32"/>
        </w:rPr>
      </w:pPr>
      <w:r>
        <w:rPr>
          <w:rFonts w:hint="eastAsia" w:ascii="楷体_GB2312" w:eastAsia="楷体_GB2312"/>
          <w:szCs w:val="32"/>
        </w:rPr>
        <w:t>（三）政府信息管理</w:t>
      </w:r>
    </w:p>
    <w:p w14:paraId="42DEE4EB">
      <w:pPr>
        <w:spacing w:line="560" w:lineRule="exact"/>
        <w:ind w:firstLine="640" w:firstLineChars="200"/>
        <w:rPr>
          <w:rFonts w:hint="eastAsia" w:eastAsia="仿宋_GB2312"/>
        </w:rPr>
      </w:pPr>
      <w:r>
        <w:rPr>
          <w:rFonts w:hint="eastAsia" w:eastAsia="仿宋_GB2312"/>
        </w:rPr>
        <w:t>扎实推进政府信息管理工作</w:t>
      </w:r>
      <w:r>
        <w:rPr>
          <w:rFonts w:hint="eastAsia" w:eastAsia="仿宋_GB2312"/>
          <w:lang w:eastAsia="zh-CN"/>
        </w:rPr>
        <w:t>，完善</w:t>
      </w:r>
      <w:r>
        <w:rPr>
          <w:rFonts w:hint="eastAsia" w:eastAsia="仿宋_GB2312"/>
        </w:rPr>
        <w:t>《主动公开事项目录》，</w:t>
      </w:r>
      <w:r>
        <w:rPr>
          <w:rFonts w:hint="eastAsia" w:eastAsia="仿宋_GB2312"/>
          <w:lang w:eastAsia="zh-CN"/>
        </w:rPr>
        <w:t>及时</w:t>
      </w:r>
      <w:r>
        <w:rPr>
          <w:rFonts w:hint="eastAsia" w:eastAsia="仿宋_GB2312"/>
        </w:rPr>
        <w:t>补充新增职能事项，深化信息全生命周期管理，落实公开属性源头认定，优化“业务初审—合规复审—终审签发”三级审核并全程留痕，</w:t>
      </w:r>
      <w:r>
        <w:rPr>
          <w:rFonts w:hint="eastAsia" w:eastAsia="仿宋_GB2312"/>
          <w:lang w:eastAsia="zh-CN"/>
        </w:rPr>
        <w:t>定期清理过期信息；</w:t>
      </w:r>
      <w:r>
        <w:rPr>
          <w:rFonts w:hint="eastAsia" w:eastAsia="仿宋_GB2312"/>
        </w:rPr>
        <w:t>强化保密审查，组建专项小组、制定年度方案，推行全流程审查，开展相关培训</w:t>
      </w:r>
      <w:r>
        <w:rPr>
          <w:rFonts w:hint="eastAsia" w:eastAsia="仿宋_GB2312"/>
          <w:lang w:eastAsia="zh-CN"/>
        </w:rPr>
        <w:t>，</w:t>
      </w:r>
      <w:r>
        <w:rPr>
          <w:rFonts w:hint="eastAsia" w:eastAsia="仿宋_GB2312"/>
        </w:rPr>
        <w:t>未发生泄密事件。</w:t>
      </w:r>
    </w:p>
    <w:p w14:paraId="0CE7CA03">
      <w:pPr>
        <w:spacing w:line="560" w:lineRule="exact"/>
        <w:ind w:firstLine="640" w:firstLineChars="200"/>
        <w:rPr>
          <w:rFonts w:hint="eastAsia" w:ascii="楷体_GB2312" w:eastAsia="楷体_GB2312"/>
          <w:szCs w:val="32"/>
        </w:rPr>
      </w:pPr>
      <w:r>
        <w:rPr>
          <w:rFonts w:hint="eastAsia" w:ascii="楷体_GB2312" w:eastAsia="楷体_GB2312"/>
          <w:szCs w:val="32"/>
        </w:rPr>
        <w:t>（四）政府信息公开平台建设</w:t>
      </w:r>
    </w:p>
    <w:p w14:paraId="3A05CB41">
      <w:pPr>
        <w:spacing w:line="560" w:lineRule="exact"/>
        <w:ind w:firstLine="640" w:firstLineChars="200"/>
        <w:rPr>
          <w:rFonts w:hint="eastAsia" w:eastAsia="仿宋_GB2312"/>
          <w:lang w:val="en-US" w:eastAsia="zh-CN"/>
        </w:rPr>
      </w:pPr>
      <w:r>
        <w:rPr>
          <w:rFonts w:hint="eastAsia" w:eastAsia="仿宋_GB2312"/>
          <w:lang w:val="en-US" w:eastAsia="zh-CN"/>
        </w:rPr>
        <w:t>定期梳理政府门户政府网站政务公开栏目，及时维护更新栏目信息。利用“最高青”政务新媒体主动公开工信、商务领域等公开信息。</w:t>
      </w:r>
    </w:p>
    <w:p w14:paraId="37FF9F27">
      <w:pPr>
        <w:spacing w:line="560" w:lineRule="exact"/>
        <w:ind w:firstLine="640" w:firstLineChars="200"/>
        <w:rPr>
          <w:rFonts w:hint="eastAsia" w:ascii="楷体_GB2312" w:eastAsia="楷体_GB2312"/>
          <w:szCs w:val="32"/>
        </w:rPr>
      </w:pPr>
      <w:r>
        <w:rPr>
          <w:rFonts w:hint="eastAsia" w:ascii="楷体_GB2312" w:eastAsia="楷体_GB2312"/>
          <w:szCs w:val="32"/>
        </w:rPr>
        <w:t>（五）监督保障</w:t>
      </w:r>
    </w:p>
    <w:p w14:paraId="5D17BA53">
      <w:pPr>
        <w:spacing w:line="560" w:lineRule="exact"/>
        <w:ind w:firstLine="640" w:firstLineChars="200"/>
        <w:rPr>
          <w:rFonts w:hint="eastAsia" w:eastAsia="仿宋_GB2312"/>
          <w:lang w:val="en-US" w:eastAsia="zh-CN"/>
        </w:rPr>
      </w:pPr>
      <w:r>
        <w:rPr>
          <w:rFonts w:hint="eastAsia" w:eastAsia="仿宋_GB2312"/>
          <w:lang w:val="en-US" w:eastAsia="zh-CN"/>
        </w:rPr>
        <w:t>为推动政务公开工作提质增效，具体将政务公开工作明确纳入年度重点工作部署，全年计划召开4次政务公开专题工作会议，聚焦目录编制、平台建设、信息发布规范等关键问题开展专题研究；同时建立“主要负责人牵头抓总、分管负责人具体督办”的层级化工作机制，明确各岗位职责分工，由局办公室牵头每季度对各业务科室信息公开落实情况开展专项调度，确保工作能够按时保质完成；坚持常态化培训机制，每季度组织一次政府信息公开专题培训，重点围绕相关法律法规、政策文件及实务技能展开，同时推行“以老带新”帮扶模式，帮助新入职人员和业务薄弱科室提升工作能力，夯实全局政务公开工作基础。</w:t>
      </w:r>
    </w:p>
    <w:p w14:paraId="3FF90D34">
      <w:pPr>
        <w:spacing w:line="560" w:lineRule="exact"/>
        <w:ind w:firstLine="640" w:firstLineChars="200"/>
        <w:rPr>
          <w:rFonts w:hint="eastAsia" w:eastAsia="仿宋_GB2312"/>
          <w:lang w:val="en-US" w:eastAsia="zh-CN"/>
        </w:rPr>
      </w:pPr>
    </w:p>
    <w:p w14:paraId="47B010A2">
      <w:pPr>
        <w:spacing w:line="600" w:lineRule="exact"/>
        <w:jc w:val="left"/>
        <w:rPr>
          <w:rFonts w:hint="eastAsia" w:ascii="仿宋_GB2312" w:eastAsia="仿宋_GB2312"/>
          <w:sz w:val="32"/>
          <w:szCs w:val="32"/>
          <w:lang w:val="en-US" w:eastAsia="zh-CN"/>
        </w:rPr>
      </w:pPr>
    </w:p>
    <w:p w14:paraId="17F8EF62">
      <w:pPr>
        <w:spacing w:line="600" w:lineRule="exact"/>
        <w:jc w:val="left"/>
        <w:rPr>
          <w:rFonts w:hint="eastAsia" w:ascii="仿宋_GB2312" w:eastAsia="仿宋_GB2312"/>
          <w:sz w:val="32"/>
          <w:szCs w:val="32"/>
          <w:lang w:val="en-US" w:eastAsia="zh-CN"/>
        </w:rPr>
      </w:pPr>
    </w:p>
    <w:p w14:paraId="491E9347">
      <w:pPr>
        <w:spacing w:line="600" w:lineRule="exact"/>
        <w:jc w:val="left"/>
        <w:rPr>
          <w:rFonts w:hint="eastAsia" w:ascii="仿宋_GB2312" w:eastAsia="仿宋_GB2312"/>
          <w:sz w:val="32"/>
          <w:szCs w:val="32"/>
          <w:lang w:val="en-US" w:eastAsia="zh-CN"/>
        </w:rPr>
      </w:pPr>
    </w:p>
    <w:p w14:paraId="7D6897CB">
      <w:pPr>
        <w:spacing w:line="600" w:lineRule="exact"/>
        <w:jc w:val="left"/>
        <w:rPr>
          <w:rFonts w:hint="eastAsia" w:ascii="仿宋_GB2312" w:eastAsia="仿宋_GB2312"/>
          <w:sz w:val="32"/>
          <w:szCs w:val="32"/>
          <w:lang w:val="en-US" w:eastAsia="zh-CN"/>
        </w:rPr>
      </w:pPr>
    </w:p>
    <w:p w14:paraId="2A3A018F">
      <w:pPr>
        <w:spacing w:line="600" w:lineRule="exact"/>
        <w:jc w:val="left"/>
        <w:rPr>
          <w:rFonts w:hint="eastAsia" w:ascii="仿宋_GB2312" w:eastAsia="仿宋_GB2312"/>
          <w:sz w:val="32"/>
          <w:szCs w:val="32"/>
          <w:lang w:val="en-US" w:eastAsia="zh-CN"/>
        </w:rPr>
      </w:pPr>
    </w:p>
    <w:p w14:paraId="11068E3B">
      <w:pPr>
        <w:spacing w:line="600" w:lineRule="exact"/>
        <w:jc w:val="left"/>
        <w:rPr>
          <w:rFonts w:hint="eastAsia" w:ascii="仿宋_GB2312" w:eastAsia="仿宋_GB2312"/>
          <w:sz w:val="32"/>
          <w:szCs w:val="32"/>
          <w:lang w:val="en-US" w:eastAsia="zh-CN"/>
        </w:rPr>
      </w:pPr>
    </w:p>
    <w:p w14:paraId="4950F81E">
      <w:pPr>
        <w:spacing w:line="600" w:lineRule="exact"/>
        <w:jc w:val="left"/>
        <w:rPr>
          <w:rFonts w:hint="eastAsia" w:ascii="仿宋_GB2312" w:eastAsia="仿宋_GB2312"/>
          <w:sz w:val="32"/>
          <w:szCs w:val="32"/>
          <w:lang w:val="en-US" w:eastAsia="zh-CN"/>
        </w:rPr>
      </w:pPr>
    </w:p>
    <w:p w14:paraId="1BC84C02">
      <w:pPr>
        <w:spacing w:line="600" w:lineRule="exact"/>
        <w:jc w:val="left"/>
        <w:rPr>
          <w:rFonts w:hint="eastAsia" w:ascii="仿宋_GB2312" w:eastAsia="仿宋_GB2312"/>
          <w:sz w:val="32"/>
          <w:szCs w:val="32"/>
          <w:lang w:val="en-US" w:eastAsia="zh-CN"/>
        </w:rPr>
      </w:pPr>
    </w:p>
    <w:p w14:paraId="59D16F86">
      <w:pPr>
        <w:spacing w:line="600" w:lineRule="exact"/>
        <w:jc w:val="left"/>
        <w:rPr>
          <w:rFonts w:hint="eastAsia" w:ascii="仿宋_GB2312" w:eastAsia="仿宋_GB2312"/>
          <w:sz w:val="32"/>
          <w:szCs w:val="32"/>
          <w:lang w:val="en-US" w:eastAsia="zh-CN"/>
        </w:rPr>
      </w:pPr>
    </w:p>
    <w:p w14:paraId="18289E2C">
      <w:pPr>
        <w:spacing w:line="600" w:lineRule="exact"/>
        <w:jc w:val="left"/>
        <w:rPr>
          <w:rFonts w:hint="eastAsia" w:ascii="仿宋_GB2312" w:eastAsia="仿宋_GB2312"/>
          <w:sz w:val="32"/>
          <w:szCs w:val="32"/>
          <w:lang w:val="en-US" w:eastAsia="zh-CN"/>
        </w:rPr>
      </w:pPr>
    </w:p>
    <w:p w14:paraId="5EB329D2">
      <w:pPr>
        <w:spacing w:line="600" w:lineRule="exact"/>
        <w:jc w:val="left"/>
        <w:rPr>
          <w:rFonts w:hint="eastAsia" w:ascii="仿宋_GB2312" w:eastAsia="仿宋_GB2312"/>
          <w:sz w:val="32"/>
          <w:szCs w:val="32"/>
          <w:lang w:val="en-US" w:eastAsia="zh-CN"/>
        </w:rPr>
      </w:pPr>
    </w:p>
    <w:p w14:paraId="3CEB5C95">
      <w:pPr>
        <w:spacing w:line="600" w:lineRule="exact"/>
        <w:jc w:val="left"/>
        <w:rPr>
          <w:rFonts w:hint="eastAsia" w:ascii="仿宋_GB2312" w:eastAsia="仿宋_GB2312"/>
          <w:sz w:val="32"/>
          <w:szCs w:val="32"/>
          <w:lang w:val="en-US" w:eastAsia="zh-CN"/>
        </w:rPr>
      </w:pPr>
    </w:p>
    <w:p w14:paraId="326AF862">
      <w:pPr>
        <w:spacing w:line="600" w:lineRule="exact"/>
        <w:jc w:val="left"/>
        <w:rPr>
          <w:rFonts w:hint="eastAsia" w:ascii="仿宋_GB2312" w:eastAsia="仿宋_GB2312"/>
          <w:sz w:val="32"/>
          <w:szCs w:val="32"/>
          <w:lang w:val="en-US" w:eastAsia="zh-CN"/>
        </w:rPr>
      </w:pPr>
    </w:p>
    <w:p w14:paraId="26A02962">
      <w:pPr>
        <w:spacing w:line="600" w:lineRule="exact"/>
        <w:jc w:val="left"/>
        <w:rPr>
          <w:rFonts w:hint="eastAsia" w:ascii="仿宋_GB2312" w:eastAsia="仿宋_GB2312"/>
          <w:sz w:val="32"/>
          <w:szCs w:val="32"/>
          <w:lang w:val="en-US" w:eastAsia="zh-CN"/>
        </w:rPr>
      </w:pPr>
    </w:p>
    <w:p w14:paraId="20527824">
      <w:pPr>
        <w:spacing w:line="600" w:lineRule="exact"/>
        <w:jc w:val="left"/>
        <w:rPr>
          <w:rFonts w:hint="eastAsia" w:ascii="仿宋_GB2312" w:eastAsia="仿宋_GB2312"/>
          <w:sz w:val="32"/>
          <w:szCs w:val="32"/>
          <w:lang w:val="en-US" w:eastAsia="zh-CN"/>
        </w:rPr>
      </w:pPr>
    </w:p>
    <w:p w14:paraId="75834BBE">
      <w:pPr>
        <w:spacing w:line="560" w:lineRule="exact"/>
        <w:ind w:firstLine="640" w:firstLineChars="200"/>
        <w:rPr>
          <w:rFonts w:eastAsia="黑体"/>
          <w:szCs w:val="32"/>
        </w:rPr>
      </w:pPr>
      <w:r>
        <w:rPr>
          <w:rFonts w:hint="eastAsia" w:eastAsia="黑体"/>
          <w:szCs w:val="32"/>
        </w:rPr>
        <w:t>二、主动公开政府信息情况</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6D89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70D1E455">
            <w:pPr>
              <w:spacing w:line="240" w:lineRule="auto"/>
              <w:ind w:firstLine="0"/>
              <w:jc w:val="center"/>
              <w:rPr>
                <w:rFonts w:ascii="黑体" w:hAnsi="黑体" w:eastAsia="黑体"/>
                <w:sz w:val="20"/>
              </w:rPr>
            </w:pPr>
            <w:r>
              <w:rPr>
                <w:rFonts w:hint="eastAsia" w:ascii="宋体" w:hAnsi="宋体" w:eastAsia="宋体" w:cs="宋体"/>
                <w:snapToGrid/>
                <w:color w:val="000000"/>
                <w:sz w:val="20"/>
              </w:rPr>
              <w:t>第二十条第（一）项</w:t>
            </w:r>
          </w:p>
        </w:tc>
      </w:tr>
      <w:tr w14:paraId="04BB1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70FF100">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2130" w:type="dxa"/>
            <w:vAlign w:val="center"/>
          </w:tcPr>
          <w:p w14:paraId="3BEE248C">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w:t>
            </w:r>
            <w:r>
              <w:rPr>
                <w:rFonts w:ascii="宋体" w:hAnsi="宋体" w:eastAsia="宋体" w:cs="Calibri"/>
                <w:snapToGrid/>
                <w:sz w:val="20"/>
              </w:rPr>
              <w:t>制</w:t>
            </w:r>
            <w:r>
              <w:rPr>
                <w:rFonts w:hint="eastAsia" w:ascii="宋体" w:hAnsi="宋体" w:eastAsia="宋体" w:cs="宋体"/>
                <w:snapToGrid/>
                <w:sz w:val="20"/>
              </w:rPr>
              <w:t>发件</w:t>
            </w:r>
            <w:r>
              <w:rPr>
                <w:rFonts w:ascii="宋体" w:hAnsi="宋体" w:eastAsia="宋体" w:cs="Calibri"/>
                <w:snapToGrid/>
                <w:sz w:val="20"/>
              </w:rPr>
              <w:t>数</w:t>
            </w:r>
          </w:p>
        </w:tc>
        <w:tc>
          <w:tcPr>
            <w:tcW w:w="2131" w:type="dxa"/>
            <w:vAlign w:val="center"/>
          </w:tcPr>
          <w:p w14:paraId="4FBC1D73">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本年废止件数</w:t>
            </w:r>
          </w:p>
        </w:tc>
        <w:tc>
          <w:tcPr>
            <w:tcW w:w="2131" w:type="dxa"/>
            <w:vAlign w:val="center"/>
          </w:tcPr>
          <w:p w14:paraId="4C3886D4">
            <w:pPr>
              <w:widowControl/>
              <w:autoSpaceDE/>
              <w:autoSpaceDN/>
              <w:snapToGrid/>
              <w:spacing w:line="240" w:lineRule="auto"/>
              <w:ind w:firstLine="0"/>
              <w:jc w:val="center"/>
              <w:rPr>
                <w:rFonts w:ascii="宋体" w:hAnsi="宋体" w:eastAsia="宋体" w:cs="宋体"/>
                <w:snapToGrid/>
                <w:sz w:val="20"/>
              </w:rPr>
            </w:pPr>
            <w:r>
              <w:rPr>
                <w:rFonts w:hint="eastAsia" w:ascii="宋体" w:hAnsi="宋体" w:eastAsia="宋体" w:cs="宋体"/>
                <w:snapToGrid/>
                <w:color w:val="000000"/>
                <w:sz w:val="20"/>
              </w:rPr>
              <w:t>现行有效件</w:t>
            </w:r>
            <w:r>
              <w:rPr>
                <w:rFonts w:ascii="宋体" w:hAnsi="宋体" w:eastAsia="宋体" w:cs="Calibri"/>
                <w:snapToGrid/>
                <w:sz w:val="20"/>
              </w:rPr>
              <w:t>数</w:t>
            </w:r>
          </w:p>
        </w:tc>
      </w:tr>
      <w:tr w14:paraId="7333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220E85D">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规章</w:t>
            </w:r>
          </w:p>
        </w:tc>
        <w:tc>
          <w:tcPr>
            <w:tcW w:w="2130" w:type="dxa"/>
            <w:vAlign w:val="center"/>
          </w:tcPr>
          <w:p w14:paraId="53C88802">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0AD6CB9F">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0DA2F22E">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520EB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CF34D08">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行政规范性文件</w:t>
            </w:r>
          </w:p>
        </w:tc>
        <w:tc>
          <w:tcPr>
            <w:tcW w:w="2130" w:type="dxa"/>
            <w:vAlign w:val="center"/>
          </w:tcPr>
          <w:p w14:paraId="607D5B77">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5EDDD819">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c>
          <w:tcPr>
            <w:tcW w:w="2131" w:type="dxa"/>
            <w:vAlign w:val="center"/>
          </w:tcPr>
          <w:p w14:paraId="239DA81A">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2273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1DED4EDD">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第二十条第（五）项</w:t>
            </w:r>
          </w:p>
        </w:tc>
      </w:tr>
      <w:tr w14:paraId="1FADA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E39952D">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49B869A3">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14:paraId="08FCD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BDF4BBC">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行政许可</w:t>
            </w:r>
          </w:p>
        </w:tc>
        <w:tc>
          <w:tcPr>
            <w:tcW w:w="6392" w:type="dxa"/>
            <w:gridSpan w:val="3"/>
            <w:vAlign w:val="center"/>
          </w:tcPr>
          <w:p w14:paraId="3F72478F">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0160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2747F427">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第二十条第（六）项</w:t>
            </w:r>
          </w:p>
        </w:tc>
      </w:tr>
      <w:tr w14:paraId="49C20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BA0CC6B">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6BF747A1">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本年处理决定数量</w:t>
            </w:r>
          </w:p>
        </w:tc>
      </w:tr>
      <w:tr w14:paraId="35D5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3DC8106">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行政处罚</w:t>
            </w:r>
          </w:p>
        </w:tc>
        <w:tc>
          <w:tcPr>
            <w:tcW w:w="6392" w:type="dxa"/>
            <w:gridSpan w:val="3"/>
            <w:vAlign w:val="center"/>
          </w:tcPr>
          <w:p w14:paraId="7950E527">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7237E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DD2DADA">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行政强制</w:t>
            </w:r>
          </w:p>
        </w:tc>
        <w:tc>
          <w:tcPr>
            <w:tcW w:w="6392" w:type="dxa"/>
            <w:gridSpan w:val="3"/>
            <w:vAlign w:val="center"/>
          </w:tcPr>
          <w:p w14:paraId="5AA8C5A9">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r w14:paraId="224EF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118C1DA5">
            <w:pPr>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第二十条第（八）项</w:t>
            </w:r>
          </w:p>
        </w:tc>
      </w:tr>
      <w:tr w14:paraId="595A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1C608E08">
            <w:pPr>
              <w:widowControl/>
              <w:autoSpaceDE/>
              <w:autoSpaceDN/>
              <w:snapToGrid/>
              <w:spacing w:line="240" w:lineRule="auto"/>
              <w:ind w:firstLine="0"/>
              <w:jc w:val="center"/>
              <w:rPr>
                <w:rFonts w:ascii="宋体" w:hAnsi="宋体" w:eastAsia="宋体" w:cs="宋体"/>
                <w:snapToGrid/>
                <w:color w:val="000000"/>
                <w:sz w:val="20"/>
              </w:rPr>
            </w:pPr>
            <w:r>
              <w:rPr>
                <w:rFonts w:hint="eastAsia" w:ascii="宋体" w:hAnsi="宋体" w:eastAsia="宋体" w:cs="宋体"/>
                <w:snapToGrid/>
                <w:color w:val="000000"/>
                <w:sz w:val="20"/>
              </w:rPr>
              <w:t>信息内容</w:t>
            </w:r>
          </w:p>
        </w:tc>
        <w:tc>
          <w:tcPr>
            <w:tcW w:w="6392" w:type="dxa"/>
            <w:gridSpan w:val="3"/>
            <w:vAlign w:val="center"/>
          </w:tcPr>
          <w:p w14:paraId="409A4AFE">
            <w:pPr>
              <w:spacing w:line="240" w:lineRule="auto"/>
              <w:ind w:firstLine="0"/>
              <w:jc w:val="center"/>
              <w:rPr>
                <w:rFonts w:ascii="黑体" w:hAnsi="黑体" w:eastAsia="黑体"/>
                <w:sz w:val="20"/>
              </w:rPr>
            </w:pPr>
            <w:r>
              <w:rPr>
                <w:rFonts w:hint="eastAsia" w:ascii="宋体" w:hAnsi="宋体" w:eastAsia="宋体" w:cs="宋体"/>
                <w:snapToGrid/>
                <w:color w:val="000000"/>
                <w:sz w:val="20"/>
              </w:rPr>
              <w:t>本年收费金额（单位：万元）</w:t>
            </w:r>
          </w:p>
        </w:tc>
      </w:tr>
      <w:tr w14:paraId="460D7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859E002">
            <w:pPr>
              <w:widowControl/>
              <w:autoSpaceDE/>
              <w:autoSpaceDN/>
              <w:snapToGrid/>
              <w:spacing w:line="240" w:lineRule="auto"/>
              <w:ind w:firstLine="0"/>
              <w:rPr>
                <w:rFonts w:ascii="宋体" w:hAnsi="宋体" w:eastAsia="宋体" w:cs="宋体"/>
                <w:snapToGrid/>
                <w:color w:val="000000"/>
                <w:sz w:val="20"/>
              </w:rPr>
            </w:pPr>
            <w:r>
              <w:rPr>
                <w:rFonts w:hint="eastAsia" w:ascii="宋体" w:hAnsi="宋体" w:eastAsia="宋体" w:cs="宋体"/>
                <w:snapToGrid/>
                <w:color w:val="000000"/>
                <w:sz w:val="20"/>
              </w:rPr>
              <w:t>行政事业性收费</w:t>
            </w:r>
          </w:p>
        </w:tc>
        <w:tc>
          <w:tcPr>
            <w:tcW w:w="6392" w:type="dxa"/>
            <w:gridSpan w:val="3"/>
            <w:vAlign w:val="center"/>
          </w:tcPr>
          <w:p w14:paraId="5090B577">
            <w:pPr>
              <w:spacing w:line="240" w:lineRule="auto"/>
              <w:ind w:firstLine="0"/>
              <w:jc w:val="center"/>
              <w:rPr>
                <w:rFonts w:hint="eastAsia" w:ascii="黑体" w:hAnsi="黑体" w:eastAsia="黑体"/>
                <w:sz w:val="20"/>
                <w:lang w:val="en-US" w:eastAsia="zh-CN"/>
              </w:rPr>
            </w:pPr>
            <w:r>
              <w:rPr>
                <w:rFonts w:hint="eastAsia" w:ascii="黑体" w:hAnsi="黑体" w:eastAsia="黑体"/>
                <w:sz w:val="20"/>
                <w:lang w:val="en-US" w:eastAsia="zh-CN"/>
              </w:rPr>
              <w:t>0</w:t>
            </w:r>
          </w:p>
        </w:tc>
      </w:tr>
    </w:tbl>
    <w:p w14:paraId="1B991645">
      <w:pPr>
        <w:spacing w:line="240" w:lineRule="auto"/>
        <w:ind w:firstLine="0"/>
        <w:rPr>
          <w:rFonts w:ascii="黑体" w:hAnsi="黑体" w:eastAsia="黑体"/>
          <w:sz w:val="30"/>
          <w:szCs w:val="30"/>
        </w:rPr>
      </w:pPr>
    </w:p>
    <w:p w14:paraId="221B2EA7">
      <w:pPr>
        <w:spacing w:line="240" w:lineRule="auto"/>
        <w:ind w:firstLine="0"/>
        <w:rPr>
          <w:rFonts w:ascii="黑体" w:hAnsi="黑体" w:eastAsia="黑体"/>
          <w:sz w:val="30"/>
          <w:szCs w:val="30"/>
        </w:rPr>
      </w:pPr>
    </w:p>
    <w:p w14:paraId="4E492011">
      <w:pPr>
        <w:spacing w:line="240" w:lineRule="auto"/>
        <w:ind w:firstLine="0"/>
        <w:rPr>
          <w:rFonts w:ascii="黑体" w:hAnsi="黑体" w:eastAsia="黑体"/>
          <w:sz w:val="30"/>
          <w:szCs w:val="30"/>
        </w:rPr>
      </w:pPr>
    </w:p>
    <w:p w14:paraId="0C6A19D3">
      <w:pPr>
        <w:spacing w:line="240" w:lineRule="auto"/>
        <w:ind w:firstLine="0"/>
        <w:rPr>
          <w:rFonts w:ascii="黑体" w:hAnsi="黑体" w:eastAsia="黑体"/>
          <w:sz w:val="30"/>
          <w:szCs w:val="30"/>
        </w:rPr>
      </w:pPr>
    </w:p>
    <w:p w14:paraId="0B91B423">
      <w:pPr>
        <w:spacing w:line="240" w:lineRule="auto"/>
        <w:ind w:firstLine="0"/>
        <w:rPr>
          <w:rFonts w:ascii="黑体" w:hAnsi="黑体" w:eastAsia="黑体"/>
          <w:sz w:val="30"/>
          <w:szCs w:val="30"/>
        </w:rPr>
      </w:pPr>
    </w:p>
    <w:p w14:paraId="56EEA1C1">
      <w:pPr>
        <w:spacing w:line="240" w:lineRule="auto"/>
        <w:ind w:firstLine="0"/>
        <w:rPr>
          <w:rFonts w:ascii="黑体" w:hAnsi="黑体" w:eastAsia="黑体"/>
          <w:sz w:val="30"/>
          <w:szCs w:val="30"/>
        </w:rPr>
      </w:pPr>
    </w:p>
    <w:p w14:paraId="0A40A3D7">
      <w:pPr>
        <w:spacing w:line="240" w:lineRule="auto"/>
        <w:ind w:firstLine="0"/>
        <w:rPr>
          <w:rFonts w:ascii="黑体" w:hAnsi="黑体" w:eastAsia="黑体"/>
          <w:sz w:val="30"/>
          <w:szCs w:val="30"/>
        </w:rPr>
      </w:pPr>
    </w:p>
    <w:p w14:paraId="2FEC157C">
      <w:pPr>
        <w:spacing w:line="240" w:lineRule="auto"/>
        <w:ind w:firstLine="0"/>
        <w:rPr>
          <w:rFonts w:ascii="黑体" w:hAnsi="黑体" w:eastAsia="黑体"/>
          <w:sz w:val="30"/>
          <w:szCs w:val="30"/>
        </w:rPr>
      </w:pPr>
    </w:p>
    <w:p w14:paraId="4FACCC1C">
      <w:pPr>
        <w:spacing w:line="240" w:lineRule="auto"/>
        <w:ind w:firstLine="0"/>
        <w:rPr>
          <w:rFonts w:ascii="黑体" w:hAnsi="黑体" w:eastAsia="黑体"/>
          <w:sz w:val="30"/>
          <w:szCs w:val="30"/>
        </w:rPr>
      </w:pPr>
    </w:p>
    <w:p w14:paraId="4BBC34B1">
      <w:pPr>
        <w:spacing w:line="240" w:lineRule="auto"/>
        <w:ind w:firstLine="0"/>
        <w:rPr>
          <w:rFonts w:ascii="黑体" w:hAnsi="黑体" w:eastAsia="黑体"/>
          <w:sz w:val="30"/>
          <w:szCs w:val="30"/>
        </w:rPr>
      </w:pPr>
    </w:p>
    <w:p w14:paraId="5D7DC20B">
      <w:pPr>
        <w:spacing w:line="560" w:lineRule="exact"/>
        <w:ind w:firstLine="640" w:firstLineChars="200"/>
        <w:rPr>
          <w:rFonts w:eastAsia="黑体"/>
          <w:szCs w:val="32"/>
        </w:rPr>
      </w:pPr>
      <w:r>
        <w:rPr>
          <w:rFonts w:hint="eastAsia" w:eastAsia="黑体"/>
          <w:szCs w:val="32"/>
        </w:rPr>
        <w:t>三、收到和处理政府信息公开申请情况</w:t>
      </w:r>
    </w:p>
    <w:tbl>
      <w:tblPr>
        <w:tblStyle w:val="5"/>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290FD8B9">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44BAA3C8">
            <w:pPr>
              <w:widowControl/>
              <w:autoSpaceDE/>
              <w:autoSpaceDN/>
              <w:snapToGrid/>
              <w:spacing w:line="240" w:lineRule="auto"/>
              <w:ind w:firstLine="0"/>
              <w:jc w:val="left"/>
              <w:rPr>
                <w:rFonts w:ascii="宋体" w:hAnsi="宋体" w:eastAsia="宋体" w:cs="宋体"/>
                <w:snapToGrid/>
                <w:sz w:val="24"/>
                <w:szCs w:val="24"/>
              </w:rPr>
            </w:pPr>
            <w:r>
              <w:rPr>
                <w:rFonts w:hint="eastAsia" w:ascii="楷体" w:hAnsi="楷体" w:eastAsia="楷体" w:cs="宋体"/>
                <w:snapToGrid/>
                <w:sz w:val="20"/>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D79C4C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申请人情况</w:t>
            </w:r>
          </w:p>
        </w:tc>
      </w:tr>
      <w:tr w14:paraId="6ED435A6">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3BEB84F6">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522A121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82FAF78">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537DDA8D">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r>
      <w:tr w14:paraId="07E2637A">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16902AE1">
            <w:pPr>
              <w:widowControl/>
              <w:autoSpaceDE/>
              <w:autoSpaceDN/>
              <w:snapToGrid/>
              <w:spacing w:line="240" w:lineRule="auto"/>
              <w:ind w:firstLine="0"/>
              <w:jc w:val="left"/>
              <w:rPr>
                <w:rFonts w:ascii="宋体" w:hAnsi="宋体" w:eastAsia="宋体" w:cs="宋体"/>
                <w:snapToGrid/>
                <w:sz w:val="24"/>
                <w:szCs w:val="24"/>
              </w:rPr>
            </w:pPr>
          </w:p>
        </w:tc>
        <w:tc>
          <w:tcPr>
            <w:tcW w:w="850" w:type="dxa"/>
            <w:vMerge w:val="continue"/>
            <w:tcBorders>
              <w:top w:val="nil"/>
              <w:left w:val="nil"/>
              <w:bottom w:val="single" w:color="auto" w:sz="8" w:space="0"/>
              <w:right w:val="single" w:color="auto" w:sz="8" w:space="0"/>
            </w:tcBorders>
            <w:vAlign w:val="center"/>
          </w:tcPr>
          <w:p w14:paraId="66D816A7">
            <w:pPr>
              <w:widowControl/>
              <w:autoSpaceDE/>
              <w:autoSpaceDN/>
              <w:snapToGrid/>
              <w:spacing w:line="240" w:lineRule="auto"/>
              <w:ind w:firstLine="0"/>
              <w:jc w:val="left"/>
              <w:rPr>
                <w:rFonts w:ascii="宋体" w:hAnsi="宋体" w:eastAsia="宋体" w:cs="宋体"/>
                <w:snapToGrid/>
                <w:sz w:val="24"/>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175922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商业</w:t>
            </w:r>
          </w:p>
          <w:p w14:paraId="15731CF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B06C3DE">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科研</w:t>
            </w:r>
          </w:p>
          <w:p w14:paraId="55F1D9F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11433D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87293E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A876C2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p>
        </w:tc>
        <w:tc>
          <w:tcPr>
            <w:tcW w:w="756" w:type="dxa"/>
            <w:vMerge w:val="continue"/>
            <w:tcBorders>
              <w:top w:val="single" w:color="auto" w:sz="8" w:space="0"/>
              <w:left w:val="nil"/>
              <w:bottom w:val="inset" w:color="auto" w:sz="8" w:space="0"/>
              <w:right w:val="single" w:color="auto" w:sz="8" w:space="0"/>
            </w:tcBorders>
            <w:vAlign w:val="center"/>
          </w:tcPr>
          <w:p w14:paraId="2A4F6776">
            <w:pPr>
              <w:widowControl/>
              <w:autoSpaceDE/>
              <w:autoSpaceDN/>
              <w:snapToGrid/>
              <w:spacing w:line="240" w:lineRule="auto"/>
              <w:ind w:firstLine="0"/>
              <w:jc w:val="left"/>
              <w:rPr>
                <w:rFonts w:ascii="宋体" w:hAnsi="宋体" w:eastAsia="宋体" w:cs="宋体"/>
                <w:snapToGrid/>
                <w:sz w:val="24"/>
                <w:szCs w:val="24"/>
              </w:rPr>
            </w:pPr>
          </w:p>
        </w:tc>
      </w:tr>
      <w:tr w14:paraId="5448F30A">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7959BC8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7F86341">
            <w:pPr>
              <w:widowControl/>
              <w:autoSpaceDE/>
              <w:autoSpaceDN/>
              <w:snapToGrid/>
              <w:spacing w:line="240" w:lineRule="auto"/>
              <w:ind w:firstLine="0" w:firstLineChars="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D5C9571">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3446946">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A711A5F">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08D6C5C">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D702F52">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AA5088A">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0D57E82F">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6C0C482">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686794E">
            <w:pPr>
              <w:widowControl/>
              <w:autoSpaceDE/>
              <w:autoSpaceDN/>
              <w:snapToGrid/>
              <w:spacing w:line="240" w:lineRule="auto"/>
              <w:ind w:firstLine="0" w:firstLineChars="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56C944B">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ECD8A4B">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0A8B88A">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1EDC311">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6794CFC">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087CB20">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0D5B635C">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3F5E1EC8">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11E1ED61">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DC97785">
            <w:pPr>
              <w:widowControl/>
              <w:autoSpaceDE/>
              <w:autoSpaceDN/>
              <w:snapToGrid/>
              <w:spacing w:line="240" w:lineRule="auto"/>
              <w:ind w:firstLine="0" w:firstLineChars="0"/>
              <w:jc w:val="center"/>
              <w:rPr>
                <w:rFonts w:hint="eastAsia" w:ascii="宋体" w:hAnsi="宋体" w:eastAsia="宋体" w:cs="宋体"/>
                <w:snapToGrid/>
                <w:sz w:val="24"/>
                <w:szCs w:val="24"/>
                <w:lang w:val="en-US" w:eastAsia="zh-CN"/>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EB6D8C6">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0C2FDE0">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1E6E7AF6">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1620CB7">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254954D">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7D26934">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52220BB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5E6CC98">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7FEC9652">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（二）部分公开</w:t>
            </w:r>
            <w:r>
              <w:rPr>
                <w:rFonts w:hint="eastAsia" w:ascii="楷体" w:hAnsi="楷体" w:eastAsia="楷体" w:cs="宋体"/>
                <w:snapToGrid/>
                <w:sz w:val="20"/>
              </w:rPr>
              <w:t>（区分处理的，只计这一情形，不计其他情形）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56B2A48">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6555B9E">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3570476">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3D52420">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3B26C06">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DA31F24">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06298F6">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60719B1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E260666">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548591E4">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131F2D4">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D42501A">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EB4EA0D">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300EAE6">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B7AE48F">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3F746CB">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7DCA11F">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12B11D6E">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5C76C57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86D3686">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474269D5">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59BD628">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8643B3E">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ECB774B">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9989451">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F1968E8">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498A18F">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4F44E73">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B0CCBBD">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3F6C617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B11FE58">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7658DFE2">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8A55E0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4FD9FDB">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5B543D">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0262280">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0882AED">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8998EEF">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B863184">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91A41DB">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4F71FFE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6DFBB5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D745624">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B26BC8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F1B15AB">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91F2770">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1EF5DC6">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F469C92">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53064E6">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8C47753">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280A3EE">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03F4F1C9">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706EC8D">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B044480">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8CB0B1F">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5CD970F">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4E084C">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66B229F">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4C6ECC6">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EFA81C2">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D1BDD14">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A46F72A">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1757742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DC1CF3E">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F4D6DFC">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EA60E72">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74344E2">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2E09403">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3603F7D">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30FB986">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2EBD731">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3BA20B3">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0BA2C7E">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24AAE3A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D6458F1">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77C5F13C">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3A158B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BD1CBAF">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1CE1DCD">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5FBA5FB">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CF7ECD9">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02BAC73">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20B5722">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20BCA78">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593FE0E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496B4F1">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B75BF4F">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50A5566">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0BCF065">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7BD84D1">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C523AE">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825D946">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87F731E">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6A3B1B3">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10AD7C1">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4B01E44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7768175">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0F2BC282">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F995B17">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F23ECAE">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E3584BF">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9191D45">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3DA98ED">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3452137">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1151817">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66C86D9">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725DCA6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793C0E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BF6932A">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7478968">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A20AB15">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80D7B8C">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BBBED10">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4D58096">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FB8589F">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F3752A2">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474D882">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326AC78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36816BC">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16F1E909">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AFB7782">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FA69F61">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1A9FD20">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8CDB6DA">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FEF1554">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5CDB2D9">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EEFB946">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89D6533">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29487D1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32BC0A3">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2105347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32C3F1F">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10149B3">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79BCCAB">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81AC4AE">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5DB142F">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CA9B9B5">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D70CA4C">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5446FDC">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74C6785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96436E9">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E381208">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4DF982B">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4CDB1B6">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E97ACF9">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543AFF3">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1EE2253">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984A4E1">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FB93397">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FDF6419">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1D04D06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6CA0E62">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63F88290">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8B95E37">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DCFC30E">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8DFED4E">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D816EAA">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B97592C">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FF0F4EF">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70729EB">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178A80D">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4A0A8EB3">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9480DA2">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24A4E619">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D1427FC">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618B728">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5896703">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344C936">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D851A7D">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7753464">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92DEA12">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E569E58">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11CCB23E">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336BD25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nil"/>
              <w:bottom w:val="inset" w:color="auto" w:sz="8" w:space="0"/>
              <w:right w:val="single" w:color="auto" w:sz="8" w:space="0"/>
            </w:tcBorders>
            <w:vAlign w:val="center"/>
          </w:tcPr>
          <w:p w14:paraId="041346CA">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45DA3576">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666E4283">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4A8F5165">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6C71304B">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7EEB5180">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0112AAAB">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7DF406EE">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0668EAD8">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57B3AA1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6D4A420">
            <w:pPr>
              <w:widowControl/>
              <w:autoSpaceDE/>
              <w:autoSpaceDN/>
              <w:snapToGrid/>
              <w:spacing w:line="240" w:lineRule="auto"/>
              <w:ind w:firstLine="0"/>
              <w:jc w:val="left"/>
              <w:rPr>
                <w:rFonts w:ascii="宋体" w:hAnsi="宋体" w:eastAsia="宋体" w:cs="宋体"/>
                <w:snapToGrid/>
                <w:sz w:val="24"/>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4ECBD235">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7D002420">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2FB3009">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5A71736">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D2E9119">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FE12A97">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8238428">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5A880D5">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2300DEA">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3937EE1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52EB7F5A">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4820F435">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49FA8A63">
            <w:pPr>
              <w:widowControl/>
              <w:autoSpaceDE/>
              <w:autoSpaceDN/>
              <w:snapToGrid/>
              <w:spacing w:line="240" w:lineRule="auto"/>
              <w:ind w:firstLine="0"/>
              <w:rPr>
                <w:rFonts w:ascii="宋体" w:hAnsi="宋体" w:eastAsia="宋体" w:cs="宋体"/>
                <w:snapToGrid/>
                <w:sz w:val="24"/>
                <w:szCs w:val="24"/>
              </w:rPr>
            </w:pPr>
            <w:r>
              <w:rPr>
                <w:rFonts w:hint="eastAsia" w:ascii="宋体" w:hAnsi="宋体" w:eastAsia="宋体" w:cs="宋体"/>
                <w:snapToGrid/>
                <w:sz w:val="20"/>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58883D4">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CEDD39E">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77C4FE9">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8A2472B">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A4E3CD8">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DCA39D4">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8AF9AC4">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46598D5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D6C30C4">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inset" w:color="auto" w:sz="8" w:space="0"/>
              <w:left w:val="nil"/>
              <w:bottom w:val="inset" w:color="auto" w:sz="8" w:space="0"/>
              <w:right w:val="single" w:color="auto" w:sz="8" w:space="0"/>
            </w:tcBorders>
            <w:vAlign w:val="center"/>
          </w:tcPr>
          <w:p w14:paraId="0A9341D4">
            <w:pPr>
              <w:widowControl/>
              <w:autoSpaceDE/>
              <w:autoSpaceDN/>
              <w:snapToGrid/>
              <w:spacing w:line="240" w:lineRule="auto"/>
              <w:ind w:firstLine="0"/>
              <w:jc w:val="left"/>
              <w:rPr>
                <w:rFonts w:ascii="宋体" w:hAnsi="宋体" w:eastAsia="宋体" w:cs="宋体"/>
                <w:snapToGrid/>
                <w:sz w:val="24"/>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59BB4DCA">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181483D">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732C82E">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8197695">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64C9593">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7D72F9D">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A39C9A7">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15CC505">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3AFDEC0D">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C73BCD3">
            <w:pPr>
              <w:widowControl/>
              <w:autoSpaceDE/>
              <w:autoSpaceDN/>
              <w:snapToGrid/>
              <w:spacing w:line="240" w:lineRule="auto"/>
              <w:ind w:firstLine="0"/>
              <w:jc w:val="left"/>
              <w:rPr>
                <w:rFonts w:ascii="宋体" w:hAnsi="宋体" w:eastAsia="宋体" w:cs="宋体"/>
                <w:snapToGrid/>
                <w:sz w:val="24"/>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04218287">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63F820B">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A241436">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7800A7A">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22E97A3">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119C301">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2932DCA">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DDC50A7">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r w14:paraId="368BAC8D">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CC0F407">
            <w:pPr>
              <w:widowControl/>
              <w:autoSpaceDE/>
              <w:autoSpaceDN/>
              <w:snapToGrid/>
              <w:spacing w:line="240" w:lineRule="auto"/>
              <w:ind w:firstLine="0"/>
              <w:jc w:val="left"/>
              <w:rPr>
                <w:rFonts w:ascii="宋体" w:hAnsi="宋体" w:eastAsia="宋体" w:cs="宋体"/>
                <w:snapToGrid/>
                <w:sz w:val="24"/>
                <w:szCs w:val="24"/>
              </w:rPr>
            </w:pPr>
            <w:r>
              <w:rPr>
                <w:rFonts w:hint="eastAsia" w:ascii="宋体" w:hAnsi="宋体" w:eastAsia="宋体" w:cs="宋体"/>
                <w:snapToGrid/>
                <w:sz w:val="20"/>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651AB72">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0D112EC">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10DCFFE">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351F5E46">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FE525ED">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DAABC9B">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452F46D">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bl>
    <w:p w14:paraId="49691D9B">
      <w:pPr>
        <w:spacing w:line="240" w:lineRule="auto"/>
        <w:ind w:firstLine="600" w:firstLineChars="200"/>
        <w:rPr>
          <w:rFonts w:ascii="黑体" w:hAnsi="黑体" w:eastAsia="黑体"/>
          <w:sz w:val="30"/>
          <w:szCs w:val="30"/>
        </w:rPr>
      </w:pPr>
    </w:p>
    <w:p w14:paraId="702F221D">
      <w:pPr>
        <w:spacing w:line="560" w:lineRule="exact"/>
        <w:ind w:firstLine="640" w:firstLineChars="200"/>
        <w:rPr>
          <w:rFonts w:eastAsia="黑体"/>
          <w:szCs w:val="32"/>
        </w:rPr>
      </w:pPr>
      <w:r>
        <w:rPr>
          <w:rFonts w:hint="eastAsia" w:eastAsia="黑体"/>
          <w:szCs w:val="32"/>
        </w:rPr>
        <w:t>四、政府信息公开行政复议、行政诉讼情况</w:t>
      </w:r>
    </w:p>
    <w:tbl>
      <w:tblPr>
        <w:tblStyle w:val="5"/>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54A49D68">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7E69847">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58DFB3C">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行政诉讼</w:t>
            </w:r>
          </w:p>
        </w:tc>
      </w:tr>
      <w:tr w14:paraId="28E0AE14">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F6ECE9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BD92398">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9AB16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1A7E8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67CB7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EA72383">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4AF759">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复议后起诉</w:t>
            </w:r>
          </w:p>
        </w:tc>
      </w:tr>
      <w:tr w14:paraId="08F9461A">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1EF70B12">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nil"/>
              <w:left w:val="single" w:color="auto" w:sz="8" w:space="0"/>
              <w:bottom w:val="single" w:color="auto" w:sz="8" w:space="0"/>
              <w:right w:val="single" w:color="auto" w:sz="8" w:space="0"/>
            </w:tcBorders>
            <w:vAlign w:val="center"/>
          </w:tcPr>
          <w:p w14:paraId="6AB50227">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17FE0B4A">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25CD82E5">
            <w:pPr>
              <w:widowControl/>
              <w:autoSpaceDE/>
              <w:autoSpaceDN/>
              <w:snapToGrid/>
              <w:spacing w:line="240" w:lineRule="auto"/>
              <w:ind w:firstLine="0"/>
              <w:jc w:val="left"/>
              <w:rPr>
                <w:rFonts w:ascii="宋体" w:hAnsi="宋体" w:eastAsia="宋体" w:cs="宋体"/>
                <w:snapToGrid/>
                <w:sz w:val="24"/>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24EA7BA8">
            <w:pPr>
              <w:widowControl/>
              <w:autoSpaceDE/>
              <w:autoSpaceDN/>
              <w:snapToGrid/>
              <w:spacing w:line="240" w:lineRule="auto"/>
              <w:ind w:firstLine="0"/>
              <w:jc w:val="left"/>
              <w:rPr>
                <w:rFonts w:ascii="宋体" w:hAnsi="宋体" w:eastAsia="宋体" w:cs="宋体"/>
                <w:snapToGrid/>
                <w:sz w:val="24"/>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88A3E5D">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26F4168">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8BD1BC">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其他</w:t>
            </w:r>
            <w:r>
              <w:rPr>
                <w:rFonts w:hint="eastAsia" w:ascii="宋体" w:hAnsi="宋体" w:eastAsia="宋体" w:cs="宋体"/>
                <w:snapToGrid/>
                <w:sz w:val="20"/>
              </w:rPr>
              <w:br w:type="textWrapping"/>
            </w:r>
            <w:r>
              <w:rPr>
                <w:rFonts w:hint="eastAsia" w:ascii="宋体" w:hAnsi="宋体" w:eastAsia="宋体" w:cs="宋体"/>
                <w:snapToGrid/>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37EB02C">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62D54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7C0A1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CCE5E4">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结果</w:t>
            </w:r>
            <w:r>
              <w:rPr>
                <w:rFonts w:hint="eastAsia" w:ascii="宋体" w:hAnsi="宋体" w:eastAsia="宋体" w:cs="宋体"/>
                <w:snapToGrid/>
                <w:sz w:val="20"/>
              </w:rPr>
              <w:br w:type="textWrapping"/>
            </w:r>
            <w:r>
              <w:rPr>
                <w:rFonts w:hint="eastAsia" w:ascii="宋体" w:hAnsi="宋体" w:eastAsia="宋体" w:cs="宋体"/>
                <w:snapToGrid/>
                <w:sz w:val="20"/>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93B1E1">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其他</w:t>
            </w:r>
            <w:r>
              <w:rPr>
                <w:rFonts w:hint="eastAsia" w:ascii="宋体" w:hAnsi="宋体" w:eastAsia="宋体" w:cs="宋体"/>
                <w:snapToGrid/>
                <w:color w:val="000000"/>
                <w:sz w:val="20"/>
              </w:rPr>
              <w:br w:type="textWrapping"/>
            </w:r>
            <w:r>
              <w:rPr>
                <w:rFonts w:hint="eastAsia" w:ascii="宋体" w:hAnsi="宋体" w:eastAsia="宋体" w:cs="宋体"/>
                <w:snapToGrid/>
                <w:color w:val="000000"/>
                <w:sz w:val="20"/>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7CB6B0">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sz w:val="20"/>
              </w:rPr>
              <w:t>尚未</w:t>
            </w:r>
            <w:r>
              <w:rPr>
                <w:rFonts w:hint="eastAsia" w:ascii="宋体" w:hAnsi="宋体" w:eastAsia="宋体" w:cs="宋体"/>
                <w:snapToGrid/>
                <w:sz w:val="20"/>
              </w:rPr>
              <w:br w:type="textWrapping"/>
            </w:r>
            <w:r>
              <w:rPr>
                <w:rFonts w:hint="eastAsia" w:ascii="宋体" w:hAnsi="宋体" w:eastAsia="宋体" w:cs="宋体"/>
                <w:snapToGrid/>
                <w:sz w:val="20"/>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FD36DB">
            <w:pPr>
              <w:widowControl/>
              <w:autoSpaceDE/>
              <w:autoSpaceDN/>
              <w:snapToGrid/>
              <w:spacing w:line="240" w:lineRule="auto"/>
              <w:ind w:firstLine="0"/>
              <w:jc w:val="center"/>
              <w:rPr>
                <w:rFonts w:ascii="宋体" w:hAnsi="宋体" w:eastAsia="宋体" w:cs="宋体"/>
                <w:snapToGrid/>
                <w:sz w:val="24"/>
                <w:szCs w:val="24"/>
              </w:rPr>
            </w:pPr>
            <w:r>
              <w:rPr>
                <w:rFonts w:hint="eastAsia" w:ascii="宋体" w:hAnsi="宋体" w:eastAsia="宋体" w:cs="宋体"/>
                <w:snapToGrid/>
                <w:color w:val="000000"/>
                <w:sz w:val="20"/>
              </w:rPr>
              <w:t>总计</w:t>
            </w:r>
          </w:p>
        </w:tc>
      </w:tr>
      <w:tr w14:paraId="3BAAC374">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025BB2A">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9FED7A">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AF61C68">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404ECC3">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6D6B624">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4C749C7">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E121139">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BE3D913">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8DB56A6">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92154F9">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512BE7A">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8C987BC">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CB9F957">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ABF30BE">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263931F">
            <w:pPr>
              <w:widowControl/>
              <w:autoSpaceDE/>
              <w:autoSpaceDN/>
              <w:snapToGrid/>
              <w:spacing w:line="240" w:lineRule="auto"/>
              <w:ind w:firstLine="0" w:firstLineChars="0"/>
              <w:jc w:val="center"/>
              <w:rPr>
                <w:rFonts w:ascii="宋体" w:hAnsi="宋体" w:eastAsia="宋体" w:cs="宋体"/>
                <w:snapToGrid/>
                <w:sz w:val="24"/>
                <w:szCs w:val="24"/>
              </w:rPr>
            </w:pPr>
            <w:r>
              <w:rPr>
                <w:rFonts w:ascii="Calibri" w:hAnsi="Calibri" w:eastAsia="宋体" w:cs="Calibri"/>
                <w:snapToGrid/>
                <w:sz w:val="20"/>
              </w:rPr>
              <w:t> </w:t>
            </w:r>
            <w:r>
              <w:rPr>
                <w:rFonts w:hint="eastAsia" w:ascii="Calibri" w:hAnsi="Calibri" w:eastAsia="宋体" w:cs="Calibri"/>
                <w:snapToGrid/>
                <w:sz w:val="20"/>
                <w:lang w:val="en-US" w:eastAsia="zh-CN"/>
              </w:rPr>
              <w:t>0</w:t>
            </w:r>
          </w:p>
        </w:tc>
      </w:tr>
    </w:tbl>
    <w:p w14:paraId="46918C4C">
      <w:pPr>
        <w:spacing w:line="240" w:lineRule="auto"/>
        <w:ind w:firstLine="640" w:firstLineChars="200"/>
        <w:rPr>
          <w:rFonts w:ascii="黑体" w:hAnsi="黑体" w:eastAsia="黑体"/>
          <w:szCs w:val="32"/>
        </w:rPr>
      </w:pPr>
    </w:p>
    <w:p w14:paraId="39465D88">
      <w:pPr>
        <w:spacing w:line="560" w:lineRule="exact"/>
        <w:ind w:firstLine="640" w:firstLineChars="200"/>
        <w:rPr>
          <w:rFonts w:eastAsia="黑体"/>
          <w:szCs w:val="32"/>
        </w:rPr>
      </w:pPr>
      <w:r>
        <w:rPr>
          <w:rFonts w:hint="eastAsia" w:eastAsia="黑体"/>
          <w:szCs w:val="32"/>
        </w:rPr>
        <w:t>五、存在的主要问题及改进情况</w:t>
      </w:r>
    </w:p>
    <w:p w14:paraId="1CB79E96">
      <w:pPr>
        <w:spacing w:line="560" w:lineRule="exact"/>
        <w:ind w:firstLine="640" w:firstLineChars="200"/>
        <w:rPr>
          <w:rFonts w:hint="eastAsia" w:ascii="楷体_GB2312" w:eastAsia="楷体_GB2312"/>
          <w:szCs w:val="32"/>
          <w:lang w:val="en-US" w:eastAsia="zh-CN"/>
        </w:rPr>
      </w:pPr>
      <w:r>
        <w:rPr>
          <w:rFonts w:hint="eastAsia" w:ascii="楷体_GB2312" w:eastAsia="楷体_GB2312"/>
          <w:szCs w:val="32"/>
          <w:lang w:val="en-US" w:eastAsia="zh-CN"/>
        </w:rPr>
        <w:t>（一）存在问题</w:t>
      </w:r>
    </w:p>
    <w:p w14:paraId="6A0DD195">
      <w:pPr>
        <w:spacing w:line="560" w:lineRule="exact"/>
        <w:ind w:firstLine="640" w:firstLineChars="200"/>
        <w:rPr>
          <w:rFonts w:hint="eastAsia" w:eastAsia="仿宋_GB2312"/>
          <w:lang w:val="en-US" w:eastAsia="zh-CN"/>
        </w:rPr>
      </w:pPr>
      <w:r>
        <w:rPr>
          <w:rFonts w:hint="eastAsia" w:eastAsia="仿宋_GB2312"/>
          <w:lang w:val="en-US" w:eastAsia="zh-CN"/>
        </w:rPr>
        <w:t>一是公开内容与企业需求匹配度不足。针对企业高度关注的工业扶持政策、技术改造补贴申报、企业荣誉评定申报等核心领域，当前公开内容多以政策原文直接转发为主，缺乏梳理整合，未同步编制申报指南、材料清单、流程示意图等具象化解读材料。</w:t>
      </w:r>
    </w:p>
    <w:p w14:paraId="680E1627">
      <w:pPr>
        <w:spacing w:line="560" w:lineRule="exact"/>
        <w:ind w:firstLine="640" w:firstLineChars="200"/>
        <w:rPr>
          <w:rFonts w:hint="eastAsia" w:eastAsia="仿宋_GB2312"/>
          <w:lang w:val="en-US" w:eastAsia="zh-CN"/>
        </w:rPr>
      </w:pPr>
      <w:r>
        <w:rPr>
          <w:rFonts w:hint="eastAsia" w:eastAsia="仿宋_GB2312"/>
          <w:lang w:val="en-US" w:eastAsia="zh-CN"/>
        </w:rPr>
        <w:t>二是政策解读形式创新性与多样性欠缺。政策解读方式仍局限于传统模式，以文字解读、线下宣讲为主要手段，形式较为单一。</w:t>
      </w:r>
    </w:p>
    <w:p w14:paraId="137B2A2A">
      <w:pPr>
        <w:spacing w:line="560" w:lineRule="exact"/>
        <w:ind w:firstLine="640" w:firstLineChars="200"/>
        <w:rPr>
          <w:rFonts w:hint="eastAsia" w:ascii="楷体_GB2312" w:eastAsia="楷体_GB2312"/>
          <w:szCs w:val="32"/>
        </w:rPr>
      </w:pPr>
      <w:r>
        <w:rPr>
          <w:rFonts w:hint="eastAsia" w:ascii="楷体_GB2312" w:eastAsia="楷体_GB2312"/>
          <w:szCs w:val="32"/>
        </w:rPr>
        <w:t>（二）改进情况</w:t>
      </w:r>
    </w:p>
    <w:p w14:paraId="231C65E6">
      <w:pPr>
        <w:spacing w:line="560" w:lineRule="exact"/>
        <w:ind w:firstLine="640" w:firstLineChars="200"/>
        <w:rPr>
          <w:rFonts w:hint="eastAsia" w:eastAsia="仿宋_GB2312"/>
          <w:lang w:val="en-US" w:eastAsia="zh-CN"/>
        </w:rPr>
      </w:pPr>
      <w:r>
        <w:rPr>
          <w:rFonts w:hint="eastAsia" w:eastAsia="仿宋_GB2312"/>
          <w:lang w:val="en-US" w:eastAsia="zh-CN"/>
        </w:rPr>
        <w:t>一是聚焦内容适配，精准匹配企业需求。开展常态化调研，全面收集工业扶持、技改补贴、荣誉申报等企业高频关注领域的信息需求，梳理形成清单</w:t>
      </w:r>
      <w:bookmarkStart w:id="0" w:name="_GoBack"/>
      <w:bookmarkEnd w:id="0"/>
      <w:r>
        <w:rPr>
          <w:rFonts w:hint="eastAsia" w:eastAsia="仿宋_GB2312"/>
          <w:lang w:val="en-US" w:eastAsia="zh-CN"/>
        </w:rPr>
        <w:t>，明确公开内容的优先级和侧重点。摒弃“原文直发”模式，围绕需求清单优化公开内容结构，优先公开企业最关心的政策适用范围、申报条件、办理流程、所需材料、时限要求等核心信息，同步编制配套的申报指南、材料模板、流程示意图、常见问题解答等具象化解读材料，实现“政策原文+适配解读+实用附件”三位一体公开。</w:t>
      </w:r>
    </w:p>
    <w:p w14:paraId="7BE6822A">
      <w:pPr>
        <w:spacing w:line="560" w:lineRule="exact"/>
        <w:ind w:firstLine="640" w:firstLineChars="200"/>
        <w:rPr>
          <w:rFonts w:eastAsia="仿宋_GB2312"/>
        </w:rPr>
      </w:pPr>
      <w:r>
        <w:rPr>
          <w:rFonts w:hint="eastAsia" w:eastAsia="仿宋_GB2312"/>
          <w:lang w:val="en-US" w:eastAsia="zh-CN"/>
        </w:rPr>
        <w:t>二是创新解读形式，提升政策传播效能。突破传统解读模式局限，创新“多元+专业”的解读体系。丰富解读形态，利用动画短片、图文长图、信息图等可视化的新形式，将专业的政策术语转化为生动直观的内容，邀请业务骨干、行业专家参与政策解读，通过政务新媒体、线下座谈会等形式，深入拆解政策要点、申报难点，提升解读内容的专业性和权威性。</w:t>
      </w:r>
    </w:p>
    <w:p w14:paraId="4DC06091">
      <w:pPr>
        <w:spacing w:line="560" w:lineRule="exact"/>
        <w:ind w:firstLine="640" w:firstLineChars="200"/>
        <w:rPr>
          <w:rFonts w:eastAsia="黑体"/>
          <w:szCs w:val="32"/>
        </w:rPr>
      </w:pPr>
      <w:r>
        <w:rPr>
          <w:rFonts w:hint="eastAsia" w:eastAsia="黑体"/>
          <w:szCs w:val="32"/>
        </w:rPr>
        <w:t>六、其他需要报告的事项</w:t>
      </w:r>
    </w:p>
    <w:p w14:paraId="0C0063AD">
      <w:pPr>
        <w:spacing w:line="560" w:lineRule="exact"/>
        <w:ind w:firstLine="640" w:firstLineChars="200"/>
        <w:rPr>
          <w:rFonts w:hint="eastAsia" w:ascii="楷体_GB2312" w:eastAsia="楷体_GB2312"/>
          <w:szCs w:val="32"/>
        </w:rPr>
      </w:pPr>
      <w:r>
        <w:rPr>
          <w:rFonts w:hint="eastAsia" w:ascii="楷体_GB2312" w:eastAsia="楷体_GB2312"/>
          <w:szCs w:val="32"/>
        </w:rPr>
        <w:t>（一）政府信息公开信息处理费收取情况</w:t>
      </w:r>
    </w:p>
    <w:p w14:paraId="3847066C">
      <w:pPr>
        <w:spacing w:line="560" w:lineRule="exact"/>
        <w:ind w:firstLine="640" w:firstLineChars="200"/>
        <w:rPr>
          <w:rFonts w:eastAsia="仿宋_GB2312"/>
        </w:rPr>
      </w:pPr>
      <w:r>
        <w:rPr>
          <w:rFonts w:hint="eastAsia" w:eastAsia="仿宋_GB231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w:t>
      </w:r>
      <w:r>
        <w:rPr>
          <w:rFonts w:hint="eastAsia" w:eastAsia="仿宋_GB2312"/>
          <w:lang w:val="en-US" w:eastAsia="zh-CN"/>
        </w:rPr>
        <w:t>5</w:t>
      </w:r>
      <w:r>
        <w:rPr>
          <w:rFonts w:hint="eastAsia" w:eastAsia="仿宋_GB2312"/>
        </w:rPr>
        <w:t>年本机关依申请公开政府信息未收取任何费用。</w:t>
      </w:r>
    </w:p>
    <w:p w14:paraId="5943748D">
      <w:pPr>
        <w:spacing w:line="560" w:lineRule="exact"/>
        <w:ind w:firstLine="640" w:firstLineChars="200"/>
        <w:rPr>
          <w:rFonts w:hint="eastAsia" w:ascii="楷体_GB2312" w:eastAsia="楷体_GB2312"/>
          <w:szCs w:val="32"/>
        </w:rPr>
      </w:pPr>
      <w:r>
        <w:rPr>
          <w:rFonts w:hint="eastAsia" w:ascii="楷体_GB2312" w:eastAsia="楷体_GB2312"/>
          <w:szCs w:val="32"/>
        </w:rPr>
        <w:t>（二）落实上级年度政务公开工作要点情况</w:t>
      </w:r>
    </w:p>
    <w:p w14:paraId="6DD6A91C">
      <w:pPr>
        <w:spacing w:line="560" w:lineRule="exact"/>
        <w:ind w:firstLine="640" w:firstLineChars="200"/>
        <w:rPr>
          <w:rFonts w:hint="eastAsia" w:eastAsia="仿宋_GB2312"/>
        </w:rPr>
      </w:pPr>
      <w:r>
        <w:rPr>
          <w:rFonts w:hint="eastAsia" w:eastAsia="仿宋_GB2312"/>
          <w:lang w:val="en-US" w:eastAsia="zh-CN"/>
        </w:rPr>
        <w:t>严</w:t>
      </w:r>
      <w:r>
        <w:rPr>
          <w:rFonts w:hint="eastAsia" w:eastAsia="仿宋_GB2312"/>
        </w:rPr>
        <w:t>格落实国家和省市县政务公开工作要点，并根据《高青县人民政府办公室关于印发202</w:t>
      </w:r>
      <w:r>
        <w:rPr>
          <w:rFonts w:hint="eastAsia" w:eastAsia="仿宋_GB2312"/>
          <w:lang w:val="en-US" w:eastAsia="zh-CN"/>
        </w:rPr>
        <w:t>5</w:t>
      </w:r>
      <w:r>
        <w:rPr>
          <w:rFonts w:hint="eastAsia" w:eastAsia="仿宋_GB2312"/>
        </w:rPr>
        <w:t>年高青县政务公开工作方案的通知》要求，</w:t>
      </w:r>
      <w:r>
        <w:rPr>
          <w:rFonts w:hint="eastAsia" w:eastAsia="仿宋_GB2312"/>
          <w:lang w:eastAsia="zh-CN"/>
        </w:rPr>
        <w:t>一是</w:t>
      </w:r>
      <w:r>
        <w:rPr>
          <w:rFonts w:hint="eastAsia" w:eastAsia="仿宋_GB2312"/>
        </w:rPr>
        <w:t>制定了《高青</w:t>
      </w:r>
      <w:r>
        <w:rPr>
          <w:rFonts w:hint="eastAsia" w:eastAsia="仿宋_GB2312"/>
          <w:lang w:eastAsia="zh-CN"/>
        </w:rPr>
        <w:t>县工业和信息化</w:t>
      </w:r>
      <w:r>
        <w:rPr>
          <w:rFonts w:hint="eastAsia" w:eastAsia="仿宋_GB2312"/>
        </w:rPr>
        <w:t>局政务公开工作方案》，明确了重点任务、工作标准和完成时限。</w:t>
      </w:r>
      <w:r>
        <w:rPr>
          <w:rFonts w:hint="eastAsia" w:eastAsia="仿宋_GB2312"/>
          <w:lang w:val="en-US" w:eastAsia="zh-CN"/>
        </w:rPr>
        <w:t>将重点工作细化分解至各业务科室，明确责任分工与完成时限。二是聚焦政策权威发布、政策解读质效提升、重大行政决策全生命周期公开等核心任务，全年开展政策宣讲活动11场，发布政策解读视频，按要求公开重大行政决策相关审查信息及意见征集情况。三是建立工作落实自查自纠机制，定期复盘推进情况，及时整改薄弱环节，确保上级政务公开工作要点各项部署落地见效。</w:t>
      </w:r>
    </w:p>
    <w:p w14:paraId="456CFC1D">
      <w:pPr>
        <w:spacing w:line="560" w:lineRule="exact"/>
        <w:ind w:firstLine="640" w:firstLineChars="200"/>
        <w:rPr>
          <w:rFonts w:hint="eastAsia" w:ascii="楷体_GB2312" w:eastAsia="楷体_GB2312"/>
          <w:szCs w:val="32"/>
        </w:rPr>
      </w:pPr>
      <w:r>
        <w:rPr>
          <w:rFonts w:hint="eastAsia" w:ascii="楷体_GB2312" w:eastAsia="楷体_GB2312"/>
          <w:szCs w:val="32"/>
        </w:rPr>
        <w:t>（三）人大代表建议和政协委员提案办理结果公开情况</w:t>
      </w:r>
    </w:p>
    <w:p w14:paraId="6E20F028">
      <w:pPr>
        <w:spacing w:line="560" w:lineRule="exact"/>
        <w:ind w:firstLine="640" w:firstLineChars="200"/>
        <w:rPr>
          <w:rFonts w:eastAsia="仿宋_GB2312"/>
        </w:rPr>
      </w:pPr>
      <w:r>
        <w:rPr>
          <w:rFonts w:hint="eastAsia" w:eastAsia="仿宋_GB2312"/>
          <w:lang w:val="en-US" w:eastAsia="zh-CN"/>
        </w:rPr>
        <w:t>2</w:t>
      </w:r>
      <w:r>
        <w:rPr>
          <w:rFonts w:hint="eastAsia" w:eastAsia="仿宋_GB2312"/>
        </w:rPr>
        <w:t>02</w:t>
      </w:r>
      <w:r>
        <w:rPr>
          <w:rFonts w:hint="eastAsia" w:eastAsia="仿宋_GB2312"/>
          <w:lang w:val="en-US" w:eastAsia="zh-CN"/>
        </w:rPr>
        <w:t>5</w:t>
      </w:r>
      <w:r>
        <w:rPr>
          <w:rFonts w:hint="eastAsia" w:eastAsia="仿宋_GB2312"/>
        </w:rPr>
        <w:t>年共承办县十八届人大</w:t>
      </w:r>
      <w:r>
        <w:rPr>
          <w:rFonts w:hint="eastAsia" w:eastAsia="仿宋_GB2312"/>
          <w:lang w:eastAsia="zh-CN"/>
        </w:rPr>
        <w:t>四</w:t>
      </w:r>
      <w:r>
        <w:rPr>
          <w:rFonts w:hint="eastAsia" w:eastAsia="仿宋_GB2312"/>
        </w:rPr>
        <w:t>次会议建议</w:t>
      </w:r>
      <w:r>
        <w:rPr>
          <w:rFonts w:hint="eastAsia" w:eastAsia="仿宋_GB2312"/>
          <w:lang w:val="en-US" w:eastAsia="zh-CN"/>
        </w:rPr>
        <w:t>1</w:t>
      </w:r>
      <w:r>
        <w:rPr>
          <w:rFonts w:hint="eastAsia" w:eastAsia="仿宋_GB2312"/>
        </w:rPr>
        <w:t>件，承办县政协十五届</w:t>
      </w:r>
      <w:r>
        <w:rPr>
          <w:rFonts w:hint="eastAsia" w:eastAsia="仿宋_GB2312"/>
          <w:lang w:eastAsia="zh-CN"/>
        </w:rPr>
        <w:t>四</w:t>
      </w:r>
      <w:r>
        <w:rPr>
          <w:rFonts w:hint="eastAsia" w:eastAsia="仿宋_GB2312"/>
        </w:rPr>
        <w:t>次会议提案</w:t>
      </w:r>
      <w:r>
        <w:rPr>
          <w:rFonts w:hint="eastAsia" w:eastAsia="仿宋_GB2312"/>
          <w:lang w:val="en-US" w:eastAsia="zh-CN"/>
        </w:rPr>
        <w:t>8</w:t>
      </w:r>
      <w:r>
        <w:rPr>
          <w:rFonts w:hint="eastAsia" w:eastAsia="仿宋_GB2312"/>
        </w:rPr>
        <w:t>件，办复率均为100%。除涉及国家秘密、工作秘密的，所有建议提案办理复文或摘要以及办理总体情况均在县政府门户网站建议提案办理专题中予以公开。</w:t>
      </w:r>
    </w:p>
    <w:p w14:paraId="59D80723">
      <w:pPr>
        <w:spacing w:line="560" w:lineRule="exact"/>
        <w:ind w:firstLine="640" w:firstLineChars="200"/>
        <w:rPr>
          <w:rFonts w:hint="eastAsia" w:ascii="楷体_GB2312" w:eastAsia="楷体_GB2312"/>
          <w:szCs w:val="32"/>
        </w:rPr>
      </w:pPr>
      <w:r>
        <w:rPr>
          <w:rFonts w:hint="eastAsia" w:ascii="楷体_GB2312" w:eastAsia="楷体_GB2312"/>
          <w:szCs w:val="32"/>
        </w:rPr>
        <w:t>（四）政务公开工作创新情况</w:t>
      </w:r>
    </w:p>
    <w:p w14:paraId="290CB73D">
      <w:pPr>
        <w:spacing w:line="560" w:lineRule="exact"/>
        <w:ind w:firstLine="640" w:firstLineChars="200"/>
        <w:rPr>
          <w:rFonts w:hint="eastAsia" w:eastAsia="仿宋_GB2312"/>
        </w:rPr>
      </w:pPr>
      <w:r>
        <w:rPr>
          <w:rFonts w:hint="eastAsia" w:eastAsia="仿宋_GB2312"/>
          <w:lang w:val="en-US" w:eastAsia="zh-CN"/>
        </w:rPr>
        <w:t>创新打造“政策精准推送+线下精准解读”双线服务模式。线上依托“伴企通”服务平台，建立企业信息数据库，根据企业行业类型、规模等特征，精准推送适配的惠企政策信息；线下组建“惠企政策大讲堂”，组织相关部门的业务骨干按照各部门的相关职责，为企业开展“定制化”政策宣讲，并针对不同企业需求现场答疑解惑。同时，优化政策解读视频传播渠道，用好指尖传媒在“最高青”新闻媒体平台，发布相关政策以及部门动态，提升政策知晓率和落地实效。</w:t>
      </w:r>
    </w:p>
    <w:p w14:paraId="49DCC182">
      <w:pPr>
        <w:spacing w:line="560" w:lineRule="exact"/>
        <w:ind w:firstLine="640" w:firstLineChars="200"/>
        <w:rPr>
          <w:rFonts w:hint="eastAsia" w:ascii="楷体_GB2312" w:eastAsia="楷体_GB2312"/>
          <w:szCs w:val="32"/>
        </w:rPr>
      </w:pPr>
      <w:r>
        <w:rPr>
          <w:rFonts w:hint="eastAsia" w:ascii="楷体_GB2312" w:eastAsia="楷体_GB2312"/>
          <w:szCs w:val="32"/>
        </w:rPr>
        <w:t>（五）有关数据统计说明</w:t>
      </w:r>
    </w:p>
    <w:p w14:paraId="696F2402">
      <w:pPr>
        <w:spacing w:line="560" w:lineRule="exact"/>
        <w:ind w:firstLine="640" w:firstLineChars="200"/>
        <w:rPr>
          <w:rFonts w:eastAsia="仿宋_GB2312"/>
        </w:rPr>
      </w:pPr>
      <w:r>
        <w:rPr>
          <w:rFonts w:hint="eastAsia" w:eastAsia="仿宋_GB2312"/>
        </w:rPr>
        <w:t>1.报告中所列数据可能因四舍五入原因与数据直接相加之和存在尾数差异。</w:t>
      </w:r>
    </w:p>
    <w:p w14:paraId="5079BE0E">
      <w:pPr>
        <w:spacing w:line="560" w:lineRule="exact"/>
        <w:ind w:firstLine="640" w:firstLineChars="200"/>
        <w:rPr>
          <w:rFonts w:eastAsia="仿宋_GB2312"/>
        </w:rPr>
      </w:pPr>
      <w:r>
        <w:rPr>
          <w:rFonts w:hint="eastAsia" w:eastAsia="仿宋_GB2312"/>
        </w:rPr>
        <w:t>2.行政许可数量、行政处罚和行政强制数量，包括已公开和依法未公开的全部处理决定。</w:t>
      </w:r>
    </w:p>
    <w:p w14:paraId="51EF99F1">
      <w:pPr>
        <w:spacing w:line="560" w:lineRule="exact"/>
        <w:ind w:firstLine="640" w:firstLineChars="200"/>
        <w:rPr>
          <w:rFonts w:eastAsia="仿宋_GB2312"/>
        </w:rPr>
      </w:pPr>
      <w:r>
        <w:rPr>
          <w:rFonts w:hint="eastAsia" w:eastAsia="仿宋_GB2312"/>
        </w:rPr>
        <w:t>3.行政复议机关作为共同被告的行政诉讼案件，只计算原行为主体的案件数量，不计算行政复议机关的案件数量。</w:t>
      </w:r>
    </w:p>
    <w:p w14:paraId="6EB10360">
      <w:pPr>
        <w:spacing w:line="560" w:lineRule="exact"/>
        <w:ind w:firstLine="600" w:firstLineChars="200"/>
        <w:rPr>
          <w:rFonts w:ascii="黑体" w:hAnsi="黑体" w:eastAsia="黑体"/>
          <w:sz w:val="30"/>
          <w:szCs w:val="30"/>
        </w:rPr>
      </w:pPr>
    </w:p>
    <w:p w14:paraId="75F27242">
      <w:pPr>
        <w:ind w:firstLine="640" w:firstLineChars="200"/>
        <w:jc w:val="left"/>
        <w:rPr>
          <w:rFonts w:ascii="仿宋_GB2312" w:eastAsia="仿宋_GB2312"/>
        </w:rPr>
      </w:pPr>
    </w:p>
    <w:p w14:paraId="1602455C">
      <w:pPr>
        <w:ind w:firstLine="600" w:firstLineChars="200"/>
        <w:jc w:val="left"/>
        <w:rPr>
          <w:rFonts w:ascii="楷体_GB2312" w:hAnsi="黑体" w:eastAsia="楷体_GB2312"/>
          <w:sz w:val="30"/>
          <w:szCs w:val="30"/>
        </w:rPr>
      </w:pPr>
    </w:p>
    <w:p w14:paraId="0C60952B">
      <w:pPr>
        <w:spacing w:line="560" w:lineRule="exact"/>
        <w:ind w:firstLine="600" w:firstLineChars="200"/>
        <w:rPr>
          <w:rFonts w:ascii="楷体_GB2312" w:hAnsi="黑体" w:eastAsia="楷体_GB2312"/>
          <w:sz w:val="30"/>
          <w:szCs w:val="30"/>
        </w:rPr>
      </w:pP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110130"/>
    <w:rsid w:val="00117733"/>
    <w:rsid w:val="00121DCF"/>
    <w:rsid w:val="00210F4D"/>
    <w:rsid w:val="00211942"/>
    <w:rsid w:val="002133C7"/>
    <w:rsid w:val="002961F2"/>
    <w:rsid w:val="002E3543"/>
    <w:rsid w:val="003B5255"/>
    <w:rsid w:val="003D6FCB"/>
    <w:rsid w:val="003E75A6"/>
    <w:rsid w:val="00415AB1"/>
    <w:rsid w:val="004622F8"/>
    <w:rsid w:val="0046794E"/>
    <w:rsid w:val="004C1750"/>
    <w:rsid w:val="004D241E"/>
    <w:rsid w:val="00515DB1"/>
    <w:rsid w:val="00523855"/>
    <w:rsid w:val="005422B3"/>
    <w:rsid w:val="005626E3"/>
    <w:rsid w:val="00591E5D"/>
    <w:rsid w:val="005C0F41"/>
    <w:rsid w:val="0065765D"/>
    <w:rsid w:val="00673AC7"/>
    <w:rsid w:val="006947A5"/>
    <w:rsid w:val="00704FCD"/>
    <w:rsid w:val="008C4ED2"/>
    <w:rsid w:val="00915D0B"/>
    <w:rsid w:val="009B028C"/>
    <w:rsid w:val="00C542CC"/>
    <w:rsid w:val="00C67940"/>
    <w:rsid w:val="00C73BD0"/>
    <w:rsid w:val="00CC2BE7"/>
    <w:rsid w:val="00CC521B"/>
    <w:rsid w:val="00CD1D00"/>
    <w:rsid w:val="00E60B5D"/>
    <w:rsid w:val="00EA0721"/>
    <w:rsid w:val="00EF5607"/>
    <w:rsid w:val="00FA216A"/>
    <w:rsid w:val="00FD5381"/>
    <w:rsid w:val="040A41A8"/>
    <w:rsid w:val="1EEF3A6F"/>
    <w:rsid w:val="225C3F6E"/>
    <w:rsid w:val="2F386B53"/>
    <w:rsid w:val="33D87477"/>
    <w:rsid w:val="54295C66"/>
    <w:rsid w:val="564D6EAA"/>
    <w:rsid w:val="5DB10094"/>
    <w:rsid w:val="5E362047"/>
    <w:rsid w:val="5ED9359E"/>
    <w:rsid w:val="671E1EC8"/>
    <w:rsid w:val="7DBBB6EA"/>
    <w:rsid w:val="7DF88AE6"/>
    <w:rsid w:val="B7FF4B83"/>
    <w:rsid w:val="BDF5D44D"/>
    <w:rsid w:val="BF35776F"/>
    <w:rsid w:val="DBAFF641"/>
    <w:rsid w:val="DBDE7B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kern w:val="0"/>
      <w:sz w:val="32"/>
      <w:szCs w:val="2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pacing w:line="240" w:lineRule="atLeast"/>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22"/>
    <w:rPr>
      <w:b/>
    </w:rPr>
  </w:style>
  <w:style w:type="character" w:customStyle="1" w:styleId="9">
    <w:name w:val="页眉 Char"/>
    <w:basedOn w:val="7"/>
    <w:link w:val="4"/>
    <w:qFormat/>
    <w:uiPriority w:val="99"/>
    <w:rPr>
      <w:rFonts w:ascii="Times New Roman" w:hAnsi="Times New Roman" w:eastAsia="方正仿宋_GBK" w:cs="Times New Roman"/>
      <w:snapToGrid w:val="0"/>
      <w:kern w:val="0"/>
      <w:sz w:val="18"/>
      <w:szCs w:val="18"/>
    </w:rPr>
  </w:style>
  <w:style w:type="character" w:customStyle="1" w:styleId="10">
    <w:name w:val="页脚 Char"/>
    <w:basedOn w:val="7"/>
    <w:link w:val="3"/>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10</Pages>
  <Words>1578</Words>
  <Characters>1676</Characters>
  <Lines>15</Lines>
  <Paragraphs>4</Paragraphs>
  <TotalTime>32</TotalTime>
  <ScaleCrop>false</ScaleCrop>
  <LinksUpToDate>false</LinksUpToDate>
  <CharactersWithSpaces>1676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2022-01-04T01:04:00Z</dcterms:created>
  <dc:creator>lb</dc:creator>
  <cp:lastModifiedBy>。</cp:lastModifiedBy>
  <dcterms:modified xsi:type="dcterms:W3CDTF">2026-01-21T02:09:30Z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eyJoZGlkIjoiNDA0NDljNmFiMzFkY2ZjZmQ4N2MzMDQyM2Q3NzlkMzMiLCJ1c2VySWQiOiI1MjQ4Mzc4MjkifQ==</vt:lpwstr>
  </property>
  <property fmtid="{D5CDD505-2E9C-101B-9397-08002B2CF9AE}" pid="3" name="KSOProductBuildVer">
    <vt:lpwstr>2052-12.1.0.24657</vt:lpwstr>
  </property>
  <property fmtid="{D5CDD505-2E9C-101B-9397-08002B2CF9AE}" pid="4" name="ICV">
    <vt:lpwstr>9260401643CA592E10D16D690242A419_43</vt:lpwstr>
  </property>
</Properties>
</file>