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高青县</w:t>
      </w:r>
      <w:r>
        <w:rPr>
          <w:rFonts w:hint="eastAsia" w:ascii="方正小标宋简体" w:hAnsi="方正小标宋简体" w:eastAsia="方正小标宋简体" w:cs="方正小标宋简体"/>
          <w:b/>
          <w:sz w:val="44"/>
          <w:szCs w:val="44"/>
          <w:lang w:eastAsia="zh-CN"/>
        </w:rPr>
        <w:t>工业和信息化</w:t>
      </w:r>
      <w:r>
        <w:rPr>
          <w:rFonts w:hint="eastAsia" w:ascii="方正小标宋简体" w:hAnsi="方正小标宋简体" w:eastAsia="方正小标宋简体" w:cs="方正小标宋简体"/>
          <w:b/>
          <w:sz w:val="44"/>
          <w:szCs w:val="44"/>
        </w:rPr>
        <w:t>局</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2020年政府信息公开工作年度报告</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本报告根据《中华人民共和国政府信息公开条例》（国务院令第711号，以下简称《条例》）要求，由高青县</w:t>
      </w:r>
      <w:r>
        <w:rPr>
          <w:rFonts w:hint="eastAsia" w:ascii="仿宋_GB2312" w:eastAsia="仿宋_GB2312"/>
          <w:sz w:val="32"/>
          <w:szCs w:val="32"/>
          <w:lang w:eastAsia="zh-CN"/>
        </w:rPr>
        <w:t>工业和信息化</w:t>
      </w:r>
      <w:r>
        <w:rPr>
          <w:rFonts w:hint="eastAsia" w:ascii="仿宋_GB2312" w:eastAsia="仿宋_GB2312"/>
          <w:sz w:val="32"/>
          <w:szCs w:val="32"/>
        </w:rPr>
        <w:t>局办公室综合本单位政府信息公开工作情况编制。</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报告全文由总体情况、主动公开政府信息情况、收到和处理政府信息公开申请情况、政府信息公开行政复议行政诉讼情况、存在的主要问题及改进情况、其他需要报告的事项6个部分组成。</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报告中所列数据统计期限自2020年1月1日始，至2020年12月31日止。报告电子版可在高青县人民政府门户网站（www.gaoqing.gov.cn）查阅和下载。如对报告内容有疑问，请与高青县</w:t>
      </w:r>
      <w:r>
        <w:rPr>
          <w:rFonts w:hint="eastAsia" w:ascii="仿宋_GB2312" w:eastAsia="仿宋_GB2312"/>
          <w:sz w:val="32"/>
          <w:szCs w:val="32"/>
          <w:lang w:eastAsia="zh-CN"/>
        </w:rPr>
        <w:t>工业和信息化</w:t>
      </w:r>
      <w:r>
        <w:rPr>
          <w:rFonts w:hint="eastAsia" w:ascii="仿宋_GB2312" w:eastAsia="仿宋_GB2312"/>
          <w:sz w:val="32"/>
          <w:szCs w:val="32"/>
        </w:rPr>
        <w:t>局办公室联系（地址：高青县城</w:t>
      </w:r>
      <w:r>
        <w:rPr>
          <w:rFonts w:hint="eastAsia" w:ascii="仿宋_GB2312" w:eastAsia="仿宋_GB2312"/>
          <w:sz w:val="32"/>
          <w:szCs w:val="32"/>
          <w:lang w:eastAsia="zh-CN"/>
        </w:rPr>
        <w:t>高苑</w:t>
      </w:r>
      <w:r>
        <w:rPr>
          <w:rFonts w:hint="eastAsia" w:ascii="仿宋_GB2312" w:eastAsia="仿宋_GB2312"/>
          <w:sz w:val="32"/>
          <w:szCs w:val="32"/>
        </w:rPr>
        <w:t>路</w:t>
      </w:r>
      <w:r>
        <w:rPr>
          <w:rFonts w:hint="eastAsia" w:ascii="仿宋_GB2312" w:eastAsia="仿宋_GB2312"/>
          <w:sz w:val="32"/>
          <w:szCs w:val="32"/>
          <w:lang w:val="en-US" w:eastAsia="zh-CN"/>
        </w:rPr>
        <w:t>32</w:t>
      </w:r>
      <w:r>
        <w:rPr>
          <w:rFonts w:hint="eastAsia" w:ascii="仿宋_GB2312" w:eastAsia="仿宋_GB2312"/>
          <w:sz w:val="32"/>
          <w:szCs w:val="32"/>
        </w:rPr>
        <w:t>号；邮编：</w:t>
      </w:r>
      <w:r>
        <w:rPr>
          <w:rFonts w:hint="eastAsia" w:ascii="仿宋_GB2312" w:eastAsia="仿宋_GB2312"/>
          <w:sz w:val="32"/>
          <w:szCs w:val="32"/>
          <w:lang w:val="en-US" w:eastAsia="zh-CN"/>
        </w:rPr>
        <w:t>256300</w:t>
      </w:r>
      <w:r>
        <w:rPr>
          <w:rFonts w:hint="eastAsia" w:ascii="仿宋_GB2312" w:eastAsia="仿宋_GB2312"/>
          <w:sz w:val="32"/>
          <w:szCs w:val="32"/>
        </w:rPr>
        <w:t>；电话：0533-</w:t>
      </w:r>
      <w:r>
        <w:rPr>
          <w:rFonts w:hint="eastAsia" w:ascii="仿宋_GB2312" w:eastAsia="仿宋_GB2312"/>
          <w:sz w:val="32"/>
          <w:szCs w:val="32"/>
          <w:lang w:val="en-US" w:eastAsia="zh-CN"/>
        </w:rPr>
        <w:t>6961158</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一、总体情况</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rPr>
        <w:t>（一）体制机制建设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1.加强</w:t>
      </w:r>
      <w:r>
        <w:rPr>
          <w:rFonts w:hint="eastAsia" w:ascii="仿宋_GB2312" w:eastAsia="仿宋_GB2312"/>
          <w:sz w:val="32"/>
          <w:szCs w:val="32"/>
        </w:rPr>
        <w:t>政府信息公开组织领导</w:t>
      </w:r>
      <w:r>
        <w:rPr>
          <w:rFonts w:hint="eastAsia" w:ascii="仿宋_GB2312" w:eastAsia="仿宋_GB2312"/>
          <w:sz w:val="32"/>
          <w:szCs w:val="32"/>
          <w:lang w:eastAsia="zh-CN"/>
        </w:rPr>
        <w:t>。</w:t>
      </w:r>
      <w:r>
        <w:rPr>
          <w:rFonts w:hint="eastAsia" w:ascii="仿宋_GB2312" w:eastAsia="仿宋_GB2312" w:hAnsiTheme="minorHAnsi" w:cstheme="minorBidi"/>
          <w:kern w:val="2"/>
          <w:sz w:val="32"/>
          <w:szCs w:val="32"/>
          <w:lang w:val="en-US" w:eastAsia="zh-CN" w:bidi="ar-SA"/>
        </w:rPr>
        <w:t>高度重视政府信息公开工作，调整了政府信息公开工作领导小组，并对政府信息公开工作作出具体部署，将政府信息公开工作和工信系统相结合。县工信局领导张学英（党组成员、副局长）分管信息公开工作，由局办公室具体负责工作任务，配备专职人员2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2.完善</w:t>
      </w:r>
      <w:r>
        <w:rPr>
          <w:rFonts w:hint="eastAsia" w:ascii="仿宋_GB2312" w:eastAsia="仿宋_GB2312"/>
          <w:sz w:val="32"/>
          <w:szCs w:val="32"/>
        </w:rPr>
        <w:t>政府信息公开制度建设</w:t>
      </w:r>
      <w:r>
        <w:rPr>
          <w:rFonts w:hint="eastAsia" w:ascii="仿宋_GB2312" w:eastAsia="仿宋_GB2312"/>
          <w:sz w:val="32"/>
          <w:szCs w:val="32"/>
          <w:lang w:eastAsia="zh-CN"/>
        </w:rPr>
        <w:t>。</w:t>
      </w:r>
      <w:r>
        <w:rPr>
          <w:rFonts w:ascii="仿宋_GB2312" w:hAnsi="宋体" w:eastAsia="仿宋_GB2312" w:cs="仿宋_GB2312"/>
          <w:sz w:val="32"/>
          <w:szCs w:val="32"/>
        </w:rPr>
        <w:t>为</w:t>
      </w:r>
      <w:r>
        <w:rPr>
          <w:rFonts w:hint="eastAsia" w:ascii="仿宋_GB2312" w:eastAsia="仿宋_GB2312" w:cs="仿宋_GB2312"/>
          <w:sz w:val="32"/>
          <w:szCs w:val="32"/>
          <w:lang w:eastAsia="zh-CN"/>
        </w:rPr>
        <w:t>保障</w:t>
      </w:r>
      <w:r>
        <w:rPr>
          <w:rFonts w:hint="eastAsia" w:ascii="仿宋_GB2312" w:hAnsi="宋体" w:eastAsia="仿宋_GB2312" w:cs="仿宋_GB2312"/>
          <w:sz w:val="32"/>
          <w:szCs w:val="32"/>
        </w:rPr>
        <w:t>县工信局政务公开工作</w:t>
      </w:r>
      <w:r>
        <w:rPr>
          <w:rFonts w:hint="eastAsia" w:ascii="仿宋_GB2312" w:eastAsia="仿宋_GB2312" w:cs="仿宋_GB2312"/>
          <w:sz w:val="32"/>
          <w:szCs w:val="32"/>
          <w:lang w:eastAsia="zh-CN"/>
        </w:rPr>
        <w:t>开展</w:t>
      </w:r>
      <w:r>
        <w:rPr>
          <w:rFonts w:hint="eastAsia" w:ascii="仿宋_GB2312" w:hAnsi="宋体" w:eastAsia="仿宋_GB2312" w:cs="仿宋_GB2312"/>
          <w:sz w:val="32"/>
          <w:szCs w:val="32"/>
        </w:rPr>
        <w:t>，不断提升工信领域政务信息公开质量和实效，充分保障公众知情权、参与权、表达权和监督权，</w:t>
      </w:r>
      <w:r>
        <w:rPr>
          <w:rFonts w:hint="eastAsia" w:ascii="仿宋_GB2312" w:eastAsia="仿宋_GB2312" w:cs="仿宋_GB2312"/>
          <w:sz w:val="32"/>
          <w:szCs w:val="32"/>
          <w:lang w:eastAsia="zh-CN"/>
        </w:rPr>
        <w:t>县工信局制定了《高青县工业和信息化局</w:t>
      </w:r>
      <w:r>
        <w:rPr>
          <w:rFonts w:hint="eastAsia" w:ascii="仿宋_GB2312" w:eastAsia="仿宋_GB2312" w:hAnsiTheme="minorHAnsi" w:cstheme="minorBidi"/>
          <w:kern w:val="2"/>
          <w:sz w:val="32"/>
          <w:szCs w:val="32"/>
          <w:lang w:val="en-US" w:eastAsia="zh-CN" w:bidi="ar-SA"/>
        </w:rPr>
        <w:t>政务公开实施方案》和《县工信局政府信息公开制度》。同时，</w:t>
      </w:r>
      <w:r>
        <w:rPr>
          <w:rFonts w:hint="eastAsia" w:ascii="仿宋_GB2312" w:eastAsia="仿宋_GB2312"/>
          <w:sz w:val="32"/>
          <w:szCs w:val="32"/>
        </w:rPr>
        <w:t>召开</w:t>
      </w:r>
      <w:r>
        <w:rPr>
          <w:rFonts w:hint="eastAsia" w:ascii="仿宋_GB2312" w:eastAsia="仿宋_GB2312"/>
          <w:sz w:val="32"/>
          <w:szCs w:val="32"/>
          <w:lang w:eastAsia="zh-CN"/>
        </w:rPr>
        <w:t>政务公开工作推进会，</w:t>
      </w:r>
      <w:r>
        <w:rPr>
          <w:rFonts w:hint="eastAsia" w:ascii="仿宋_GB2312" w:eastAsia="仿宋_GB2312"/>
          <w:sz w:val="32"/>
          <w:szCs w:val="32"/>
        </w:rPr>
        <w:t>研究信息公开</w:t>
      </w:r>
      <w:r>
        <w:rPr>
          <w:rFonts w:hint="eastAsia" w:ascii="仿宋_GB2312" w:eastAsia="仿宋_GB2312"/>
          <w:sz w:val="32"/>
          <w:szCs w:val="32"/>
          <w:lang w:eastAsia="zh-CN"/>
        </w:rPr>
        <w:t>工作。</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rPr>
        <w:t>（二）主动公开</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cs="Times New Roman"/>
          <w:sz w:val="32"/>
          <w:szCs w:val="32"/>
        </w:rPr>
      </w:pPr>
      <w:r>
        <w:rPr>
          <w:rFonts w:hint="eastAsia" w:ascii="仿宋_GB2312" w:hAnsi="宋体" w:eastAsia="仿宋_GB2312" w:cs="仿宋_GB2312"/>
          <w:kern w:val="0"/>
          <w:sz w:val="32"/>
          <w:szCs w:val="32"/>
          <w:lang w:val="en-US" w:eastAsia="zh-CN" w:bidi="ar-SA"/>
        </w:rPr>
        <w:t>1.主动公开建议提案回复情况。高青县工业和信息化局按照政府信息公开要求，积极办理回复人大代表建议和政协委员提案。2020年收到人大代表建议0件；收到政协委员提案4件，涉及经济高质量发展、传统产业升级、我县企业家整体管理水平、疫情后企业发展等社会热点、难点问题，均已答复，满意率100%，答复详情</w:t>
      </w:r>
      <w:r>
        <w:rPr>
          <w:rFonts w:hint="eastAsia" w:ascii="仿宋_GB2312" w:eastAsia="仿宋_GB2312" w:cs="Times New Roman"/>
          <w:sz w:val="32"/>
          <w:szCs w:val="32"/>
          <w:lang w:eastAsia="zh-CN"/>
        </w:rPr>
        <w:t>及办理结果</w:t>
      </w:r>
      <w:r>
        <w:rPr>
          <w:rFonts w:hint="eastAsia" w:ascii="仿宋_GB2312" w:eastAsia="仿宋_GB2312" w:cs="Times New Roman"/>
          <w:sz w:val="32"/>
          <w:szCs w:val="32"/>
        </w:rPr>
        <w:t>均通过高青县政府网站进行公开。</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drawing>
          <wp:inline distT="0" distB="0" distL="114300" distR="114300">
            <wp:extent cx="4584065" cy="2755265"/>
            <wp:effectExtent l="0" t="0" r="6985" b="6985"/>
            <wp:docPr id="5" name="图片 5"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3"/>
                    <pic:cNvPicPr>
                      <a:picLocks noChangeAspect="1"/>
                    </pic:cNvPicPr>
                  </pic:nvPicPr>
                  <pic:blipFill>
                    <a:blip r:embed="rId4"/>
                    <a:stretch>
                      <a:fillRect/>
                    </a:stretch>
                  </pic:blipFill>
                  <pic:spPr>
                    <a:xfrm>
                      <a:off x="0" y="0"/>
                      <a:ext cx="4584065" cy="275526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kern w:val="0"/>
          <w:sz w:val="32"/>
          <w:szCs w:val="32"/>
          <w:lang w:val="en-US" w:eastAsia="zh-CN" w:bidi="ar-SA"/>
        </w:rPr>
        <w:t>2.主动公开政策文件。2020年高青县工业和信息化局公开部门文件52项，其中，主动公开发布“亩产效益”相关政策实施情况3项，并深入解读关于《高青县工业企业“亩产效益”评价改革实施方案(试行）》的政策；发布协助企业申报相关项目的部门文件14项，其中包含推荐企业申报市级和省级瞪羚、独角兽企业共2项。</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kern w:val="0"/>
          <w:sz w:val="32"/>
          <w:szCs w:val="32"/>
          <w:lang w:val="en-US" w:eastAsia="zh-CN" w:bidi="ar-SA"/>
        </w:rPr>
        <w:drawing>
          <wp:inline distT="0" distB="0" distL="114300" distR="114300">
            <wp:extent cx="5274310" cy="2309495"/>
            <wp:effectExtent l="0" t="0" r="2540" b="14605"/>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5"/>
                    <a:stretch>
                      <a:fillRect/>
                    </a:stretch>
                  </pic:blipFill>
                  <pic:spPr>
                    <a:xfrm>
                      <a:off x="0" y="0"/>
                      <a:ext cx="5274310" cy="2309495"/>
                    </a:xfrm>
                    <a:prstGeom prst="rect">
                      <a:avLst/>
                    </a:prstGeom>
                  </pic:spPr>
                </pic:pic>
              </a:graphicData>
            </a:graphic>
          </wp:inline>
        </w:drawing>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kern w:val="0"/>
          <w:sz w:val="32"/>
          <w:szCs w:val="32"/>
          <w:lang w:val="en-US" w:eastAsia="zh-CN" w:bidi="ar-SA"/>
        </w:rPr>
        <w:t>主动公开业务计划及开展情况。2020年高青县工业和信息化局主动公开“双随机、一公开”开展情况，公开对食盐企业的抽查计划、抽查清单及结果；主动公开行政执法情况，公开我局具有执法资格的8名人员名单、我局负责的执法事项清单、服务指南及执法流程图，并公开2020年执法结果及统计年报。通过相关业务信息公开，充分保障了社会对工信部门的抽查、执法等动态的知情权和监督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kern w:val="0"/>
          <w:sz w:val="32"/>
          <w:szCs w:val="32"/>
          <w:lang w:val="en-US" w:eastAsia="zh-CN" w:bidi="ar-SA"/>
        </w:rPr>
        <w:drawing>
          <wp:inline distT="0" distB="0" distL="114300" distR="114300">
            <wp:extent cx="3248660" cy="2781300"/>
            <wp:effectExtent l="0" t="0" r="8890" b="0"/>
            <wp:docPr id="1" name="图片 1" descr="双随机、一公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双随机、一公开"/>
                    <pic:cNvPicPr>
                      <a:picLocks noChangeAspect="1"/>
                    </pic:cNvPicPr>
                  </pic:nvPicPr>
                  <pic:blipFill>
                    <a:blip r:embed="rId6"/>
                    <a:stretch>
                      <a:fillRect/>
                    </a:stretch>
                  </pic:blipFill>
                  <pic:spPr>
                    <a:xfrm>
                      <a:off x="0" y="0"/>
                      <a:ext cx="3248660" cy="2781300"/>
                    </a:xfrm>
                    <a:prstGeom prst="rect">
                      <a:avLst/>
                    </a:prstGeom>
                  </pic:spPr>
                </pic:pic>
              </a:graphicData>
            </a:graphic>
          </wp:inline>
        </w:drawing>
      </w:r>
      <w:r>
        <w:rPr>
          <w:rFonts w:hint="eastAsia" w:ascii="仿宋_GB2312" w:hAnsi="宋体" w:eastAsia="仿宋_GB2312" w:cs="仿宋_GB2312"/>
          <w:kern w:val="0"/>
          <w:sz w:val="32"/>
          <w:szCs w:val="32"/>
          <w:lang w:val="en-US" w:eastAsia="zh-CN" w:bidi="ar-SA"/>
        </w:rPr>
        <w:t xml:space="preserve">  </w:t>
      </w:r>
      <w:r>
        <w:rPr>
          <w:rFonts w:hint="eastAsia" w:ascii="仿宋_GB2312" w:hAnsi="宋体" w:eastAsia="仿宋_GB2312" w:cs="仿宋_GB2312"/>
          <w:kern w:val="0"/>
          <w:sz w:val="32"/>
          <w:szCs w:val="32"/>
          <w:lang w:val="en-US" w:eastAsia="zh-CN" w:bidi="ar-SA"/>
        </w:rPr>
        <w:drawing>
          <wp:inline distT="0" distB="0" distL="114300" distR="114300">
            <wp:extent cx="1752600" cy="2752090"/>
            <wp:effectExtent l="0" t="0" r="0" b="10160"/>
            <wp:docPr id="2" name="图片 2" descr="行政执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行政执法"/>
                    <pic:cNvPicPr>
                      <a:picLocks noChangeAspect="1"/>
                    </pic:cNvPicPr>
                  </pic:nvPicPr>
                  <pic:blipFill>
                    <a:blip r:embed="rId7"/>
                    <a:stretch>
                      <a:fillRect/>
                    </a:stretch>
                  </pic:blipFill>
                  <pic:spPr>
                    <a:xfrm>
                      <a:off x="0" y="0"/>
                      <a:ext cx="1752600" cy="2752090"/>
                    </a:xfrm>
                    <a:prstGeom prst="rect">
                      <a:avLst/>
                    </a:prstGeom>
                  </pic:spPr>
                </pic:pic>
              </a:graphicData>
            </a:graphic>
          </wp:inline>
        </w:drawing>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kern w:val="0"/>
          <w:sz w:val="32"/>
          <w:szCs w:val="32"/>
          <w:lang w:val="en-US" w:eastAsia="zh-CN" w:bidi="ar-SA"/>
        </w:rPr>
        <w:t>主动公开财政信息。2020年高青县工业和信息化局主动公开上年度财政决算详情、本年度财政预算情况，其中主要公开预算财政支出的主要板块，以及我局“三公”开支情况。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Chars="200"/>
        <w:textAlignment w:val="auto"/>
        <w:rPr>
          <w:rFonts w:hint="default" w:ascii="仿宋_GB2312" w:hAnsi="宋体" w:eastAsia="仿宋_GB2312" w:cs="仿宋_GB2312"/>
          <w:kern w:val="0"/>
          <w:sz w:val="32"/>
          <w:szCs w:val="32"/>
          <w:lang w:val="en-US" w:eastAsia="zh-CN" w:bidi="ar-SA"/>
        </w:rPr>
      </w:pPr>
      <w:r>
        <w:drawing>
          <wp:inline distT="0" distB="0" distL="114300" distR="114300">
            <wp:extent cx="2401570" cy="2327910"/>
            <wp:effectExtent l="0" t="0" r="17780" b="1524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2401570" cy="2327910"/>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2428875" cy="2323465"/>
            <wp:effectExtent l="0" t="0" r="9525" b="63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9"/>
                    <a:stretch>
                      <a:fillRect/>
                    </a:stretch>
                  </pic:blipFill>
                  <pic:spPr>
                    <a:xfrm>
                      <a:off x="0" y="0"/>
                      <a:ext cx="2428875" cy="232346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rPr>
        <w:t>（三）依申请公开</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1.收到和处理政府信息公开申请情况</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2020年，我单位共收到政府信息公开申请</w:t>
      </w:r>
      <w:r>
        <w:rPr>
          <w:rFonts w:hint="eastAsia" w:ascii="仿宋_GB2312" w:eastAsia="仿宋_GB2312"/>
          <w:sz w:val="32"/>
          <w:szCs w:val="32"/>
          <w:lang w:val="en-US" w:eastAsia="zh-CN"/>
        </w:rPr>
        <w:t>0</w:t>
      </w:r>
      <w:r>
        <w:rPr>
          <w:rFonts w:hint="eastAsia" w:ascii="仿宋_GB2312" w:eastAsia="仿宋_GB2312"/>
          <w:sz w:val="32"/>
          <w:szCs w:val="32"/>
        </w:rPr>
        <w:t>件，按时办结数</w:t>
      </w:r>
      <w:r>
        <w:rPr>
          <w:rFonts w:hint="eastAsia" w:ascii="仿宋_GB2312" w:eastAsia="仿宋_GB2312"/>
          <w:sz w:val="32"/>
          <w:szCs w:val="32"/>
          <w:lang w:val="en-US" w:eastAsia="zh-CN"/>
        </w:rPr>
        <w:t>0</w:t>
      </w:r>
      <w:r>
        <w:rPr>
          <w:rFonts w:hint="eastAsia" w:ascii="仿宋_GB2312" w:eastAsia="仿宋_GB2312"/>
          <w:sz w:val="32"/>
          <w:szCs w:val="32"/>
        </w:rPr>
        <w:t>件。在办结的申请中：予以公开</w:t>
      </w:r>
      <w:r>
        <w:rPr>
          <w:rFonts w:hint="eastAsia" w:ascii="仿宋_GB2312" w:eastAsia="仿宋_GB2312"/>
          <w:sz w:val="32"/>
          <w:szCs w:val="32"/>
          <w:lang w:val="en-US" w:eastAsia="zh-CN"/>
        </w:rPr>
        <w:t>0</w:t>
      </w:r>
      <w:r>
        <w:rPr>
          <w:rFonts w:hint="eastAsia" w:ascii="仿宋_GB2312" w:eastAsia="仿宋_GB2312"/>
          <w:sz w:val="32"/>
          <w:szCs w:val="32"/>
        </w:rPr>
        <w:t>件，部分公开</w:t>
      </w:r>
      <w:r>
        <w:rPr>
          <w:rFonts w:hint="eastAsia" w:ascii="仿宋_GB2312" w:eastAsia="仿宋_GB2312"/>
          <w:sz w:val="32"/>
          <w:szCs w:val="32"/>
          <w:lang w:val="en-US" w:eastAsia="zh-CN"/>
        </w:rPr>
        <w:t>0</w:t>
      </w:r>
      <w:r>
        <w:rPr>
          <w:rFonts w:hint="eastAsia" w:ascii="仿宋_GB2312" w:eastAsia="仿宋_GB2312"/>
          <w:sz w:val="32"/>
          <w:szCs w:val="32"/>
        </w:rPr>
        <w:t>件，不予公开</w:t>
      </w:r>
      <w:r>
        <w:rPr>
          <w:rFonts w:hint="eastAsia" w:ascii="仿宋_GB2312" w:eastAsia="仿宋_GB2312"/>
          <w:sz w:val="32"/>
          <w:szCs w:val="32"/>
          <w:lang w:val="en-US" w:eastAsia="zh-CN"/>
        </w:rPr>
        <w:t>0</w:t>
      </w:r>
      <w:r>
        <w:rPr>
          <w:rFonts w:hint="eastAsia" w:ascii="仿宋_GB2312" w:eastAsia="仿宋_GB2312"/>
          <w:sz w:val="32"/>
          <w:szCs w:val="32"/>
        </w:rPr>
        <w:t>件，无法提供</w:t>
      </w:r>
      <w:r>
        <w:rPr>
          <w:rFonts w:hint="eastAsia" w:ascii="仿宋_GB2312" w:eastAsia="仿宋_GB2312"/>
          <w:sz w:val="32"/>
          <w:szCs w:val="32"/>
          <w:lang w:val="en-US" w:eastAsia="zh-CN"/>
        </w:rPr>
        <w:t>0</w:t>
      </w:r>
      <w:r>
        <w:rPr>
          <w:rFonts w:hint="eastAsia" w:ascii="仿宋_GB2312" w:eastAsia="仿宋_GB2312"/>
          <w:sz w:val="32"/>
          <w:szCs w:val="32"/>
        </w:rPr>
        <w:t>件，不予处理</w:t>
      </w:r>
      <w:r>
        <w:rPr>
          <w:rFonts w:hint="eastAsia" w:ascii="仿宋_GB2312" w:eastAsia="仿宋_GB2312"/>
          <w:sz w:val="32"/>
          <w:szCs w:val="32"/>
          <w:lang w:val="en-US" w:eastAsia="zh-CN"/>
        </w:rPr>
        <w:t>0</w:t>
      </w:r>
      <w:r>
        <w:rPr>
          <w:rFonts w:hint="eastAsia" w:ascii="仿宋_GB2312" w:eastAsia="仿宋_GB2312"/>
          <w:sz w:val="32"/>
          <w:szCs w:val="32"/>
        </w:rPr>
        <w:t>件，其他处理</w:t>
      </w:r>
      <w:r>
        <w:rPr>
          <w:rFonts w:hint="eastAsia" w:ascii="仿宋_GB2312" w:eastAsia="仿宋_GB2312"/>
          <w:sz w:val="32"/>
          <w:szCs w:val="32"/>
          <w:lang w:val="en-US" w:eastAsia="zh-CN"/>
        </w:rPr>
        <w:t>0</w:t>
      </w:r>
      <w:r>
        <w:rPr>
          <w:rFonts w:hint="eastAsia" w:ascii="仿宋_GB2312" w:eastAsia="仿宋_GB2312"/>
          <w:sz w:val="32"/>
          <w:szCs w:val="32"/>
        </w:rPr>
        <w:t>件。</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2.收费和减免情况</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2020年，我单位在政府信息公开申请办理过程中，未收取任何费用。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3.政府信息公开行政复议、行政诉讼情况</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楷体_GB2312" w:hAnsi="黑体" w:eastAsia="楷体_GB2312"/>
          <w:sz w:val="32"/>
          <w:szCs w:val="32"/>
        </w:rPr>
      </w:pPr>
      <w:r>
        <w:rPr>
          <w:rFonts w:hint="eastAsia" w:ascii="仿宋_GB2312" w:eastAsia="仿宋_GB2312"/>
          <w:sz w:val="32"/>
          <w:szCs w:val="32"/>
        </w:rPr>
        <w:t>2020年，本单位因政府信息公开被申请行政复议</w:t>
      </w:r>
      <w:r>
        <w:rPr>
          <w:rFonts w:hint="eastAsia" w:ascii="仿宋_GB2312" w:eastAsia="仿宋_GB2312"/>
          <w:sz w:val="32"/>
          <w:szCs w:val="32"/>
          <w:lang w:val="en-US" w:eastAsia="zh-CN"/>
        </w:rPr>
        <w:t>0</w:t>
      </w:r>
      <w:r>
        <w:rPr>
          <w:rFonts w:hint="eastAsia" w:ascii="仿宋_GB2312" w:eastAsia="仿宋_GB2312"/>
          <w:sz w:val="32"/>
          <w:szCs w:val="32"/>
        </w:rPr>
        <w:t>件。其中，未经复议直接起诉</w:t>
      </w:r>
      <w:r>
        <w:rPr>
          <w:rFonts w:hint="eastAsia" w:ascii="仿宋_GB2312" w:eastAsia="仿宋_GB2312"/>
          <w:sz w:val="32"/>
          <w:szCs w:val="32"/>
          <w:lang w:val="en-US" w:eastAsia="zh-CN"/>
        </w:rPr>
        <w:t>0</w:t>
      </w:r>
      <w:r>
        <w:rPr>
          <w:rFonts w:hint="eastAsia" w:ascii="仿宋_GB2312" w:eastAsia="仿宋_GB2312"/>
          <w:sz w:val="32"/>
          <w:szCs w:val="32"/>
        </w:rPr>
        <w:t>件，复议后起诉</w:t>
      </w:r>
      <w:r>
        <w:rPr>
          <w:rFonts w:hint="eastAsia" w:ascii="仿宋_GB2312" w:eastAsia="仿宋_GB2312"/>
          <w:sz w:val="32"/>
          <w:szCs w:val="32"/>
          <w:lang w:val="en-US" w:eastAsia="zh-CN"/>
        </w:rPr>
        <w:t>0</w:t>
      </w:r>
      <w:r>
        <w:rPr>
          <w:rFonts w:hint="eastAsia" w:ascii="仿宋_GB2312" w:eastAsia="仿宋_GB2312"/>
          <w:sz w:val="32"/>
          <w:szCs w:val="32"/>
        </w:rPr>
        <w:t>件。在行政诉讼案件中，结果维持数</w:t>
      </w:r>
      <w:r>
        <w:rPr>
          <w:rFonts w:hint="eastAsia" w:ascii="仿宋_GB2312" w:eastAsia="仿宋_GB2312"/>
          <w:sz w:val="32"/>
          <w:szCs w:val="32"/>
          <w:lang w:val="en-US" w:eastAsia="zh-CN"/>
        </w:rPr>
        <w:t>0</w:t>
      </w:r>
      <w:r>
        <w:rPr>
          <w:rFonts w:hint="eastAsia" w:ascii="仿宋_GB2312" w:eastAsia="仿宋_GB2312"/>
          <w:sz w:val="32"/>
          <w:szCs w:val="32"/>
        </w:rPr>
        <w:t>件，结果纠正数</w:t>
      </w:r>
      <w:r>
        <w:rPr>
          <w:rFonts w:hint="eastAsia" w:ascii="仿宋_GB2312" w:eastAsia="仿宋_GB2312"/>
          <w:sz w:val="32"/>
          <w:szCs w:val="32"/>
          <w:lang w:val="en-US" w:eastAsia="zh-CN"/>
        </w:rPr>
        <w:t>0</w:t>
      </w:r>
      <w:r>
        <w:rPr>
          <w:rFonts w:hint="eastAsia" w:ascii="仿宋_GB2312" w:eastAsia="仿宋_GB2312"/>
          <w:sz w:val="32"/>
          <w:szCs w:val="32"/>
        </w:rPr>
        <w:t>件，尚未审结数</w:t>
      </w:r>
      <w:r>
        <w:rPr>
          <w:rFonts w:hint="eastAsia" w:ascii="仿宋_GB2312" w:eastAsia="仿宋_GB2312"/>
          <w:sz w:val="32"/>
          <w:szCs w:val="32"/>
          <w:lang w:val="en-US" w:eastAsia="zh-CN"/>
        </w:rPr>
        <w:t>0</w:t>
      </w:r>
      <w:r>
        <w:rPr>
          <w:rFonts w:hint="eastAsia" w:ascii="仿宋_GB2312" w:eastAsia="仿宋_GB2312"/>
          <w:sz w:val="32"/>
          <w:szCs w:val="32"/>
        </w:rPr>
        <w:t>件，其他结果数</w:t>
      </w:r>
      <w:r>
        <w:rPr>
          <w:rFonts w:hint="eastAsia" w:ascii="仿宋_GB2312" w:eastAsia="仿宋_GB2312"/>
          <w:sz w:val="32"/>
          <w:szCs w:val="32"/>
          <w:lang w:val="en-US" w:eastAsia="zh-CN"/>
        </w:rPr>
        <w:t>0</w:t>
      </w:r>
      <w:r>
        <w:rPr>
          <w:rFonts w:hint="eastAsia" w:ascii="仿宋_GB2312" w:eastAsia="仿宋_GB2312"/>
          <w:sz w:val="32"/>
          <w:szCs w:val="32"/>
        </w:rPr>
        <w:t>件。</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rPr>
        <w:t>（四）政府信息管理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县工信局</w:t>
      </w:r>
      <w:r>
        <w:rPr>
          <w:rFonts w:hint="eastAsia" w:ascii="仿宋_GB2312" w:eastAsia="仿宋_GB2312"/>
          <w:sz w:val="32"/>
          <w:szCs w:val="32"/>
        </w:rPr>
        <w:t>信息公开领导小组办公室定期对各科室政府信息公开工作情况进行检查和督办，对</w:t>
      </w:r>
      <w:r>
        <w:rPr>
          <w:rFonts w:hint="eastAsia" w:ascii="仿宋_GB2312" w:eastAsia="仿宋_GB2312"/>
          <w:sz w:val="32"/>
          <w:szCs w:val="32"/>
          <w:lang w:eastAsia="zh-CN"/>
        </w:rPr>
        <w:t>于</w:t>
      </w:r>
      <w:r>
        <w:rPr>
          <w:rFonts w:hint="eastAsia" w:ascii="仿宋_GB2312" w:eastAsia="仿宋_GB2312"/>
          <w:sz w:val="32"/>
          <w:szCs w:val="32"/>
        </w:rPr>
        <w:t>主动公开的各类信息，按照生成、报批、公开等步骤</w:t>
      </w:r>
      <w:r>
        <w:rPr>
          <w:rFonts w:hint="eastAsia" w:ascii="仿宋_GB2312" w:eastAsia="仿宋_GB2312"/>
          <w:sz w:val="32"/>
          <w:szCs w:val="32"/>
          <w:lang w:eastAsia="zh-CN"/>
        </w:rPr>
        <w:t>及时予以公开</w:t>
      </w:r>
      <w:r>
        <w:rPr>
          <w:rFonts w:hint="eastAsia" w:ascii="仿宋_GB2312" w:eastAsia="仿宋_GB2312"/>
          <w:sz w:val="32"/>
          <w:szCs w:val="32"/>
        </w:rPr>
        <w:t>，对信息生成后因各种原因临近规定时限尚未公开的，办公室及时</w:t>
      </w:r>
      <w:r>
        <w:rPr>
          <w:rFonts w:hint="eastAsia" w:ascii="仿宋_GB2312" w:eastAsia="仿宋_GB2312"/>
          <w:sz w:val="32"/>
          <w:szCs w:val="32"/>
          <w:lang w:eastAsia="zh-CN"/>
        </w:rPr>
        <w:t>督促</w:t>
      </w:r>
      <w:r>
        <w:rPr>
          <w:rFonts w:hint="eastAsia" w:ascii="仿宋_GB2312" w:eastAsia="仿宋_GB2312"/>
          <w:sz w:val="32"/>
          <w:szCs w:val="32"/>
        </w:rPr>
        <w:t>相关科室，确保在规定时间内公开。</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拟定公文时</w:t>
      </w:r>
      <w:r>
        <w:rPr>
          <w:rFonts w:hint="eastAsia" w:ascii="仿宋_GB2312" w:eastAsia="仿宋_GB2312"/>
          <w:sz w:val="32"/>
          <w:szCs w:val="32"/>
          <w:lang w:eastAsia="zh-CN"/>
        </w:rPr>
        <w:t>要求相关科室</w:t>
      </w:r>
      <w:r>
        <w:rPr>
          <w:rFonts w:hint="eastAsia" w:ascii="仿宋_GB2312" w:eastAsia="仿宋_GB2312"/>
          <w:sz w:val="32"/>
          <w:szCs w:val="32"/>
        </w:rPr>
        <w:t>提出信息公开属性建议，在发文批办单上注明“主动公开”“依申请公开”“不予公开”等字样；对于主动公开的公文通过</w:t>
      </w:r>
      <w:r>
        <w:rPr>
          <w:rFonts w:hint="eastAsia" w:ascii="仿宋_GB2312" w:eastAsia="仿宋_GB2312"/>
          <w:sz w:val="32"/>
          <w:szCs w:val="32"/>
          <w:lang w:eastAsia="zh-CN"/>
        </w:rPr>
        <w:t>高青县政府网站</w:t>
      </w:r>
      <w:r>
        <w:rPr>
          <w:rFonts w:hint="eastAsia" w:ascii="仿宋_GB2312" w:eastAsia="仿宋_GB2312"/>
          <w:sz w:val="32"/>
          <w:szCs w:val="32"/>
        </w:rPr>
        <w:t>进行公开；对失效的文件定期进行清理</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同时，在公开内容及范围上遵循保密原则。依法处理好政府信息公开与保守秘密的关系，对涉及党和国家秘密、商业秘密和个人隐私，公开后可能影响党和国家利益、公共利益和执法活动，以及法律法规规定不得公开发布的其他信息，均限制在一定范围内公开或不予公开，严格遵守保密规定。</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rPr>
        <w:t>（五）平台建设</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kern w:val="0"/>
          <w:sz w:val="32"/>
          <w:szCs w:val="32"/>
          <w:lang w:val="en-US" w:eastAsia="zh-CN" w:bidi="ar-SA"/>
        </w:rPr>
        <w:t>县工信局充分发挥政府网站作为政务公开第一平台作用，及时维护政府信息公开目录、政府信息依申请公开、政府信息公开监督信箱等栏目。加大对微信公众平台等新媒体平台的政务公开力度，畅通公开渠道，提升政务公开整体水平。</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kern w:val="0"/>
          <w:sz w:val="32"/>
          <w:szCs w:val="32"/>
          <w:lang w:val="en-US" w:eastAsia="zh-CN" w:bidi="ar-SA"/>
        </w:rPr>
        <w:t>通过“高青人民政府网”发布政务公开行动5篇、部门动态6篇，为做好化工生产企业新一轮评级评价工作，公开公布化工生产企业询价公告2项，接受群众监督。通过微信公众平台发布工信部门动态19篇，宣传惠企政策、会议精神等4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kern w:val="0"/>
          <w:sz w:val="32"/>
          <w:szCs w:val="32"/>
          <w:lang w:val="en-US" w:eastAsia="zh-CN" w:bidi="ar-SA"/>
        </w:rPr>
        <w:drawing>
          <wp:inline distT="0" distB="0" distL="114300" distR="114300">
            <wp:extent cx="4581525" cy="2752725"/>
            <wp:effectExtent l="0" t="0" r="9525" b="9525"/>
            <wp:docPr id="6" name="图片 6"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2"/>
                    <pic:cNvPicPr>
                      <a:picLocks noChangeAspect="1"/>
                    </pic:cNvPicPr>
                  </pic:nvPicPr>
                  <pic:blipFill>
                    <a:blip r:embed="rId10"/>
                    <a:stretch>
                      <a:fillRect/>
                    </a:stretch>
                  </pic:blipFill>
                  <pic:spPr>
                    <a:xfrm>
                      <a:off x="0" y="0"/>
                      <a:ext cx="4581525" cy="275272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楷体_GB2312" w:hAnsi="黑体" w:eastAsia="楷体_GB2312"/>
          <w:sz w:val="32"/>
          <w:szCs w:val="32"/>
        </w:rPr>
      </w:pPr>
      <w:r>
        <w:rPr>
          <w:rFonts w:hint="eastAsia" w:ascii="楷体_GB2312" w:hAnsi="黑体" w:eastAsia="楷体_GB2312"/>
          <w:sz w:val="32"/>
          <w:szCs w:val="32"/>
          <w:lang w:eastAsia="zh-CN"/>
        </w:rPr>
        <w:t>（六）</w:t>
      </w:r>
      <w:r>
        <w:rPr>
          <w:rFonts w:hint="eastAsia" w:ascii="楷体_GB2312" w:hAnsi="黑体" w:eastAsia="楷体_GB2312"/>
          <w:sz w:val="32"/>
          <w:szCs w:val="32"/>
        </w:rPr>
        <w:t>监督保障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kern w:val="0"/>
          <w:sz w:val="32"/>
          <w:szCs w:val="32"/>
          <w:lang w:val="en-US" w:eastAsia="zh-CN" w:bidi="ar-SA"/>
        </w:rPr>
        <w:t>为规范和推进我局政务公开工作，深入贯彻落实《中华人民共和国政府信息公开条例》精神，结合工作实际，县工信局制定并落实政务公开培训工作。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kern w:val="0"/>
          <w:sz w:val="32"/>
          <w:szCs w:val="32"/>
          <w:lang w:val="en-US" w:eastAsia="zh-CN" w:bidi="ar-SA"/>
        </w:rPr>
        <w:t>1.学习贯彻《中华人民共和国政府信息公开条例》《山东省政府信息公开办法》等，深入学习我局政务公开职责任务、责任分工、工作标准和流程等内容。</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hAnsi="宋体" w:eastAsia="仿宋_GB2312" w:cs="仿宋_GB2312"/>
          <w:kern w:val="0"/>
          <w:sz w:val="32"/>
          <w:szCs w:val="32"/>
          <w:lang w:val="en-US" w:eastAsia="zh-CN" w:bidi="ar-SA"/>
        </w:rPr>
      </w:pPr>
      <w:r>
        <w:rPr>
          <w:rFonts w:hint="eastAsia" w:ascii="仿宋_GB2312" w:hAnsi="宋体" w:eastAsia="仿宋_GB2312" w:cs="仿宋_GB2312"/>
          <w:kern w:val="0"/>
          <w:sz w:val="32"/>
          <w:szCs w:val="32"/>
          <w:lang w:val="en-US" w:eastAsia="zh-CN" w:bidi="ar-SA"/>
        </w:rPr>
        <w:t>2.积极参加上级组织的业务培训会，提高政务公开工作人员网站管理、信息审核把关、依申请公开办理等综合能力。适时召开县工信局公开工作推进会，着重对政务公开工作人员进行全方位精心指导，力争进一步增强全局政务公开意识，完善政务公开网络体系，提升政务公开业务水平。</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rPr>
          <w:rFonts w:hint="default" w:ascii="仿宋_GB2312" w:hAnsi="宋体" w:eastAsia="仿宋_GB2312" w:cs="仿宋_GB2312"/>
          <w:kern w:val="0"/>
          <w:sz w:val="32"/>
          <w:szCs w:val="32"/>
          <w:lang w:val="en-US" w:eastAsia="zh-CN" w:bidi="ar-SA"/>
        </w:rPr>
      </w:pPr>
      <w:r>
        <w:rPr>
          <w:rFonts w:hint="eastAsia" w:ascii="仿宋_GB2312" w:hAnsi="宋体" w:eastAsia="仿宋_GB2312" w:cs="仿宋_GB2312"/>
          <w:kern w:val="0"/>
          <w:sz w:val="32"/>
          <w:szCs w:val="32"/>
          <w:lang w:val="en-US" w:eastAsia="zh-CN" w:bidi="ar-SA"/>
        </w:rPr>
        <w:t>3.通过主动公开政务信息，宣传工信政策及动态，使政务信息公开更加及时、便民、透明。</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二、主动公开政府信息情况</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sz w:val="32"/>
          <w:szCs w:val="32"/>
        </w:rPr>
      </w:pPr>
    </w:p>
    <w:tbl>
      <w:tblPr>
        <w:tblStyle w:val="7"/>
        <w:tblW w:w="8705" w:type="dxa"/>
        <w:jc w:val="center"/>
        <w:tblLayout w:type="autofit"/>
        <w:tblCellMar>
          <w:top w:w="0" w:type="dxa"/>
          <w:left w:w="108" w:type="dxa"/>
          <w:bottom w:w="0" w:type="dxa"/>
          <w:right w:w="108" w:type="dxa"/>
        </w:tblCellMar>
      </w:tblPr>
      <w:tblGrid>
        <w:gridCol w:w="2752"/>
        <w:gridCol w:w="1984"/>
        <w:gridCol w:w="1985"/>
        <w:gridCol w:w="1984"/>
      </w:tblGrid>
      <w:tr>
        <w:tblPrEx>
          <w:tblCellMar>
            <w:top w:w="0" w:type="dxa"/>
            <w:left w:w="108" w:type="dxa"/>
            <w:bottom w:w="0" w:type="dxa"/>
            <w:right w:w="108" w:type="dxa"/>
          </w:tblCellMar>
        </w:tblPrEx>
        <w:trPr>
          <w:trHeight w:val="495"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第二十条第（一）项</w:t>
            </w:r>
          </w:p>
        </w:tc>
      </w:tr>
      <w:tr>
        <w:tblPrEx>
          <w:tblCellMar>
            <w:top w:w="0" w:type="dxa"/>
            <w:left w:w="108" w:type="dxa"/>
            <w:bottom w:w="0" w:type="dxa"/>
            <w:right w:w="108" w:type="dxa"/>
          </w:tblCellMar>
        </w:tblPrEx>
        <w:trPr>
          <w:trHeight w:val="882"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制作数量</w:t>
            </w:r>
          </w:p>
        </w:tc>
        <w:tc>
          <w:tcPr>
            <w:tcW w:w="1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公开数量</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对外公开总数量</w:t>
            </w:r>
          </w:p>
        </w:tc>
      </w:tr>
      <w:tr>
        <w:tblPrEx>
          <w:tblCellMar>
            <w:top w:w="0" w:type="dxa"/>
            <w:left w:w="108" w:type="dxa"/>
            <w:bottom w:w="0" w:type="dxa"/>
            <w:right w:w="108" w:type="dxa"/>
          </w:tblCellMar>
        </w:tblPrEx>
        <w:trPr>
          <w:trHeight w:val="692"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规章</w:t>
            </w:r>
          </w:p>
        </w:tc>
        <w:tc>
          <w:tcPr>
            <w:tcW w:w="198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333333"/>
                <w:kern w:val="0"/>
                <w:sz w:val="24"/>
                <w:szCs w:val="24"/>
                <w:lang w:val="en-US" w:eastAsia="zh-CN"/>
              </w:rPr>
            </w:pPr>
            <w:r>
              <w:rPr>
                <w:rFonts w:hint="eastAsia" w:ascii="宋体" w:hAnsi="Calibri" w:eastAsia="宋体" w:cs="Times New Roman"/>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规范性文件</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9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333333"/>
                <w:kern w:val="0"/>
                <w:sz w:val="24"/>
                <w:szCs w:val="24"/>
                <w:lang w:val="en-US" w:eastAsia="zh-CN"/>
              </w:rPr>
            </w:pPr>
            <w:r>
              <w:rPr>
                <w:rFonts w:hint="eastAsia" w:ascii="宋体" w:hAnsi="Calibri" w:eastAsia="宋体" w:cs="Times New Roman"/>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480"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第二十条第（五）项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670"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行政许可</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2</w:t>
            </w:r>
          </w:p>
        </w:tc>
        <w:tc>
          <w:tcPr>
            <w:tcW w:w="198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default"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-1</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694"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其他对外管理服务事项</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default"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24</w:t>
            </w:r>
          </w:p>
        </w:tc>
        <w:tc>
          <w:tcPr>
            <w:tcW w:w="198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176</w:t>
            </w:r>
            <w:bookmarkStart w:id="0" w:name="_GoBack"/>
            <w:bookmarkEnd w:id="0"/>
          </w:p>
        </w:tc>
      </w:tr>
      <w:tr>
        <w:tblPrEx>
          <w:tblCellMar>
            <w:top w:w="0" w:type="dxa"/>
            <w:left w:w="108" w:type="dxa"/>
            <w:bottom w:w="0" w:type="dxa"/>
            <w:right w:w="108" w:type="dxa"/>
          </w:tblCellMar>
        </w:tblPrEx>
        <w:trPr>
          <w:trHeight w:val="40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第二十条第（六）项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564"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行政处罚</w:t>
            </w:r>
          </w:p>
        </w:tc>
        <w:tc>
          <w:tcPr>
            <w:tcW w:w="198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98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行政强制</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98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default"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474"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第二十条第（八）项</w:t>
            </w:r>
          </w:p>
        </w:tc>
      </w:tr>
      <w:tr>
        <w:tblPrEx>
          <w:tblCellMar>
            <w:top w:w="0" w:type="dxa"/>
            <w:left w:w="108" w:type="dxa"/>
            <w:bottom w:w="0" w:type="dxa"/>
            <w:right w:w="108" w:type="dxa"/>
          </w:tblCellMar>
        </w:tblPrEx>
        <w:trPr>
          <w:trHeight w:val="270"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3969"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r>
      <w:tr>
        <w:tblPrEx>
          <w:tblCellMar>
            <w:top w:w="0" w:type="dxa"/>
            <w:left w:w="108" w:type="dxa"/>
            <w:bottom w:w="0" w:type="dxa"/>
            <w:right w:w="108" w:type="dxa"/>
          </w:tblCellMar>
        </w:tblPrEx>
        <w:trPr>
          <w:trHeight w:val="722"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行政事业性收费</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3969"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Calibri" w:eastAsia="宋体" w:cs="Times New Roman"/>
                <w:color w:val="000000"/>
                <w:kern w:val="0"/>
                <w:sz w:val="24"/>
                <w:szCs w:val="24"/>
                <w:lang w:val="en-US" w:eastAsia="zh-CN"/>
              </w:rPr>
              <w:t>0</w:t>
            </w:r>
          </w:p>
        </w:tc>
      </w:tr>
      <w:tr>
        <w:tblPrEx>
          <w:tblCellMar>
            <w:top w:w="0" w:type="dxa"/>
            <w:left w:w="108" w:type="dxa"/>
            <w:bottom w:w="0" w:type="dxa"/>
            <w:right w:w="108" w:type="dxa"/>
          </w:tblCellMar>
        </w:tblPrEx>
        <w:trPr>
          <w:trHeight w:val="47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第二十条第（九）项</w:t>
            </w:r>
          </w:p>
        </w:tc>
      </w:tr>
      <w:tr>
        <w:tblPrEx>
          <w:tblCellMar>
            <w:top w:w="0" w:type="dxa"/>
            <w:left w:w="108" w:type="dxa"/>
            <w:bottom w:w="0" w:type="dxa"/>
            <w:right w:w="108" w:type="dxa"/>
          </w:tblCellMar>
        </w:tblPrEx>
        <w:trPr>
          <w:trHeight w:val="585"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采购项目数量</w:t>
            </w:r>
          </w:p>
        </w:tc>
        <w:tc>
          <w:tcPr>
            <w:tcW w:w="3969"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333333"/>
                <w:kern w:val="0"/>
                <w:sz w:val="24"/>
                <w:szCs w:val="24"/>
                <w:lang w:eastAsia="zh-CN"/>
              </w:rPr>
            </w:pPr>
            <w:r>
              <w:rPr>
                <w:rFonts w:hint="eastAsia" w:ascii="宋体" w:hAnsi="宋体" w:eastAsia="宋体" w:cs="宋体"/>
                <w:color w:val="000000"/>
                <w:kern w:val="0"/>
                <w:sz w:val="24"/>
                <w:szCs w:val="24"/>
              </w:rPr>
              <w:t>采购总金额</w:t>
            </w:r>
            <w:r>
              <w:rPr>
                <w:rFonts w:hint="eastAsia" w:ascii="宋体" w:hAnsi="宋体" w:eastAsia="宋体" w:cs="宋体"/>
                <w:color w:val="000000"/>
                <w:kern w:val="0"/>
                <w:sz w:val="24"/>
                <w:szCs w:val="24"/>
                <w:lang w:eastAsia="zh-CN"/>
              </w:rPr>
              <w:t>（万元）</w:t>
            </w:r>
          </w:p>
        </w:tc>
      </w:tr>
      <w:tr>
        <w:tblPrEx>
          <w:tblCellMar>
            <w:top w:w="0" w:type="dxa"/>
            <w:left w:w="108" w:type="dxa"/>
            <w:bottom w:w="0" w:type="dxa"/>
            <w:right w:w="108" w:type="dxa"/>
          </w:tblCellMar>
        </w:tblPrEx>
        <w:trPr>
          <w:trHeight w:val="748"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4"/>
                <w:szCs w:val="24"/>
              </w:rPr>
              <w:t>政府集中采购</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4</w:t>
            </w:r>
          </w:p>
        </w:tc>
        <w:tc>
          <w:tcPr>
            <w:tcW w:w="3969"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333333"/>
                <w:kern w:val="0"/>
                <w:sz w:val="24"/>
                <w:szCs w:val="24"/>
                <w:lang w:val="en-US" w:eastAsia="zh-CN"/>
              </w:rPr>
            </w:pPr>
            <w:r>
              <w:rPr>
                <w:rFonts w:ascii="宋体" w:hAnsi="宋体" w:eastAsia="宋体" w:cs="宋体"/>
                <w:sz w:val="24"/>
                <w:szCs w:val="24"/>
              </w:rPr>
              <w:t>58</w:t>
            </w:r>
            <w:r>
              <w:rPr>
                <w:rFonts w:hint="eastAsia" w:ascii="宋体" w:hAnsi="宋体" w:eastAsia="宋体" w:cs="宋体"/>
                <w:sz w:val="24"/>
                <w:szCs w:val="24"/>
                <w:lang w:val="en-US" w:eastAsia="zh-CN"/>
              </w:rPr>
              <w:t>.</w:t>
            </w:r>
            <w:r>
              <w:rPr>
                <w:rFonts w:ascii="宋体" w:hAnsi="宋体" w:eastAsia="宋体" w:cs="宋体"/>
                <w:sz w:val="24"/>
                <w:szCs w:val="24"/>
              </w:rPr>
              <w:t>3</w:t>
            </w:r>
            <w:r>
              <w:rPr>
                <w:rFonts w:hint="eastAsia" w:ascii="宋体" w:hAnsi="宋体" w:eastAsia="宋体" w:cs="宋体"/>
                <w:sz w:val="24"/>
                <w:szCs w:val="24"/>
                <w:lang w:val="en-US" w:eastAsia="zh-CN"/>
              </w:rPr>
              <w:t>1</w:t>
            </w:r>
          </w:p>
        </w:tc>
      </w:tr>
    </w:tbl>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三、收到和处理政府信息公开申请情况</w:t>
      </w:r>
    </w:p>
    <w:tbl>
      <w:tblPr>
        <w:tblStyle w:val="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825"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rPr>
              <w:t>自然人</w:t>
            </w:r>
          </w:p>
        </w:tc>
        <w:tc>
          <w:tcPr>
            <w:tcW w:w="4065"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82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rPr>
              <w:t>商业企业</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rPr>
              <w:t>科研机构</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rPr>
              <w:t>社会公益组织</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rPr>
              <w:t>法律服务机构</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rPr>
              <w:t>其他</w:t>
            </w:r>
          </w:p>
        </w:tc>
        <w:tc>
          <w:tcPr>
            <w:tcW w:w="702"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Calibri" w:hAnsi="Calibri" w:eastAsia="宋体" w:cs="Times New Roman"/>
                <w:color w:val="333333"/>
                <w:szCs w:val="21"/>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Calibri" w:hAnsi="Calibri" w:eastAsia="宋体" w:cs="Times New Roman"/>
                <w:color w:val="333333"/>
                <w:szCs w:val="21"/>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default"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9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rPr>
              <w:t>三、本年度办理结果</w:t>
            </w:r>
          </w:p>
        </w:tc>
        <w:tc>
          <w:tcPr>
            <w:tcW w:w="29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楷体" w:hAnsi="楷体" w:eastAsia="楷体" w:cs="宋体"/>
                <w:color w:val="333333"/>
                <w:szCs w:val="21"/>
              </w:rPr>
              <w:t>（一）予以公开</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楷体" w:hAnsi="楷体" w:eastAsia="楷体" w:cs="宋体"/>
                <w:color w:val="333333"/>
                <w:szCs w:val="21"/>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楷体" w:hAnsi="楷体" w:eastAsia="楷体" w:cs="宋体"/>
                <w:color w:val="333333"/>
                <w:szCs w:val="21"/>
              </w:rPr>
              <w:t>（三）不予公开</w:t>
            </w: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楷体" w:hAnsi="楷体" w:eastAsia="楷体" w:cs="宋体"/>
                <w:color w:val="333333"/>
                <w:szCs w:val="21"/>
              </w:rPr>
              <w:t>1.属于国家秘密</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楷体" w:hAnsi="楷体" w:eastAsia="楷体" w:cs="宋体"/>
                <w:color w:val="333333"/>
                <w:szCs w:val="21"/>
              </w:rPr>
              <w:t>2.其他法律行政法规禁止公开</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楷体" w:hAnsi="楷体" w:eastAsia="楷体" w:cs="宋体"/>
                <w:color w:val="333333"/>
                <w:szCs w:val="21"/>
              </w:rPr>
              <w:t>3.危及“三安全一稳定”</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楷体" w:hAnsi="楷体" w:eastAsia="楷体" w:cs="宋体"/>
                <w:color w:val="333333"/>
                <w:szCs w:val="21"/>
              </w:rPr>
              <w:t>4.保护第三方合法权益</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楷体" w:hAnsi="楷体" w:eastAsia="楷体" w:cs="宋体"/>
                <w:color w:val="333333"/>
                <w:szCs w:val="21"/>
              </w:rPr>
              <w:t>5.属于三类内部事务信息</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楷体" w:hAnsi="楷体" w:eastAsia="楷体" w:cs="宋体"/>
                <w:color w:val="333333"/>
                <w:szCs w:val="21"/>
              </w:rPr>
              <w:t>6.属于四类过程性信息</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楷体" w:hAnsi="楷体" w:eastAsia="楷体" w:cs="宋体"/>
                <w:color w:val="333333"/>
                <w:szCs w:val="21"/>
              </w:rPr>
              <w:t>7.属于行政执法案卷</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楷体" w:hAnsi="楷体" w:eastAsia="楷体" w:cs="宋体"/>
                <w:color w:val="333333"/>
                <w:szCs w:val="21"/>
              </w:rPr>
              <w:t>8.属于行政查询事项</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楷体" w:hAnsi="楷体" w:eastAsia="楷体" w:cs="宋体"/>
                <w:color w:val="333333"/>
                <w:szCs w:val="21"/>
              </w:rPr>
              <w:t>（四）无法提供</w:t>
            </w: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楷体" w:hAnsi="楷体" w:eastAsia="楷体" w:cs="宋体"/>
                <w:color w:val="333333"/>
                <w:szCs w:val="21"/>
              </w:rPr>
              <w:t>1.本机关不掌握相关政府信息</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楷体" w:hAnsi="楷体" w:eastAsia="楷体" w:cs="宋体"/>
                <w:color w:val="333333"/>
                <w:szCs w:val="21"/>
              </w:rPr>
              <w:t>2.没有现成信息需要另行制作</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楷体" w:hAnsi="楷体" w:eastAsia="楷体" w:cs="宋体"/>
                <w:color w:val="333333"/>
                <w:szCs w:val="21"/>
              </w:rPr>
              <w:t>3.补正后申请内容仍不明确</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楷体" w:hAnsi="楷体" w:eastAsia="楷体" w:cs="宋体"/>
                <w:color w:val="333333"/>
                <w:szCs w:val="21"/>
              </w:rPr>
              <w:t>（五）不予处理</w:t>
            </w: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楷体" w:hAnsi="楷体" w:eastAsia="楷体" w:cs="宋体"/>
                <w:color w:val="333333"/>
                <w:szCs w:val="21"/>
              </w:rPr>
              <w:t>1.信访举报投诉类申请</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楷体" w:hAnsi="楷体" w:eastAsia="楷体" w:cs="宋体"/>
                <w:color w:val="333333"/>
                <w:szCs w:val="21"/>
              </w:rPr>
              <w:t>2.重复申请</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楷体" w:hAnsi="楷体" w:eastAsia="楷体" w:cs="宋体"/>
                <w:color w:val="333333"/>
                <w:szCs w:val="21"/>
              </w:rPr>
              <w:t>3.要求提供公开出版物</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楷体" w:hAnsi="楷体" w:eastAsia="楷体" w:cs="宋体"/>
                <w:color w:val="333333"/>
                <w:szCs w:val="21"/>
              </w:rPr>
              <w:t>4.无正当理由大量反复申请</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楷体" w:hAnsi="楷体" w:eastAsia="楷体" w:cs="宋体"/>
                <w:color w:val="333333"/>
                <w:szCs w:val="21"/>
              </w:rPr>
              <w:t>5.要求行政机关确认或重新出具已获取信息</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楷体" w:hAnsi="楷体" w:eastAsia="楷体" w:cs="宋体"/>
                <w:color w:val="333333"/>
                <w:szCs w:val="21"/>
              </w:rPr>
              <w:t>（六）其他处理</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楷体" w:hAnsi="楷体" w:eastAsia="楷体" w:cs="宋体"/>
                <w:color w:val="333333"/>
                <w:szCs w:val="21"/>
              </w:rPr>
              <w:t>（七）总计</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eastAsia="宋体" w:cs="宋体"/>
                <w:color w:val="333333"/>
                <w:kern w:val="0"/>
                <w:szCs w:val="21"/>
              </w:rPr>
            </w:pPr>
            <w:r>
              <w:rPr>
                <w:rFonts w:hint="eastAsia" w:ascii="Calibri" w:hAnsi="Calibri" w:eastAsia="宋体" w:cs="Times New Roman"/>
                <w:color w:val="333333"/>
                <w:szCs w:val="21"/>
              </w:rPr>
              <w:t>四、结转下年度继续办理</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bl>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sz w:val="32"/>
          <w:szCs w:val="32"/>
        </w:rPr>
        <w:sectPr>
          <w:pgSz w:w="11906" w:h="16838"/>
          <w:pgMar w:top="1134" w:right="1797" w:bottom="1134" w:left="1797" w:header="851" w:footer="992" w:gutter="0"/>
          <w:cols w:space="425" w:num="1"/>
          <w:docGrid w:type="linesAndChars" w:linePitch="312" w:charSpace="0"/>
        </w:sect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四、政府信息公开行政复议、行政诉讼情况</w:t>
      </w:r>
    </w:p>
    <w:tbl>
      <w:tblPr>
        <w:tblStyle w:val="7"/>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707"/>
        <w:gridCol w:w="707"/>
        <w:gridCol w:w="707"/>
        <w:gridCol w:w="566"/>
        <w:gridCol w:w="707"/>
        <w:gridCol w:w="706"/>
        <w:gridCol w:w="755"/>
        <w:gridCol w:w="659"/>
        <w:gridCol w:w="548"/>
        <w:gridCol w:w="725"/>
        <w:gridCol w:w="699"/>
        <w:gridCol w:w="714"/>
        <w:gridCol w:w="708"/>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1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8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行政复议</w:t>
            </w:r>
          </w:p>
        </w:tc>
        <w:tc>
          <w:tcPr>
            <w:tcW w:w="6638"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8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3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Calibri" w:hAnsi="Calibri" w:eastAsia="宋体" w:cs="Times New Roman"/>
                <w:color w:val="333333"/>
                <w:sz w:val="20"/>
                <w:szCs w:val="20"/>
              </w:rPr>
            </w:pPr>
            <w:r>
              <w:rPr>
                <w:rFonts w:hint="eastAsia" w:ascii="Calibri" w:hAnsi="Calibri" w:eastAsia="宋体" w:cs="Times New Roman"/>
                <w:color w:val="333333"/>
                <w:sz w:val="20"/>
                <w:szCs w:val="20"/>
              </w:rPr>
              <w:t>结果</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维持</w:t>
            </w:r>
          </w:p>
        </w:tc>
        <w:tc>
          <w:tcPr>
            <w:tcW w:w="707"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07"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707"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66"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总计</w:t>
            </w:r>
          </w:p>
        </w:tc>
        <w:tc>
          <w:tcPr>
            <w:tcW w:w="3375"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未经复议直接起诉</w:t>
            </w:r>
          </w:p>
        </w:tc>
        <w:tc>
          <w:tcPr>
            <w:tcW w:w="3263"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73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4"/>
                <w:szCs w:val="24"/>
              </w:rPr>
            </w:pPr>
          </w:p>
        </w:tc>
        <w:tc>
          <w:tcPr>
            <w:tcW w:w="707"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4"/>
                <w:szCs w:val="24"/>
              </w:rPr>
            </w:pPr>
          </w:p>
        </w:tc>
        <w:tc>
          <w:tcPr>
            <w:tcW w:w="707"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4"/>
                <w:szCs w:val="24"/>
              </w:rPr>
            </w:pPr>
          </w:p>
        </w:tc>
        <w:tc>
          <w:tcPr>
            <w:tcW w:w="707"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4"/>
                <w:szCs w:val="24"/>
              </w:rPr>
            </w:pPr>
          </w:p>
        </w:tc>
        <w:tc>
          <w:tcPr>
            <w:tcW w:w="566"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4"/>
                <w:szCs w:val="24"/>
              </w:rPr>
            </w:pPr>
          </w:p>
        </w:tc>
        <w:tc>
          <w:tcPr>
            <w:tcW w:w="7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7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6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4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c>
          <w:tcPr>
            <w:tcW w:w="7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6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0"/>
                <w:szCs w:val="20"/>
              </w:rPr>
              <w:t>其他结果</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8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7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8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7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8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7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80" w:lineRule="auto"/>
              <w:jc w:val="center"/>
              <w:textAlignment w:val="auto"/>
              <w:rPr>
                <w:rFonts w:ascii="宋体" w:hAnsi="宋体" w:eastAsia="宋体" w:cs="宋体"/>
                <w:color w:val="333333"/>
                <w:kern w:val="0"/>
                <w:sz w:val="24"/>
                <w:szCs w:val="24"/>
                <w:lang w:val="en-US" w:eastAsia="zh-CN" w:bidi="ar-SA"/>
              </w:rPr>
            </w:pPr>
            <w:r>
              <w:rPr>
                <w:rFonts w:hint="eastAsia" w:ascii="Calibri" w:hAnsi="Calibri" w:eastAsia="宋体" w:cs="Times New Roman"/>
                <w:color w:val="333333"/>
                <w:sz w:val="20"/>
                <w:szCs w:val="20"/>
                <w:lang w:val="en-US" w:eastAsia="zh-CN"/>
              </w:rPr>
              <w:t>0</w:t>
            </w:r>
          </w:p>
        </w:tc>
        <w:tc>
          <w:tcPr>
            <w:tcW w:w="56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80" w:lineRule="auto"/>
              <w:jc w:val="center"/>
              <w:textAlignment w:val="auto"/>
              <w:rPr>
                <w:rFonts w:ascii="宋体" w:hAnsi="宋体" w:eastAsia="宋体" w:cs="宋体"/>
                <w:color w:val="333333"/>
                <w:kern w:val="0"/>
                <w:sz w:val="24"/>
                <w:szCs w:val="24"/>
                <w:lang w:val="en-US" w:eastAsia="zh-CN" w:bidi="ar-SA"/>
              </w:rPr>
            </w:pPr>
            <w:r>
              <w:rPr>
                <w:rFonts w:hint="eastAsia" w:ascii="Calibri" w:hAnsi="Calibri" w:eastAsia="宋体" w:cs="Times New Roman"/>
                <w:color w:val="333333"/>
                <w:sz w:val="20"/>
                <w:szCs w:val="20"/>
                <w:lang w:val="en-US" w:eastAsia="zh-CN"/>
              </w:rPr>
              <w:t>0</w:t>
            </w:r>
          </w:p>
        </w:tc>
        <w:tc>
          <w:tcPr>
            <w:tcW w:w="7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80" w:lineRule="auto"/>
              <w:jc w:val="center"/>
              <w:textAlignment w:val="auto"/>
              <w:rPr>
                <w:rFonts w:ascii="宋体" w:hAnsi="宋体" w:eastAsia="宋体" w:cs="宋体"/>
                <w:color w:val="333333"/>
                <w:kern w:val="0"/>
                <w:sz w:val="24"/>
                <w:szCs w:val="24"/>
                <w:lang w:val="en-US" w:eastAsia="zh-CN" w:bidi="ar-SA"/>
              </w:rPr>
            </w:pPr>
            <w:r>
              <w:rPr>
                <w:rFonts w:hint="eastAsia" w:ascii="Calibri" w:hAnsi="Calibri" w:eastAsia="宋体" w:cs="Times New Roman"/>
                <w:color w:val="333333"/>
                <w:sz w:val="20"/>
                <w:szCs w:val="20"/>
                <w:lang w:val="en-US" w:eastAsia="zh-CN"/>
              </w:rPr>
              <w:t>0</w:t>
            </w:r>
          </w:p>
        </w:tc>
        <w:tc>
          <w:tcPr>
            <w:tcW w:w="7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80" w:lineRule="auto"/>
              <w:jc w:val="center"/>
              <w:textAlignment w:val="auto"/>
              <w:rPr>
                <w:rFonts w:ascii="宋体" w:hAnsi="宋体" w:eastAsia="宋体" w:cs="宋体"/>
                <w:color w:val="333333"/>
                <w:kern w:val="0"/>
                <w:sz w:val="24"/>
                <w:szCs w:val="24"/>
                <w:lang w:val="en-US" w:eastAsia="zh-CN" w:bidi="ar-SA"/>
              </w:rPr>
            </w:pPr>
            <w:r>
              <w:rPr>
                <w:rFonts w:hint="eastAsia" w:ascii="Calibri" w:hAnsi="Calibri" w:eastAsia="宋体" w:cs="Times New Roman"/>
                <w:color w:val="333333"/>
                <w:sz w:val="20"/>
                <w:szCs w:val="20"/>
                <w:lang w:val="en-US" w:eastAsia="zh-CN"/>
              </w:rPr>
              <w:t>0</w:t>
            </w:r>
          </w:p>
        </w:tc>
        <w:tc>
          <w:tcPr>
            <w:tcW w:w="7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80" w:lineRule="auto"/>
              <w:jc w:val="center"/>
              <w:textAlignment w:val="auto"/>
              <w:rPr>
                <w:rFonts w:ascii="宋体" w:hAnsi="宋体" w:eastAsia="宋体" w:cs="宋体"/>
                <w:color w:val="333333"/>
                <w:kern w:val="0"/>
                <w:sz w:val="24"/>
                <w:szCs w:val="24"/>
                <w:lang w:val="en-US" w:eastAsia="zh-CN" w:bidi="ar-SA"/>
              </w:rPr>
            </w:pPr>
            <w:r>
              <w:rPr>
                <w:rFonts w:hint="eastAsia" w:ascii="Calibri" w:hAnsi="Calibri" w:eastAsia="宋体" w:cs="Times New Roman"/>
                <w:color w:val="333333"/>
                <w:sz w:val="20"/>
                <w:szCs w:val="20"/>
                <w:lang w:val="en-US" w:eastAsia="zh-CN"/>
              </w:rPr>
              <w:t>0</w:t>
            </w:r>
          </w:p>
        </w:tc>
        <w:tc>
          <w:tcPr>
            <w:tcW w:w="6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80" w:lineRule="auto"/>
              <w:jc w:val="center"/>
              <w:textAlignment w:val="auto"/>
              <w:rPr>
                <w:rFonts w:ascii="宋体" w:hAnsi="宋体" w:eastAsia="宋体" w:cs="宋体"/>
                <w:color w:val="333333"/>
                <w:kern w:val="0"/>
                <w:sz w:val="24"/>
                <w:szCs w:val="24"/>
                <w:lang w:val="en-US" w:eastAsia="zh-CN" w:bidi="ar-SA"/>
              </w:rPr>
            </w:pPr>
            <w:r>
              <w:rPr>
                <w:rFonts w:hint="eastAsia" w:ascii="Calibri" w:hAnsi="Calibri" w:eastAsia="宋体" w:cs="Times New Roman"/>
                <w:color w:val="333333"/>
                <w:sz w:val="20"/>
                <w:szCs w:val="20"/>
                <w:lang w:val="en-US" w:eastAsia="zh-CN"/>
              </w:rPr>
              <w:t>0</w:t>
            </w:r>
          </w:p>
        </w:tc>
        <w:tc>
          <w:tcPr>
            <w:tcW w:w="54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80" w:lineRule="auto"/>
              <w:jc w:val="center"/>
              <w:textAlignment w:val="auto"/>
              <w:rPr>
                <w:rFonts w:ascii="宋体" w:hAnsi="宋体" w:eastAsia="宋体" w:cs="宋体"/>
                <w:color w:val="333333"/>
                <w:kern w:val="0"/>
                <w:sz w:val="24"/>
                <w:szCs w:val="24"/>
                <w:lang w:val="en-US" w:eastAsia="zh-CN" w:bidi="ar-SA"/>
              </w:rPr>
            </w:pPr>
            <w:r>
              <w:rPr>
                <w:rFonts w:hint="eastAsia" w:ascii="Calibri" w:hAnsi="Calibri" w:eastAsia="宋体" w:cs="Times New Roman"/>
                <w:color w:val="333333"/>
                <w:sz w:val="20"/>
                <w:szCs w:val="20"/>
                <w:lang w:val="en-US" w:eastAsia="zh-CN"/>
              </w:rPr>
              <w:t>0</w:t>
            </w:r>
          </w:p>
        </w:tc>
        <w:tc>
          <w:tcPr>
            <w:tcW w:w="7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80" w:lineRule="auto"/>
              <w:jc w:val="center"/>
              <w:textAlignment w:val="auto"/>
              <w:rPr>
                <w:rFonts w:ascii="宋体" w:hAnsi="宋体" w:eastAsia="宋体" w:cs="宋体"/>
                <w:color w:val="333333"/>
                <w:kern w:val="0"/>
                <w:sz w:val="24"/>
                <w:szCs w:val="24"/>
                <w:lang w:val="en-US" w:eastAsia="zh-CN" w:bidi="ar-SA"/>
              </w:rPr>
            </w:pPr>
            <w:r>
              <w:rPr>
                <w:rFonts w:hint="eastAsia" w:ascii="Calibri" w:hAnsi="Calibri" w:eastAsia="宋体" w:cs="Times New Roman"/>
                <w:color w:val="333333"/>
                <w:sz w:val="20"/>
                <w:szCs w:val="20"/>
                <w:lang w:val="en-US" w:eastAsia="zh-CN"/>
              </w:rPr>
              <w:t>0</w:t>
            </w:r>
          </w:p>
        </w:tc>
        <w:tc>
          <w:tcPr>
            <w:tcW w:w="6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80" w:lineRule="auto"/>
              <w:jc w:val="center"/>
              <w:textAlignment w:val="auto"/>
              <w:rPr>
                <w:rFonts w:ascii="宋体" w:hAnsi="宋体" w:eastAsia="宋体" w:cs="宋体"/>
                <w:color w:val="333333"/>
                <w:kern w:val="0"/>
                <w:sz w:val="24"/>
                <w:szCs w:val="24"/>
                <w:lang w:val="en-US" w:eastAsia="zh-CN" w:bidi="ar-SA"/>
              </w:rPr>
            </w:pPr>
            <w:r>
              <w:rPr>
                <w:rFonts w:hint="eastAsia" w:ascii="Calibri" w:hAnsi="Calibri" w:eastAsia="宋体" w:cs="Times New Roman"/>
                <w:color w:val="333333"/>
                <w:sz w:val="20"/>
                <w:szCs w:val="20"/>
                <w:lang w:val="en-US" w:eastAsia="zh-CN"/>
              </w:rPr>
              <w:t>0</w:t>
            </w:r>
          </w:p>
        </w:tc>
        <w:tc>
          <w:tcPr>
            <w:tcW w:w="7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8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0"/>
                <w:szCs w:val="20"/>
                <w:lang w:val="en-US" w:eastAsia="zh-CN"/>
              </w:rPr>
              <w:t>0</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80" w:lineRule="auto"/>
              <w:jc w:val="center"/>
              <w:textAlignment w:val="auto"/>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lang w:val="en-US" w:eastAsia="zh-CN"/>
              </w:rPr>
              <w:t>0</w:t>
            </w:r>
          </w:p>
        </w:tc>
        <w:tc>
          <w:tcPr>
            <w:tcW w:w="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80" w:lineRule="auto"/>
              <w:jc w:val="center"/>
              <w:textAlignment w:val="auto"/>
              <w:rPr>
                <w:rFonts w:hint="eastAsia" w:ascii="Calibri" w:hAnsi="Calibri" w:eastAsia="宋体" w:cs="Times New Roman"/>
                <w:color w:val="333333"/>
                <w:sz w:val="20"/>
                <w:szCs w:val="20"/>
                <w:lang w:val="en-US" w:eastAsia="zh-CN"/>
              </w:rPr>
            </w:pPr>
            <w:r>
              <w:rPr>
                <w:rFonts w:hint="eastAsia" w:ascii="Calibri" w:hAnsi="Calibri" w:eastAsia="宋体" w:cs="Times New Roman"/>
                <w:color w:val="333333"/>
                <w:sz w:val="20"/>
                <w:szCs w:val="20"/>
                <w:lang w:val="en-US" w:eastAsia="zh-CN"/>
              </w:rPr>
              <w:t>0</w:t>
            </w:r>
          </w:p>
        </w:tc>
      </w:tr>
    </w:tbl>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五、存在的主要问题及改进情况</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rPr>
        <w:t>（一）主要问题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eastAsia="zh-CN"/>
        </w:rPr>
        <w:t>县工信局</w:t>
      </w:r>
      <w:r>
        <w:rPr>
          <w:rFonts w:hint="eastAsia" w:ascii="仿宋_GB2312" w:eastAsia="仿宋_GB2312"/>
          <w:sz w:val="32"/>
          <w:szCs w:val="32"/>
        </w:rPr>
        <w:t>积极开展政府信息公开相关工作，但与上级要求还存在一定的差距。一是对政务公开认识不够到位。少数干部对实行政务公开的重要意义认识不足。二是工作力度不够大。</w:t>
      </w:r>
      <w:r>
        <w:rPr>
          <w:rFonts w:hint="eastAsia" w:ascii="仿宋_GB2312" w:eastAsia="仿宋_GB2312"/>
          <w:sz w:val="32"/>
          <w:szCs w:val="32"/>
          <w:lang w:eastAsia="zh-CN"/>
        </w:rPr>
        <w:t>各科室</w:t>
      </w:r>
      <w:r>
        <w:rPr>
          <w:rFonts w:hint="eastAsia" w:ascii="仿宋_GB2312" w:eastAsia="仿宋_GB2312"/>
          <w:sz w:val="32"/>
          <w:szCs w:val="32"/>
        </w:rPr>
        <w:t>对政务公开工作的开展缺乏持续性，对相关政策公开、解读</w:t>
      </w:r>
      <w:r>
        <w:rPr>
          <w:rFonts w:hint="eastAsia" w:ascii="仿宋_GB2312" w:eastAsia="仿宋_GB2312"/>
          <w:sz w:val="32"/>
          <w:szCs w:val="32"/>
          <w:lang w:eastAsia="zh-CN"/>
        </w:rPr>
        <w:t>仍不够到位。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rPr>
        <w:t>（二）改进措施</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是加强对政务公开工作的领导和监督,健全有关检查制度、责任追究制度、反馈制度,确保把政务公开工作落到实处；二是加大宣传,提高对政务公开工作的认识，提高公开的质量和水平,全面推进政务公开工作上新台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其他需要报告的事项</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暂无需要报告的事项</w:t>
      </w:r>
    </w:p>
    <w:p>
      <w:pPr>
        <w:keepNext w:val="0"/>
        <w:keepLines w:val="0"/>
        <w:pageBreakBefore w:val="0"/>
        <w:kinsoku/>
        <w:wordWrap/>
        <w:overflowPunct/>
        <w:topLinePunct w:val="0"/>
        <w:autoSpaceDE/>
        <w:autoSpaceDN/>
        <w:bidi w:val="0"/>
        <w:adjustRightInd/>
        <w:snapToGrid/>
        <w:spacing w:beforeAutospacing="0" w:afterAutospacing="0"/>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20D2"/>
    <w:multiLevelType w:val="singleLevel"/>
    <w:tmpl w:val="076820D2"/>
    <w:lvl w:ilvl="0" w:tentative="0">
      <w:start w:val="6"/>
      <w:numFmt w:val="chineseCounting"/>
      <w:suff w:val="nothing"/>
      <w:lvlText w:val="%1、"/>
      <w:lvlJc w:val="left"/>
      <w:rPr>
        <w:rFonts w:hint="eastAsia"/>
      </w:rPr>
    </w:lvl>
  </w:abstractNum>
  <w:abstractNum w:abstractNumId="1">
    <w:nsid w:val="267B9A19"/>
    <w:multiLevelType w:val="singleLevel"/>
    <w:tmpl w:val="267B9A19"/>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FF"/>
    <w:rsid w:val="00003766"/>
    <w:rsid w:val="00011351"/>
    <w:rsid w:val="00033FFE"/>
    <w:rsid w:val="000406A0"/>
    <w:rsid w:val="00050F08"/>
    <w:rsid w:val="00067D0C"/>
    <w:rsid w:val="00097400"/>
    <w:rsid w:val="000B0330"/>
    <w:rsid w:val="000B0934"/>
    <w:rsid w:val="000E4BD9"/>
    <w:rsid w:val="000E69DA"/>
    <w:rsid w:val="000E6B32"/>
    <w:rsid w:val="000F2D8A"/>
    <w:rsid w:val="001010D4"/>
    <w:rsid w:val="00117B4D"/>
    <w:rsid w:val="00123B08"/>
    <w:rsid w:val="001245D4"/>
    <w:rsid w:val="00124A11"/>
    <w:rsid w:val="001366B4"/>
    <w:rsid w:val="00151924"/>
    <w:rsid w:val="00154708"/>
    <w:rsid w:val="00161940"/>
    <w:rsid w:val="00164480"/>
    <w:rsid w:val="0016467B"/>
    <w:rsid w:val="00186A62"/>
    <w:rsid w:val="001A6BB5"/>
    <w:rsid w:val="001B7C65"/>
    <w:rsid w:val="001E217A"/>
    <w:rsid w:val="001E5229"/>
    <w:rsid w:val="001E6FDD"/>
    <w:rsid w:val="00206BB2"/>
    <w:rsid w:val="00214DF2"/>
    <w:rsid w:val="00216242"/>
    <w:rsid w:val="00234030"/>
    <w:rsid w:val="00241314"/>
    <w:rsid w:val="00251CC7"/>
    <w:rsid w:val="00256608"/>
    <w:rsid w:val="00266C64"/>
    <w:rsid w:val="002710D2"/>
    <w:rsid w:val="00286935"/>
    <w:rsid w:val="0029082F"/>
    <w:rsid w:val="0029284C"/>
    <w:rsid w:val="0029383C"/>
    <w:rsid w:val="002942DD"/>
    <w:rsid w:val="002A7F25"/>
    <w:rsid w:val="002B5369"/>
    <w:rsid w:val="002D09A1"/>
    <w:rsid w:val="002E3859"/>
    <w:rsid w:val="00310B91"/>
    <w:rsid w:val="00317F8F"/>
    <w:rsid w:val="003336C5"/>
    <w:rsid w:val="003343A1"/>
    <w:rsid w:val="00342B75"/>
    <w:rsid w:val="00361769"/>
    <w:rsid w:val="003A551A"/>
    <w:rsid w:val="003B7614"/>
    <w:rsid w:val="003C1CCB"/>
    <w:rsid w:val="003C66CF"/>
    <w:rsid w:val="003D1317"/>
    <w:rsid w:val="003F3C5A"/>
    <w:rsid w:val="004020BC"/>
    <w:rsid w:val="00417E4F"/>
    <w:rsid w:val="00431DC0"/>
    <w:rsid w:val="0044469E"/>
    <w:rsid w:val="0044565B"/>
    <w:rsid w:val="004622B9"/>
    <w:rsid w:val="00465EE7"/>
    <w:rsid w:val="00474F8C"/>
    <w:rsid w:val="004A3770"/>
    <w:rsid w:val="004A61D9"/>
    <w:rsid w:val="004B1E38"/>
    <w:rsid w:val="004D692C"/>
    <w:rsid w:val="004F225D"/>
    <w:rsid w:val="00503DC2"/>
    <w:rsid w:val="00506018"/>
    <w:rsid w:val="0052384C"/>
    <w:rsid w:val="00530FAE"/>
    <w:rsid w:val="005357E0"/>
    <w:rsid w:val="00561095"/>
    <w:rsid w:val="00565E58"/>
    <w:rsid w:val="00572EE9"/>
    <w:rsid w:val="00575039"/>
    <w:rsid w:val="0058410F"/>
    <w:rsid w:val="005A2D30"/>
    <w:rsid w:val="005A679F"/>
    <w:rsid w:val="005A6855"/>
    <w:rsid w:val="005B2C9D"/>
    <w:rsid w:val="005B60B9"/>
    <w:rsid w:val="005C4E55"/>
    <w:rsid w:val="005C6267"/>
    <w:rsid w:val="005D2717"/>
    <w:rsid w:val="005E176C"/>
    <w:rsid w:val="006437E8"/>
    <w:rsid w:val="0067385D"/>
    <w:rsid w:val="00684540"/>
    <w:rsid w:val="00685243"/>
    <w:rsid w:val="00685FD6"/>
    <w:rsid w:val="0069145A"/>
    <w:rsid w:val="006A5602"/>
    <w:rsid w:val="006C1D61"/>
    <w:rsid w:val="006C61E3"/>
    <w:rsid w:val="006D2B9E"/>
    <w:rsid w:val="006F2052"/>
    <w:rsid w:val="006F32A9"/>
    <w:rsid w:val="0070575A"/>
    <w:rsid w:val="00706842"/>
    <w:rsid w:val="00707521"/>
    <w:rsid w:val="00710874"/>
    <w:rsid w:val="0072048C"/>
    <w:rsid w:val="00746ECD"/>
    <w:rsid w:val="00747284"/>
    <w:rsid w:val="0075282D"/>
    <w:rsid w:val="00754F25"/>
    <w:rsid w:val="00776012"/>
    <w:rsid w:val="0077715A"/>
    <w:rsid w:val="007D6C57"/>
    <w:rsid w:val="007E4180"/>
    <w:rsid w:val="00807CC0"/>
    <w:rsid w:val="00816B92"/>
    <w:rsid w:val="00825613"/>
    <w:rsid w:val="00835FA9"/>
    <w:rsid w:val="00852C30"/>
    <w:rsid w:val="00867D9F"/>
    <w:rsid w:val="0087437C"/>
    <w:rsid w:val="00874582"/>
    <w:rsid w:val="0087509A"/>
    <w:rsid w:val="00885D12"/>
    <w:rsid w:val="008A46AC"/>
    <w:rsid w:val="008D4B35"/>
    <w:rsid w:val="008D62E4"/>
    <w:rsid w:val="008E6862"/>
    <w:rsid w:val="008F0C7F"/>
    <w:rsid w:val="00902E17"/>
    <w:rsid w:val="00937389"/>
    <w:rsid w:val="00971010"/>
    <w:rsid w:val="0099580A"/>
    <w:rsid w:val="009C36DF"/>
    <w:rsid w:val="009D2A19"/>
    <w:rsid w:val="009D5915"/>
    <w:rsid w:val="009F4207"/>
    <w:rsid w:val="009F435B"/>
    <w:rsid w:val="009F4D5A"/>
    <w:rsid w:val="009F5FE5"/>
    <w:rsid w:val="009F6DCB"/>
    <w:rsid w:val="00A16507"/>
    <w:rsid w:val="00A304B2"/>
    <w:rsid w:val="00A427EB"/>
    <w:rsid w:val="00A52A9C"/>
    <w:rsid w:val="00A6389A"/>
    <w:rsid w:val="00A7136A"/>
    <w:rsid w:val="00A858D2"/>
    <w:rsid w:val="00A9750E"/>
    <w:rsid w:val="00AD32E2"/>
    <w:rsid w:val="00AD7912"/>
    <w:rsid w:val="00AE68F1"/>
    <w:rsid w:val="00AE6F46"/>
    <w:rsid w:val="00AF6C2E"/>
    <w:rsid w:val="00B0527D"/>
    <w:rsid w:val="00B10618"/>
    <w:rsid w:val="00B209C0"/>
    <w:rsid w:val="00B222E6"/>
    <w:rsid w:val="00B2447E"/>
    <w:rsid w:val="00B52FB0"/>
    <w:rsid w:val="00B6207B"/>
    <w:rsid w:val="00B70AA5"/>
    <w:rsid w:val="00B72BE8"/>
    <w:rsid w:val="00B905A0"/>
    <w:rsid w:val="00B95A40"/>
    <w:rsid w:val="00BA1D87"/>
    <w:rsid w:val="00BA408A"/>
    <w:rsid w:val="00BB0CB9"/>
    <w:rsid w:val="00BD15C4"/>
    <w:rsid w:val="00BE34C2"/>
    <w:rsid w:val="00BF33DF"/>
    <w:rsid w:val="00BF78AB"/>
    <w:rsid w:val="00C01B55"/>
    <w:rsid w:val="00C01FA7"/>
    <w:rsid w:val="00C0203D"/>
    <w:rsid w:val="00C24D73"/>
    <w:rsid w:val="00C421DB"/>
    <w:rsid w:val="00C53C40"/>
    <w:rsid w:val="00C615D5"/>
    <w:rsid w:val="00CB0401"/>
    <w:rsid w:val="00CB2F48"/>
    <w:rsid w:val="00CC6D06"/>
    <w:rsid w:val="00CF7A58"/>
    <w:rsid w:val="00D00DA1"/>
    <w:rsid w:val="00D11086"/>
    <w:rsid w:val="00D36A59"/>
    <w:rsid w:val="00D41DCE"/>
    <w:rsid w:val="00D47806"/>
    <w:rsid w:val="00D53DFE"/>
    <w:rsid w:val="00D601F0"/>
    <w:rsid w:val="00D628BA"/>
    <w:rsid w:val="00D72CD5"/>
    <w:rsid w:val="00D847D8"/>
    <w:rsid w:val="00DA5B47"/>
    <w:rsid w:val="00DB1A24"/>
    <w:rsid w:val="00DD1EFA"/>
    <w:rsid w:val="00DE0F65"/>
    <w:rsid w:val="00DE7653"/>
    <w:rsid w:val="00DF152D"/>
    <w:rsid w:val="00E0243C"/>
    <w:rsid w:val="00E2313C"/>
    <w:rsid w:val="00E271FF"/>
    <w:rsid w:val="00E44D4C"/>
    <w:rsid w:val="00E66D92"/>
    <w:rsid w:val="00E76CEC"/>
    <w:rsid w:val="00E8666D"/>
    <w:rsid w:val="00EA56A0"/>
    <w:rsid w:val="00EC4878"/>
    <w:rsid w:val="00F07DF7"/>
    <w:rsid w:val="00F227DD"/>
    <w:rsid w:val="00F241FE"/>
    <w:rsid w:val="00F250FA"/>
    <w:rsid w:val="00F33CEA"/>
    <w:rsid w:val="00F43078"/>
    <w:rsid w:val="00F53375"/>
    <w:rsid w:val="00F63D59"/>
    <w:rsid w:val="00F7222E"/>
    <w:rsid w:val="00F81217"/>
    <w:rsid w:val="00F84A56"/>
    <w:rsid w:val="00F85382"/>
    <w:rsid w:val="00F85A95"/>
    <w:rsid w:val="00F86849"/>
    <w:rsid w:val="00F97C97"/>
    <w:rsid w:val="00FD6BCF"/>
    <w:rsid w:val="00FE7C2B"/>
    <w:rsid w:val="02990493"/>
    <w:rsid w:val="044712C7"/>
    <w:rsid w:val="08621D1C"/>
    <w:rsid w:val="1C8708E3"/>
    <w:rsid w:val="1E8E469A"/>
    <w:rsid w:val="22AD6D1D"/>
    <w:rsid w:val="276F0659"/>
    <w:rsid w:val="393E7149"/>
    <w:rsid w:val="411D6B42"/>
    <w:rsid w:val="6B9123BC"/>
    <w:rsid w:val="70DB502C"/>
    <w:rsid w:val="72833999"/>
    <w:rsid w:val="77DC3CA1"/>
    <w:rsid w:val="79426337"/>
    <w:rsid w:val="7E610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qFormat/>
    <w:uiPriority w:val="0"/>
    <w:rPr>
      <w:rFonts w:ascii="Verdana" w:hAnsi="Verdana" w:eastAsia="仿宋_GB2312" w:cs="Verdana"/>
      <w:b/>
      <w:bCs/>
      <w:kern w:val="0"/>
      <w:sz w:val="28"/>
      <w:szCs w:val="28"/>
      <w:lang w:eastAsia="en-US"/>
    </w:rPr>
  </w:style>
  <w:style w:type="character" w:customStyle="1" w:styleId="10">
    <w:name w:val="标题 1 Char"/>
    <w:basedOn w:val="8"/>
    <w:link w:val="2"/>
    <w:qFormat/>
    <w:uiPriority w:val="9"/>
    <w:rPr>
      <w:rFonts w:ascii="宋体" w:hAnsi="宋体" w:eastAsia="宋体" w:cs="宋体"/>
      <w:b/>
      <w:bCs/>
      <w:kern w:val="36"/>
      <w:sz w:val="48"/>
      <w:szCs w:val="48"/>
    </w:rPr>
  </w:style>
  <w:style w:type="character" w:customStyle="1" w:styleId="11">
    <w:name w:val="批注框文本 Char"/>
    <w:basedOn w:val="8"/>
    <w:link w:val="3"/>
    <w:semiHidden/>
    <w:qFormat/>
    <w:uiPriority w:val="99"/>
    <w:rPr>
      <w:sz w:val="18"/>
      <w:szCs w:val="18"/>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5</Pages>
  <Words>280</Words>
  <Characters>1602</Characters>
  <Lines>13</Lines>
  <Paragraphs>3</Paragraphs>
  <TotalTime>24</TotalTime>
  <ScaleCrop>false</ScaleCrop>
  <LinksUpToDate>false</LinksUpToDate>
  <CharactersWithSpaces>1879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2021-01-08T09:26:00Z</dcterms:created>
  <dc:creator>lb</dc:creator>
  <cp:lastModifiedBy>博山比利王</cp:lastModifiedBy>
  <dcterms:modified xsi:type="dcterms:W3CDTF">2021-01-26T06:20:30Z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