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F1164">
      <w:pPr>
        <w:autoSpaceDE w:val="0"/>
        <w:autoSpaceDN w:val="0"/>
        <w:snapToGrid w:val="0"/>
        <w:spacing w:after="312" w:afterLines="100" w:line="600" w:lineRule="exact"/>
        <w:ind w:firstLine="0"/>
        <w:jc w:val="center"/>
        <w:rPr>
          <w:rFonts w:hint="eastAsia" w:ascii="方正小标宋简体" w:hAnsi="方正小标宋简体" w:eastAsia="方正小标宋简体" w:cs="方正小标宋简体"/>
          <w:snapToGrid w:val="0"/>
          <w:kern w:val="0"/>
          <w:sz w:val="36"/>
          <w:szCs w:val="36"/>
        </w:rPr>
      </w:pPr>
      <w:r>
        <w:rPr>
          <w:rFonts w:hint="eastAsia" w:ascii="方正小标宋简体" w:hAnsi="方正小标宋简体" w:eastAsia="方正小标宋简体" w:cs="方正小标宋简体"/>
          <w:snapToGrid w:val="0"/>
          <w:kern w:val="0"/>
          <w:sz w:val="36"/>
          <w:szCs w:val="36"/>
        </w:rPr>
        <w:t>高青县花沟镇2025年政府信息公开工作年度报告</w:t>
      </w:r>
    </w:p>
    <w:p w14:paraId="09AB10A8">
      <w:pPr>
        <w:autoSpaceDE w:val="0"/>
        <w:autoSpaceDN w:val="0"/>
        <w:snapToGrid w:val="0"/>
        <w:spacing w:line="60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02AAC318">
      <w:pPr>
        <w:autoSpaceDE w:val="0"/>
        <w:autoSpaceDN w:val="0"/>
        <w:snapToGrid w:val="0"/>
        <w:spacing w:line="60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报告中所列数据统计期限自2025年1月1日始，至2025年12月31日止。报告电子版可在高青县人民政府门户网站（www.gaoqing.gov.cn）查阅和下载。如对报告内容有疑问，请与高青县花沟镇人民政府办公室联系（地址：高青县花沟镇田兴路1号；邮编：256305；电话：0533-6785304；传真：0533-6785370；邮箱：gqxhgz@zb.shandong.cn）。</w:t>
      </w:r>
    </w:p>
    <w:p w14:paraId="6C0B1CD3">
      <w:pPr>
        <w:pStyle w:val="8"/>
        <w:widowControl/>
        <w:spacing w:beforeAutospacing="0" w:afterAutospacing="0"/>
        <w:ind w:firstLine="640" w:firstLineChars="200"/>
        <w:rPr>
          <w:rFonts w:hint="eastAsia" w:ascii="黑体" w:hAnsi="黑体" w:eastAsia="黑体" w:cs="黑体"/>
          <w:bCs/>
          <w:sz w:val="32"/>
          <w:szCs w:val="32"/>
        </w:rPr>
      </w:pPr>
      <w:r>
        <w:rPr>
          <w:rStyle w:val="13"/>
          <w:rFonts w:hint="eastAsia" w:ascii="黑体" w:hAnsi="黑体" w:eastAsia="黑体" w:cs="黑体"/>
          <w:b w:val="0"/>
          <w:bCs/>
          <w:sz w:val="32"/>
          <w:szCs w:val="32"/>
        </w:rPr>
        <w:t>一、总体情况</w:t>
      </w:r>
    </w:p>
    <w:p w14:paraId="015DB1D6">
      <w:pPr>
        <w:autoSpaceDE w:val="0"/>
        <w:autoSpaceDN w:val="0"/>
        <w:snapToGrid w:val="0"/>
        <w:spacing w:line="60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2025年，高青县花沟镇坚持以习近平新时代中国特色社会主义思想为指导，认真落实国家和省市县政务公开工作部署，立足我镇工作实际，通过压实组织责任、健全长效工作机制、规范操作流程等举措，扎实有序推进政府信息公开各项工作落地见效。</w:t>
      </w:r>
    </w:p>
    <w:p w14:paraId="027C076F">
      <w:pPr>
        <w:spacing w:line="600" w:lineRule="exact"/>
        <w:ind w:firstLine="640" w:firstLineChars="200"/>
        <w:rPr>
          <w:rFonts w:ascii="楷体_GB2312" w:eastAsia="楷体_GB2312"/>
          <w:sz w:val="32"/>
          <w:szCs w:val="32"/>
        </w:rPr>
      </w:pPr>
      <w:r>
        <w:rPr>
          <w:rFonts w:hint="eastAsia" w:ascii="楷体_GB2312" w:eastAsia="楷体_GB2312"/>
          <w:sz w:val="32"/>
          <w:szCs w:val="32"/>
        </w:rPr>
        <w:t>（一）主动公开</w:t>
      </w:r>
    </w:p>
    <w:p w14:paraId="6B35D2A3">
      <w:pPr>
        <w:autoSpaceDE w:val="0"/>
        <w:autoSpaceDN w:val="0"/>
        <w:snapToGrid w:val="0"/>
        <w:spacing w:line="60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2025年，我镇构建</w:t>
      </w:r>
      <w:r>
        <w:rPr>
          <w:rFonts w:hint="eastAsia" w:ascii="仿宋_GB2312" w:hAnsi="Times New Roman" w:eastAsia="仿宋_GB2312" w:cs="Times New Roman"/>
          <w:snapToGrid w:val="0"/>
          <w:kern w:val="0"/>
          <w:sz w:val="32"/>
          <w:szCs w:val="32"/>
          <w:lang w:eastAsia="zh-CN"/>
        </w:rPr>
        <w:t>信息公开</w:t>
      </w:r>
      <w:r>
        <w:rPr>
          <w:rFonts w:hint="eastAsia" w:ascii="仿宋_GB2312" w:hAnsi="Times New Roman" w:eastAsia="仿宋_GB2312" w:cs="Times New Roman"/>
          <w:snapToGrid w:val="0"/>
          <w:kern w:val="0"/>
          <w:sz w:val="32"/>
          <w:szCs w:val="32"/>
        </w:rPr>
        <w:t>“镇级统筹、科室推进、村级执行、专人跟进”全链条机制，每季度专项督导检查、通报整改，以常态化督查推动任务落地。全年累计发布信息256条。坚持“政策出台即解读”，开展“政策赶大集”“田间宣讲会”等政策解读活动；举办2场“政府开放日”，邀请70余名群众代表体验政务并提32条建议。2025年12345热线办理1196件，群众满意率95.83%，较上年提升0.4个百分点。聚焦群众关切与镇域特色，深化生态农业领域公开，公开补贴方案、农田建设进度等信息，细化蔬菜种植补贴标准及申请流程，以公开促规范提服务。</w:t>
      </w:r>
    </w:p>
    <w:p w14:paraId="0ADEAE17">
      <w:pPr>
        <w:pStyle w:val="8"/>
        <w:widowControl/>
        <w:spacing w:beforeAutospacing="0" w:afterAutospacing="0"/>
        <w:jc w:val="center"/>
        <w:rPr>
          <w:sz w:val="32"/>
          <w:szCs w:val="32"/>
        </w:rPr>
      </w:pPr>
      <w:r>
        <w:drawing>
          <wp:inline distT="0" distB="0" distL="114300" distR="114300">
            <wp:extent cx="4662170" cy="3491865"/>
            <wp:effectExtent l="0" t="0" r="508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62170" cy="3491865"/>
                    </a:xfrm>
                    <a:prstGeom prst="rect">
                      <a:avLst/>
                    </a:prstGeom>
                    <a:noFill/>
                    <a:ln>
                      <a:noFill/>
                    </a:ln>
                  </pic:spPr>
                </pic:pic>
              </a:graphicData>
            </a:graphic>
          </wp:inline>
        </w:drawing>
      </w:r>
    </w:p>
    <w:p w14:paraId="56348F6E">
      <w:pPr>
        <w:spacing w:line="600" w:lineRule="exact"/>
        <w:ind w:firstLine="640" w:firstLineChars="200"/>
        <w:rPr>
          <w:rFonts w:hint="eastAsia" w:ascii="楷体_GB2312" w:eastAsia="楷体_GB2312"/>
          <w:sz w:val="32"/>
          <w:szCs w:val="32"/>
        </w:rPr>
      </w:pPr>
    </w:p>
    <w:p w14:paraId="112DB829">
      <w:pPr>
        <w:spacing w:line="600" w:lineRule="exact"/>
        <w:ind w:firstLine="640" w:firstLineChars="200"/>
        <w:rPr>
          <w:rFonts w:hint="eastAsia" w:ascii="楷体_GB2312" w:eastAsia="楷体_GB2312"/>
          <w:sz w:val="32"/>
          <w:szCs w:val="32"/>
        </w:rPr>
      </w:pPr>
    </w:p>
    <w:p w14:paraId="17420724">
      <w:pPr>
        <w:spacing w:line="600" w:lineRule="exact"/>
        <w:ind w:firstLine="640" w:firstLineChars="200"/>
        <w:rPr>
          <w:rFonts w:ascii="楷体_GB2312" w:eastAsia="楷体_GB2312"/>
          <w:sz w:val="32"/>
          <w:szCs w:val="32"/>
        </w:rPr>
      </w:pPr>
      <w:r>
        <w:rPr>
          <w:rFonts w:hint="eastAsia" w:ascii="楷体_GB2312" w:eastAsia="楷体_GB2312"/>
          <w:sz w:val="32"/>
          <w:szCs w:val="32"/>
        </w:rPr>
        <w:t>（二）</w:t>
      </w:r>
      <w:bookmarkStart w:id="0" w:name="OLE_LINK2"/>
      <w:r>
        <w:rPr>
          <w:rFonts w:hint="eastAsia" w:ascii="楷体_GB2312" w:eastAsia="楷体_GB2312"/>
          <w:sz w:val="32"/>
          <w:szCs w:val="32"/>
        </w:rPr>
        <w:t>依申请公开</w:t>
      </w:r>
      <w:bookmarkEnd w:id="0"/>
    </w:p>
    <w:p w14:paraId="5ABD5677">
      <w:pPr>
        <w:spacing w:line="600" w:lineRule="exact"/>
        <w:ind w:firstLine="640" w:firstLineChars="200"/>
        <w:rPr>
          <w:rFonts w:ascii="仿宋_GB2312" w:eastAsia="仿宋_GB2312"/>
          <w:sz w:val="32"/>
          <w:szCs w:val="32"/>
        </w:rPr>
      </w:pPr>
      <w:r>
        <w:rPr>
          <w:rFonts w:hint="eastAsia" w:ascii="仿宋_GB2312" w:eastAsia="仿宋_GB2312"/>
          <w:sz w:val="32"/>
          <w:szCs w:val="32"/>
        </w:rPr>
        <w:t>扎实推进政府信息公开工作，对接收办理的依申请公开事项，始终坚持合法合规、高效快捷、精准无误地公开</w:t>
      </w:r>
      <w:r>
        <w:rPr>
          <w:rFonts w:hint="eastAsia" w:ascii="仿宋_GB2312" w:eastAsia="仿宋_GB2312"/>
          <w:sz w:val="32"/>
          <w:szCs w:val="32"/>
          <w:lang w:eastAsia="zh-CN"/>
        </w:rPr>
        <w:t>政府</w:t>
      </w:r>
      <w:r>
        <w:rPr>
          <w:rFonts w:hint="eastAsia" w:ascii="仿宋_GB2312" w:eastAsia="仿宋_GB2312"/>
          <w:sz w:val="32"/>
          <w:szCs w:val="32"/>
        </w:rPr>
        <w:t>信息。2025年未收到政府信息公开申请。依申请公开政府信息未收取任何费用。未因政府信息公开被申请行政复议、提起行政诉讼。</w:t>
      </w:r>
    </w:p>
    <w:p w14:paraId="2CAAF29E">
      <w:pPr>
        <w:spacing w:line="600" w:lineRule="exact"/>
        <w:ind w:firstLine="640" w:firstLineChars="200"/>
        <w:rPr>
          <w:rFonts w:ascii="楷体_GB2312" w:eastAsia="楷体_GB2312"/>
          <w:sz w:val="32"/>
          <w:szCs w:val="32"/>
        </w:rPr>
      </w:pPr>
      <w:r>
        <w:rPr>
          <w:rFonts w:hint="eastAsia" w:ascii="楷体_GB2312" w:eastAsia="楷体_GB2312"/>
          <w:sz w:val="32"/>
          <w:szCs w:val="32"/>
        </w:rPr>
        <w:t>（三）政府信息管理</w:t>
      </w:r>
    </w:p>
    <w:p w14:paraId="352A53A4">
      <w:pPr>
        <w:spacing w:line="600" w:lineRule="exact"/>
        <w:ind w:firstLine="640" w:firstLineChars="200"/>
        <w:rPr>
          <w:rFonts w:ascii="仿宋_GB2312" w:eastAsia="仿宋_GB2312"/>
          <w:sz w:val="32"/>
          <w:szCs w:val="32"/>
        </w:rPr>
      </w:pPr>
      <w:r>
        <w:rPr>
          <w:rFonts w:hint="eastAsia" w:ascii="仿宋_GB2312" w:eastAsia="仿宋_GB2312"/>
          <w:sz w:val="32"/>
          <w:szCs w:val="32"/>
        </w:rPr>
        <w:t>完善政府信息全周期管理体系，信息维护方面，严格执行</w:t>
      </w:r>
      <w:r>
        <w:rPr>
          <w:rFonts w:hint="eastAsia" w:ascii="仿宋_GB2312" w:eastAsia="仿宋_GB2312"/>
          <w:sz w:val="32"/>
          <w:szCs w:val="32"/>
          <w:lang w:eastAsia="zh-CN"/>
        </w:rPr>
        <w:t>信息</w:t>
      </w:r>
      <w:r>
        <w:rPr>
          <w:rFonts w:hint="eastAsia" w:ascii="仿宋_GB2312" w:eastAsia="仿宋_GB2312"/>
          <w:sz w:val="32"/>
          <w:szCs w:val="32"/>
        </w:rPr>
        <w:t>分类动态更新与定期清理机制，确保领导分工、机构职能等基础信息及时更新，对公示期满信息及时归档。所有信息发布均遵循“三审三校”审核制度，层层压实责任。同时，将政府信息公开属性的源头认定作为公文制发的必要环节，确保属性准确、公开及时。在保密审查方面，坚决贯彻“谁公开、谁审查，先审查、后公开”原则，将保密审查无缝嵌入信息发布全流程。</w:t>
      </w:r>
    </w:p>
    <w:p w14:paraId="33D795EB">
      <w:pPr>
        <w:spacing w:line="600" w:lineRule="exact"/>
        <w:ind w:firstLine="640" w:firstLineChars="200"/>
        <w:rPr>
          <w:rFonts w:ascii="楷体_GB2312" w:eastAsia="楷体_GB2312"/>
          <w:sz w:val="32"/>
          <w:szCs w:val="32"/>
        </w:rPr>
      </w:pPr>
      <w:r>
        <w:rPr>
          <w:rFonts w:hint="eastAsia" w:ascii="楷体_GB2312" w:eastAsia="楷体_GB2312"/>
          <w:sz w:val="32"/>
          <w:szCs w:val="32"/>
        </w:rPr>
        <w:t>（四）政府信息公开平台建设</w:t>
      </w:r>
    </w:p>
    <w:p w14:paraId="709F1BF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优化公开渠道，提升服务</w:t>
      </w:r>
      <w:r>
        <w:rPr>
          <w:rFonts w:hint="eastAsia" w:ascii="仿宋_GB2312" w:eastAsia="仿宋_GB2312"/>
          <w:sz w:val="32"/>
          <w:szCs w:val="32"/>
          <w:lang w:eastAsia="zh-CN"/>
        </w:rPr>
        <w:t>质</w:t>
      </w:r>
      <w:r>
        <w:rPr>
          <w:rFonts w:hint="eastAsia" w:ascii="仿宋_GB2312" w:eastAsia="仿宋_GB2312"/>
          <w:sz w:val="32"/>
          <w:szCs w:val="32"/>
        </w:rPr>
        <w:t>效。聚焦政府网站这一主阵地，扎实推进栏目优化与内容运维。持续强化线下公开服务能力，完善基层查阅点网络。在镇便民服务中心大厅设立标识清晰的政务公开线下查阅专区，集中提供政府公报、政策文件及办事指南。</w:t>
      </w:r>
    </w:p>
    <w:p w14:paraId="230059B3">
      <w:pPr>
        <w:spacing w:line="600" w:lineRule="exact"/>
        <w:ind w:firstLine="640" w:firstLineChars="200"/>
        <w:rPr>
          <w:rFonts w:ascii="楷体_GB2312" w:eastAsia="楷体_GB2312"/>
          <w:sz w:val="32"/>
          <w:szCs w:val="32"/>
        </w:rPr>
      </w:pPr>
      <w:r>
        <w:rPr>
          <w:rFonts w:hint="eastAsia" w:ascii="楷体_GB2312" w:eastAsia="楷体_GB2312"/>
          <w:sz w:val="32"/>
          <w:szCs w:val="32"/>
        </w:rPr>
        <w:t>（五）监督保障</w:t>
      </w:r>
    </w:p>
    <w:p w14:paraId="5F7DFDD2">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2025年，本单位全面加强政务公开监督工作，组织召开2次专题会议研究重大事项。明确党政办公室为主管机构，增配1名专职人员，围绕信息公开条例、政策解读等核心内容组织2期专题培训，累计培训镇村政务公开专干80余人次，确保信息公开工作常态化、全面化开展。</w:t>
      </w:r>
    </w:p>
    <w:p w14:paraId="7F7F3A4D">
      <w:pPr>
        <w:pStyle w:val="8"/>
        <w:widowControl/>
        <w:spacing w:beforeAutospacing="0" w:afterAutospacing="0"/>
        <w:jc w:val="center"/>
        <w:rPr>
          <w:rStyle w:val="13"/>
          <w:rFonts w:hint="eastAsia" w:ascii="黑体" w:hAnsi="黑体" w:eastAsia="黑体" w:cs="黑体"/>
          <w:sz w:val="32"/>
          <w:szCs w:val="32"/>
        </w:rPr>
      </w:pPr>
    </w:p>
    <w:p w14:paraId="269818AC">
      <w:pPr>
        <w:autoSpaceDE w:val="0"/>
        <w:autoSpaceDN w:val="0"/>
        <w:snapToGrid w:val="0"/>
        <w:spacing w:line="600" w:lineRule="exact"/>
        <w:ind w:firstLine="640" w:firstLineChars="200"/>
        <w:rPr>
          <w:rFonts w:hint="default" w:ascii="黑体" w:hAnsi="黑体" w:eastAsia="黑体" w:cs="Times New Roman"/>
          <w:snapToGrid w:val="0"/>
          <w:kern w:val="0"/>
          <w:sz w:val="32"/>
          <w:szCs w:val="32"/>
        </w:rPr>
      </w:pPr>
      <w:r>
        <w:rPr>
          <w:rFonts w:hint="default" w:ascii="黑体" w:hAnsi="黑体" w:eastAsia="黑体" w:cs="Times New Roman"/>
          <w:snapToGrid w:val="0"/>
          <w:kern w:val="0"/>
          <w:sz w:val="32"/>
          <w:szCs w:val="32"/>
        </w:rPr>
        <w:t>二、主动公开政府信息情况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706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7FBAC8D">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第二十条第（一）项</w:t>
            </w:r>
          </w:p>
        </w:tc>
      </w:tr>
      <w:tr w14:paraId="713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34A3045">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2130" w:type="dxa"/>
            <w:vAlign w:val="center"/>
          </w:tcPr>
          <w:p w14:paraId="6F813073">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w:t>
            </w:r>
            <w:r>
              <w:rPr>
                <w:rFonts w:hint="default" w:ascii="Times New Roman" w:hAnsi="Times New Roman" w:eastAsia="宋体" w:cs="Times New Roman"/>
                <w:snapToGrid/>
                <w:sz w:val="20"/>
              </w:rPr>
              <w:t>制发件数</w:t>
            </w:r>
          </w:p>
        </w:tc>
        <w:tc>
          <w:tcPr>
            <w:tcW w:w="2131" w:type="dxa"/>
            <w:vAlign w:val="center"/>
          </w:tcPr>
          <w:p w14:paraId="24851EF7">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本年废止件数</w:t>
            </w:r>
          </w:p>
        </w:tc>
        <w:tc>
          <w:tcPr>
            <w:tcW w:w="2131" w:type="dxa"/>
            <w:vAlign w:val="center"/>
          </w:tcPr>
          <w:p w14:paraId="7A344196">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现行有效件</w:t>
            </w:r>
            <w:r>
              <w:rPr>
                <w:rFonts w:hint="default" w:ascii="Times New Roman" w:hAnsi="Times New Roman" w:eastAsia="宋体" w:cs="Times New Roman"/>
                <w:snapToGrid/>
                <w:sz w:val="20"/>
              </w:rPr>
              <w:t>数</w:t>
            </w:r>
          </w:p>
        </w:tc>
      </w:tr>
      <w:tr w14:paraId="709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63B23DA">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规章</w:t>
            </w:r>
          </w:p>
        </w:tc>
        <w:tc>
          <w:tcPr>
            <w:tcW w:w="2130" w:type="dxa"/>
            <w:vAlign w:val="center"/>
          </w:tcPr>
          <w:p w14:paraId="287540E8">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c>
          <w:tcPr>
            <w:tcW w:w="2131" w:type="dxa"/>
            <w:vAlign w:val="center"/>
          </w:tcPr>
          <w:p w14:paraId="70D2D8AF">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c>
          <w:tcPr>
            <w:tcW w:w="2131" w:type="dxa"/>
            <w:vAlign w:val="center"/>
          </w:tcPr>
          <w:p w14:paraId="3C180251">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r>
      <w:tr w14:paraId="5362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8E49280">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行政规范性文件</w:t>
            </w:r>
          </w:p>
        </w:tc>
        <w:tc>
          <w:tcPr>
            <w:tcW w:w="2130" w:type="dxa"/>
            <w:shd w:val="clear" w:color="auto" w:fill="auto"/>
            <w:vAlign w:val="center"/>
          </w:tcPr>
          <w:p w14:paraId="6027E3F7">
            <w:pPr>
              <w:spacing w:line="240" w:lineRule="auto"/>
              <w:ind w:firstLine="0" w:firstLineChars="0"/>
              <w:rPr>
                <w:rFonts w:hint="default" w:ascii="Times New Roman" w:hAnsi="Times New Roman" w:eastAsia="黑体" w:cs="Times New Roman"/>
                <w:snapToGrid w:val="0"/>
                <w:kern w:val="0"/>
                <w:sz w:val="20"/>
                <w:szCs w:val="20"/>
                <w:lang w:val="en-US" w:eastAsia="zh-CN" w:bidi="ar-SA"/>
              </w:rPr>
            </w:pPr>
            <w:r>
              <w:rPr>
                <w:rFonts w:hint="eastAsia" w:eastAsia="黑体" w:cs="Times New Roman"/>
                <w:sz w:val="20"/>
                <w:lang w:val="en-US" w:eastAsia="zh-CN"/>
              </w:rPr>
              <w:t>0</w:t>
            </w:r>
          </w:p>
        </w:tc>
        <w:tc>
          <w:tcPr>
            <w:tcW w:w="2131" w:type="dxa"/>
            <w:vAlign w:val="center"/>
          </w:tcPr>
          <w:p w14:paraId="5FEB5750">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c>
          <w:tcPr>
            <w:tcW w:w="2131" w:type="dxa"/>
            <w:vAlign w:val="center"/>
          </w:tcPr>
          <w:p w14:paraId="2C0FC3BA">
            <w:pPr>
              <w:spacing w:line="240" w:lineRule="auto"/>
              <w:ind w:firstLine="0" w:firstLineChars="0"/>
              <w:rPr>
                <w:rFonts w:hint="default" w:ascii="Times New Roman" w:hAnsi="Times New Roman" w:eastAsia="黑体" w:cs="Times New Roman"/>
                <w:sz w:val="20"/>
              </w:rPr>
            </w:pPr>
            <w:r>
              <w:rPr>
                <w:rFonts w:hint="eastAsia" w:eastAsia="黑体" w:cs="Times New Roman"/>
                <w:sz w:val="20"/>
                <w:lang w:val="en-US" w:eastAsia="zh-CN"/>
              </w:rPr>
              <w:t>0</w:t>
            </w:r>
          </w:p>
        </w:tc>
      </w:tr>
      <w:tr w14:paraId="409C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3299621">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第二十条第（五）项</w:t>
            </w:r>
          </w:p>
        </w:tc>
      </w:tr>
      <w:tr w14:paraId="136C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5F61195">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132F7819">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33E4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39AEC37">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行政许可</w:t>
            </w:r>
          </w:p>
        </w:tc>
        <w:tc>
          <w:tcPr>
            <w:tcW w:w="6392" w:type="dxa"/>
            <w:gridSpan w:val="3"/>
            <w:vAlign w:val="center"/>
          </w:tcPr>
          <w:p w14:paraId="2543FF01">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r w14:paraId="7432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47A96F5">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第二十条第（六）项</w:t>
            </w:r>
          </w:p>
        </w:tc>
      </w:tr>
      <w:tr w14:paraId="749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63D8A92">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5F5DD78E">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A14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3CF94C7">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行政处罚</w:t>
            </w:r>
          </w:p>
        </w:tc>
        <w:tc>
          <w:tcPr>
            <w:tcW w:w="6392" w:type="dxa"/>
            <w:gridSpan w:val="3"/>
            <w:vAlign w:val="center"/>
          </w:tcPr>
          <w:p w14:paraId="7057FA53">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r w14:paraId="7292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41D8D3C">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行政强制</w:t>
            </w:r>
          </w:p>
        </w:tc>
        <w:tc>
          <w:tcPr>
            <w:tcW w:w="6392" w:type="dxa"/>
            <w:gridSpan w:val="3"/>
            <w:vAlign w:val="center"/>
          </w:tcPr>
          <w:p w14:paraId="682BEA70">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r w14:paraId="3950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B1F9AFC">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第二十条第（八）项</w:t>
            </w:r>
          </w:p>
        </w:tc>
      </w:tr>
      <w:tr w14:paraId="6246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DC4C23E">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438FFE01">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本年收费金额（单位：万元）</w:t>
            </w:r>
          </w:p>
        </w:tc>
      </w:tr>
      <w:tr w14:paraId="40DF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705318A">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行政事业性收费</w:t>
            </w:r>
          </w:p>
        </w:tc>
        <w:tc>
          <w:tcPr>
            <w:tcW w:w="6392" w:type="dxa"/>
            <w:gridSpan w:val="3"/>
            <w:vAlign w:val="center"/>
          </w:tcPr>
          <w:p w14:paraId="73507D63">
            <w:pPr>
              <w:spacing w:line="240" w:lineRule="auto"/>
              <w:ind w:firstLine="0"/>
              <w:rPr>
                <w:rFonts w:hint="eastAsia" w:ascii="Times New Roman" w:hAnsi="Times New Roman" w:eastAsia="黑体" w:cs="Times New Roman"/>
                <w:sz w:val="20"/>
                <w:lang w:val="en-US" w:eastAsia="zh-CN"/>
              </w:rPr>
            </w:pPr>
            <w:r>
              <w:rPr>
                <w:rFonts w:hint="eastAsia" w:eastAsia="黑体" w:cs="Times New Roman"/>
                <w:sz w:val="20"/>
                <w:lang w:val="en-US" w:eastAsia="zh-CN"/>
              </w:rPr>
              <w:t>0</w:t>
            </w:r>
          </w:p>
        </w:tc>
      </w:tr>
    </w:tbl>
    <w:p w14:paraId="16DD83B0">
      <w:pPr>
        <w:spacing w:after="156" w:afterLines="50" w:line="240" w:lineRule="auto"/>
        <w:ind w:firstLine="420" w:firstLineChars="200"/>
        <w:rPr>
          <w:rFonts w:hint="default" w:ascii="Times New Roman" w:hAnsi="Times New Roman" w:eastAsia="黑体" w:cs="Times New Roman"/>
          <w:szCs w:val="32"/>
        </w:rPr>
      </w:pPr>
    </w:p>
    <w:p w14:paraId="3E59744C">
      <w:pPr>
        <w:autoSpaceDE w:val="0"/>
        <w:autoSpaceDN w:val="0"/>
        <w:snapToGrid w:val="0"/>
        <w:spacing w:line="600" w:lineRule="exact"/>
        <w:ind w:firstLine="640" w:firstLineChars="200"/>
        <w:rPr>
          <w:rFonts w:hint="default" w:ascii="黑体" w:hAnsi="黑体" w:eastAsia="黑体" w:cs="Times New Roman"/>
          <w:snapToGrid w:val="0"/>
          <w:kern w:val="0"/>
          <w:sz w:val="32"/>
          <w:szCs w:val="32"/>
        </w:rPr>
      </w:pPr>
    </w:p>
    <w:p w14:paraId="19E3BCEE">
      <w:pPr>
        <w:autoSpaceDE w:val="0"/>
        <w:autoSpaceDN w:val="0"/>
        <w:snapToGrid w:val="0"/>
        <w:spacing w:line="600" w:lineRule="exact"/>
        <w:ind w:firstLine="640" w:firstLineChars="200"/>
        <w:rPr>
          <w:rFonts w:hint="default" w:ascii="黑体" w:hAnsi="黑体" w:eastAsia="黑体" w:cs="Times New Roman"/>
          <w:snapToGrid w:val="0"/>
          <w:kern w:val="0"/>
          <w:sz w:val="32"/>
          <w:szCs w:val="32"/>
        </w:rPr>
      </w:pPr>
    </w:p>
    <w:p w14:paraId="69EF8C63">
      <w:pPr>
        <w:autoSpaceDE w:val="0"/>
        <w:autoSpaceDN w:val="0"/>
        <w:snapToGrid w:val="0"/>
        <w:spacing w:line="600" w:lineRule="exact"/>
        <w:ind w:firstLine="640" w:firstLineChars="200"/>
        <w:rPr>
          <w:rFonts w:hint="default" w:ascii="黑体" w:hAnsi="黑体" w:eastAsia="黑体" w:cs="Times New Roman"/>
          <w:snapToGrid w:val="0"/>
          <w:kern w:val="0"/>
          <w:sz w:val="32"/>
          <w:szCs w:val="32"/>
        </w:rPr>
      </w:pPr>
      <w:r>
        <w:rPr>
          <w:rFonts w:hint="default" w:ascii="黑体" w:hAnsi="黑体" w:eastAsia="黑体" w:cs="Times New Roman"/>
          <w:snapToGrid w:val="0"/>
          <w:kern w:val="0"/>
          <w:sz w:val="32"/>
          <w:szCs w:val="32"/>
        </w:rPr>
        <w:t>三、收到和处理政府信息公开申请情况</w:t>
      </w:r>
    </w:p>
    <w:tbl>
      <w:tblPr>
        <w:tblStyle w:val="10"/>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982755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636F7B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E5C5BE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21CA778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932747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617DBA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BDF78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4CCAD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4B55D26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20D570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02E2D85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0855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4E0C5D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69C6D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77EA0E8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9FA92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1A7BC4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6758A4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17128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15FFE9B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DDF721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929C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F856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F876BA">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C2EEBD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8DC9C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3B65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B184C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9EEAA0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6E4398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DE49B5">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E9400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C45C3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989217F">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9894FA">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12DFD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5FEC7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5140F75">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63D60D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BAD3CC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E6FF9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75DA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5CF8A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551F1C">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1ECDD4">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3A1130">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ED8D61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7147A4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6EF44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1D6F34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DE077">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A9FE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F1090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86D15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19847B">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A02FDF">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4E857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5860F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1E12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367717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41E27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6BEA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3C0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F908A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2BCF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39D5B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00B5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3F913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C54A9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10AF8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6F3EDD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CD86D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2A71E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B731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1D50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D8CB3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A5746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0E12D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68A62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A0E55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4355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3F6214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F3654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CDBB2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95F8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939B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B1FAF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901E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5D047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7FD3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B78BAD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33BB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9A3149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F7C865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5DCE2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DC62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FD36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751A6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BAC8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3E417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CFA7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FFAAA7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4BFF5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60C4CE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0399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04723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A0D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8770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7AE5F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D21AF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9C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020FF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31E315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92717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2ADA49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386DFD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F8097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0555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50F7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D882C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801AD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8C5EE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DD25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44B607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ECBA0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A573D3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9E3D70">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810F14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AFFB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1475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89EB5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C2E2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1FC7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DA23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555C5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7915D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49C7C4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87342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B0A21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B0A4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CADAC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26C9F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8707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DB37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D0125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E48CC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5CA3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5EEC63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BEEC4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CA3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E009F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CC16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1DDDF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C2729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F3F6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29768B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134D99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76B61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35603D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9B62AC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2FBA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98D5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53A5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2971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5A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D888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15DEA9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B672F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01EC9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F03347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B45B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9E3E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BD2F4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6D85B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06B0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88CE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59327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E4017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EAA45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15AA1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CCBBE9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4470E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732E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BD02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D0CB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1799E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36B2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46A8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6469CC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4C5BC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38EA08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C21080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102154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6508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78DA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9F17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CDB39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2AF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5D1EE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F09470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A1884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4F02D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1E0875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EAA17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CA95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A4D0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6A6B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8F17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ACB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61BAA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5A21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579815E">
        <w:trPr>
          <w:jc w:val="center"/>
        </w:trPr>
        <w:tc>
          <w:tcPr>
            <w:tcW w:w="0" w:type="auto"/>
            <w:vMerge w:val="continue"/>
            <w:tcBorders>
              <w:top w:val="nil"/>
              <w:left w:val="single" w:color="auto" w:sz="8" w:space="0"/>
              <w:bottom w:val="inset" w:color="auto" w:sz="8" w:space="0"/>
              <w:right w:val="single" w:color="auto" w:sz="8" w:space="0"/>
            </w:tcBorders>
            <w:vAlign w:val="center"/>
          </w:tcPr>
          <w:p w14:paraId="70C448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394E2B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10ABC1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81527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B3AE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FE1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C993D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22D6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F1EE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4B92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4D97B7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5B0A0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F9DF7C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FBADF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9E960D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109FB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A492C6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24B04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558765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88156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09E3DC4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23D903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7D8E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2D9713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3A5A2C9">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F2C4F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A1DC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949A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51F4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BCF1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43FE3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09BB8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658D75D">
        <w:trPr>
          <w:jc w:val="center"/>
        </w:trPr>
        <w:tc>
          <w:tcPr>
            <w:tcW w:w="0" w:type="auto"/>
            <w:vMerge w:val="continue"/>
            <w:tcBorders>
              <w:top w:val="nil"/>
              <w:left w:val="single" w:color="auto" w:sz="8" w:space="0"/>
              <w:bottom w:val="inset" w:color="auto" w:sz="8" w:space="0"/>
              <w:right w:val="single" w:color="auto" w:sz="8" w:space="0"/>
            </w:tcBorders>
            <w:vAlign w:val="center"/>
          </w:tcPr>
          <w:p w14:paraId="3435648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F24319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5F472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52FF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9062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5F2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43F8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07E7F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6950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F0E95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7FC428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93B63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AD132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3F8D64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8FD48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C28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7DCE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72164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82F8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6CBC5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5CAEB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ADD2D8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89FCD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AA97F2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66D54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92B5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8CC9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2CDE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A0176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C5B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93E6B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7DF0A3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4ADC60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6A3EF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D4ED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60DD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A8CB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6EE0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77D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A161D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1A5FC5A8">
      <w:pPr>
        <w:pStyle w:val="8"/>
        <w:widowControl/>
        <w:spacing w:beforeAutospacing="0" w:afterAutospacing="0"/>
        <w:ind w:firstLine="640" w:firstLineChars="200"/>
        <w:rPr>
          <w:rStyle w:val="13"/>
          <w:rFonts w:hint="eastAsia" w:ascii="黑体" w:hAnsi="黑体" w:eastAsia="黑体" w:cs="黑体"/>
          <w:b w:val="0"/>
          <w:bCs/>
          <w:sz w:val="32"/>
          <w:szCs w:val="32"/>
        </w:rPr>
      </w:pPr>
    </w:p>
    <w:p w14:paraId="79531CB6">
      <w:pPr>
        <w:autoSpaceDE w:val="0"/>
        <w:autoSpaceDN w:val="0"/>
        <w:snapToGrid w:val="0"/>
        <w:spacing w:line="600" w:lineRule="exact"/>
        <w:ind w:firstLine="640" w:firstLineChars="200"/>
        <w:rPr>
          <w:rFonts w:hint="default" w:ascii="黑体" w:hAnsi="黑体" w:eastAsia="黑体" w:cs="Times New Roman"/>
          <w:snapToGrid w:val="0"/>
          <w:kern w:val="0"/>
          <w:sz w:val="32"/>
          <w:szCs w:val="32"/>
        </w:rPr>
      </w:pPr>
      <w:r>
        <w:rPr>
          <w:rFonts w:hint="default" w:ascii="黑体" w:hAnsi="黑体" w:eastAsia="黑体" w:cs="Times New Roman"/>
          <w:snapToGrid w:val="0"/>
          <w:kern w:val="0"/>
          <w:sz w:val="32"/>
          <w:szCs w:val="32"/>
        </w:rPr>
        <w:t>四、政府信息公开行政复议、行政诉讼情况</w:t>
      </w:r>
    </w:p>
    <w:tbl>
      <w:tblPr>
        <w:tblStyle w:val="10"/>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D3A3C20">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7E04A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7B40D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行政诉讼</w:t>
            </w:r>
          </w:p>
        </w:tc>
      </w:tr>
      <w:tr w14:paraId="7F9D87AB">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367C3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FCE1C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FE881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160EA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70584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57E1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98AB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复议后起诉</w:t>
            </w:r>
          </w:p>
        </w:tc>
      </w:tr>
      <w:tr w14:paraId="619724A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DBA39A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E2442E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7C8902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1A7561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2E497B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6D73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857F5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5632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0155D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5ADD3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1BC39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2EA43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C99E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其他</w:t>
            </w:r>
            <w:r>
              <w:rPr>
                <w:rFonts w:hint="default" w:ascii="Times New Roman" w:hAnsi="Times New Roman" w:eastAsia="宋体" w:cs="Times New Roman"/>
                <w:snapToGrid/>
                <w:color w:val="000000"/>
                <w:sz w:val="20"/>
              </w:rPr>
              <w:br w:type="textWrapping"/>
            </w:r>
            <w:r>
              <w:rPr>
                <w:rFonts w:hint="default" w:ascii="Times New Roman" w:hAnsi="Times New Roman" w:eastAsia="宋体" w:cs="Times New Roman"/>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7518B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6022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r>
      <w:tr w14:paraId="7788F993">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28AB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04DDD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C770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A7D3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99EE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8725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B0586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454BA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8BC8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E8FE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DC6B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7BD9A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2F7A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44F6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1C1F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550C9CFA">
      <w:pPr>
        <w:autoSpaceDE w:val="0"/>
        <w:autoSpaceDN w:val="0"/>
        <w:snapToGrid w:val="0"/>
        <w:spacing w:line="600" w:lineRule="exact"/>
        <w:ind w:firstLine="640" w:firstLineChars="200"/>
        <w:rPr>
          <w:rFonts w:hint="eastAsia" w:ascii="黑体" w:hAnsi="黑体" w:eastAsia="黑体" w:cs="Times New Roman"/>
          <w:snapToGrid w:val="0"/>
          <w:kern w:val="0"/>
          <w:sz w:val="32"/>
          <w:szCs w:val="32"/>
        </w:rPr>
      </w:pPr>
      <w:r>
        <w:rPr>
          <w:rFonts w:hint="eastAsia" w:ascii="黑体" w:hAnsi="黑体" w:eastAsia="黑体" w:cs="Times New Roman"/>
          <w:snapToGrid w:val="0"/>
          <w:kern w:val="0"/>
          <w:sz w:val="32"/>
          <w:szCs w:val="32"/>
        </w:rPr>
        <w:t>五、存在的主要问题及改进情况</w:t>
      </w:r>
    </w:p>
    <w:p w14:paraId="5FEF0C51">
      <w:pPr>
        <w:spacing w:line="600" w:lineRule="exact"/>
        <w:ind w:firstLine="640" w:firstLineChars="200"/>
        <w:rPr>
          <w:rFonts w:ascii="楷体_GB2312" w:eastAsia="楷体_GB2312"/>
          <w:sz w:val="32"/>
          <w:szCs w:val="32"/>
        </w:rPr>
      </w:pPr>
      <w:r>
        <w:rPr>
          <w:rFonts w:hint="eastAsia" w:ascii="楷体_GB2312" w:eastAsia="楷体_GB2312"/>
          <w:sz w:val="32"/>
          <w:szCs w:val="32"/>
        </w:rPr>
        <w:t>（一）存在问题</w:t>
      </w:r>
    </w:p>
    <w:p w14:paraId="70B87609">
      <w:pPr>
        <w:pStyle w:val="8"/>
        <w:widowControl/>
        <w:spacing w:beforeAutospacing="0" w:afterAutospacing="0" w:line="600" w:lineRule="exact"/>
        <w:ind w:firstLine="640" w:firstLineChars="200"/>
        <w:rPr>
          <w:rFonts w:ascii="仿宋_GB2312" w:hAnsi="Times New Roman" w:eastAsia="仿宋_GB2312"/>
          <w:snapToGrid w:val="0"/>
          <w:sz w:val="32"/>
          <w:szCs w:val="32"/>
        </w:rPr>
      </w:pPr>
      <w:r>
        <w:rPr>
          <w:rFonts w:hint="eastAsia" w:ascii="仿宋_GB2312" w:hAnsi="Times New Roman" w:eastAsia="仿宋_GB2312"/>
          <w:snapToGrid w:val="0"/>
          <w:sz w:val="32"/>
          <w:szCs w:val="32"/>
        </w:rPr>
        <w:t>一是部分工作人员主动意识与专业能力有待加强；二是工作机制执行不够到位，部门协同联动不畅；三是公开内容质量有待提升，部分信息存在格式化倾向，未能紧密结合重点工作和群众关切，政策解读形式较为单一。</w:t>
      </w:r>
    </w:p>
    <w:p w14:paraId="6F9525B6">
      <w:pPr>
        <w:spacing w:line="600" w:lineRule="exact"/>
        <w:ind w:firstLine="640" w:firstLineChars="200"/>
        <w:rPr>
          <w:rFonts w:ascii="楷体_GB2312" w:eastAsia="楷体_GB2312"/>
          <w:sz w:val="32"/>
          <w:szCs w:val="32"/>
        </w:rPr>
      </w:pPr>
      <w:r>
        <w:rPr>
          <w:rFonts w:hint="eastAsia" w:ascii="楷体_GB2312" w:eastAsia="楷体_GB2312"/>
          <w:sz w:val="32"/>
          <w:szCs w:val="32"/>
        </w:rPr>
        <w:t>（二）改进情况</w:t>
      </w:r>
    </w:p>
    <w:p w14:paraId="718A0458">
      <w:pPr>
        <w:pStyle w:val="8"/>
        <w:widowControl/>
        <w:spacing w:beforeAutospacing="0" w:afterAutospacing="0" w:line="600" w:lineRule="exact"/>
        <w:ind w:firstLine="640" w:firstLineChars="200"/>
        <w:rPr>
          <w:rFonts w:ascii="仿宋_GB2312" w:hAnsi="Times New Roman" w:eastAsia="仿宋_GB2312"/>
          <w:snapToGrid w:val="0"/>
          <w:sz w:val="32"/>
          <w:szCs w:val="32"/>
        </w:rPr>
      </w:pPr>
      <w:r>
        <w:rPr>
          <w:rFonts w:hint="eastAsia" w:ascii="仿宋_GB2312" w:hAnsi="Times New Roman" w:eastAsia="仿宋_GB2312"/>
          <w:snapToGrid w:val="0"/>
          <w:sz w:val="32"/>
          <w:szCs w:val="32"/>
        </w:rPr>
        <w:t>一是深化思想认识，组织开展了多次专项学习研讨，准确理解政务公开对推动基层治理现代化、保障公众参与的关键作用，增强工作的自觉性与专业性。</w:t>
      </w:r>
      <w:bookmarkStart w:id="1" w:name="_GoBack"/>
      <w:r>
        <w:rPr>
          <w:rFonts w:hint="eastAsia" w:ascii="仿宋_GB2312" w:hAnsi="Times New Roman" w:eastAsia="仿宋_GB2312"/>
          <w:snapToGrid w:val="0"/>
          <w:sz w:val="32"/>
          <w:szCs w:val="32"/>
        </w:rPr>
        <w:t>二是优化运行机制，完善了信息公开从信息生成到发布的标准化流程，提升了整体工作效能。三是建立重点信息与群众需求匹配机制，优化政策解读形式（如图文、短视频），加强内容审核，确保信息实用、贴近民生。</w:t>
      </w:r>
    </w:p>
    <w:bookmarkEnd w:id="1"/>
    <w:p w14:paraId="450E279B">
      <w:pPr>
        <w:pStyle w:val="8"/>
        <w:widowControl/>
        <w:spacing w:beforeAutospacing="0" w:afterAutospacing="0" w:line="600" w:lineRule="exact"/>
        <w:ind w:firstLine="640" w:firstLineChars="200"/>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六、其他需要报告的事项</w:t>
      </w:r>
    </w:p>
    <w:p w14:paraId="4B124C8F">
      <w:pPr>
        <w:spacing w:line="600" w:lineRule="exact"/>
        <w:ind w:firstLine="640" w:firstLineChars="200"/>
        <w:rPr>
          <w:rFonts w:ascii="楷体_GB2312" w:eastAsia="楷体_GB2312"/>
          <w:sz w:val="32"/>
          <w:szCs w:val="32"/>
        </w:rPr>
      </w:pPr>
      <w:r>
        <w:rPr>
          <w:rFonts w:hint="eastAsia" w:ascii="楷体_GB2312" w:eastAsia="楷体_GB2312"/>
          <w:sz w:val="32"/>
          <w:szCs w:val="32"/>
        </w:rPr>
        <w:t>（一）政府信息公开信息处理费收取情况</w:t>
      </w:r>
    </w:p>
    <w:p w14:paraId="180FEF54">
      <w:pPr>
        <w:spacing w:line="60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365D3A24">
      <w:pPr>
        <w:spacing w:line="600" w:lineRule="exact"/>
        <w:ind w:firstLine="640" w:firstLineChars="200"/>
        <w:rPr>
          <w:rFonts w:ascii="楷体_GB2312" w:eastAsia="楷体_GB2312"/>
          <w:sz w:val="32"/>
          <w:szCs w:val="32"/>
        </w:rPr>
      </w:pPr>
      <w:r>
        <w:rPr>
          <w:rFonts w:hint="eastAsia" w:ascii="楷体_GB2312" w:eastAsia="楷体_GB2312"/>
          <w:sz w:val="32"/>
          <w:szCs w:val="32"/>
        </w:rPr>
        <w:t>（二）落实上级年度政务公开工作要点情况</w:t>
      </w:r>
    </w:p>
    <w:p w14:paraId="318C3BA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严格落实国家和省市县政务公开工作要点，并根据《高青县人民政府办公室关于印发2025年高青县政务公开工作方案的通知》要求，制定了《高青县花沟镇政务公开工作方案》，明确了重点任务、工作标准和完成时限。一是系统推进镇村一体化政务公开体系建设，严格遵循“应公开尽公开”准则，通过定期组织召开政务公开专题协调会，强化各部门主体责任意识，督促其及时、准确、完整地发布信息，保障公开工作规范、高效运转。二是强化公开能力建设，面向镇机关各科室、各管区及社区工作人员，系统性地开展业务轮训与专项学习，着力提升专职队伍的专业素养与实操能力，为工作质量提升奠定基础。三是创新政策宣传模式，积极构建“线上广泛传播、线下精准送达”的多维宣传矩阵，探索运用新载体、新方法，增强政务信息到达率和知晓度。四是拓展公众参与渠道，通过举办“政府开放日”、开展群众茶话会等多种形式，主动加强与社会的互动沟通，切实回应公众关切。</w:t>
      </w:r>
    </w:p>
    <w:p w14:paraId="6BD8BDC5">
      <w:pPr>
        <w:spacing w:line="600" w:lineRule="exact"/>
        <w:ind w:firstLine="640" w:firstLineChars="200"/>
        <w:rPr>
          <w:rFonts w:ascii="楷体_GB2312" w:eastAsia="楷体_GB2312"/>
          <w:sz w:val="32"/>
          <w:szCs w:val="32"/>
        </w:rPr>
      </w:pPr>
      <w:r>
        <w:rPr>
          <w:rFonts w:hint="eastAsia" w:ascii="楷体_GB2312" w:eastAsia="楷体_GB2312"/>
          <w:sz w:val="32"/>
          <w:szCs w:val="32"/>
        </w:rPr>
        <w:t>（三）人大代表建议和政协委员提案办理结果公开情况</w:t>
      </w:r>
    </w:p>
    <w:p w14:paraId="74F51B6F">
      <w:pPr>
        <w:spacing w:line="600" w:lineRule="exact"/>
        <w:ind w:firstLine="640" w:firstLineChars="200"/>
        <w:rPr>
          <w:rFonts w:hint="eastAsia" w:ascii="仿宋_GB2312" w:eastAsiaTheme="minorEastAsia"/>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年共承办县十八届人大</w:t>
      </w:r>
      <w:r>
        <w:rPr>
          <w:rFonts w:hint="eastAsia" w:ascii="仿宋_GB2312" w:eastAsia="仿宋_GB2312"/>
          <w:sz w:val="32"/>
          <w:szCs w:val="32"/>
          <w:lang w:eastAsia="zh-CN"/>
        </w:rPr>
        <w:t>四</w:t>
      </w:r>
      <w:r>
        <w:rPr>
          <w:rFonts w:hint="eastAsia" w:ascii="仿宋_GB2312" w:eastAsia="仿宋_GB2312"/>
          <w:sz w:val="32"/>
          <w:szCs w:val="32"/>
        </w:rPr>
        <w:t>次会议建议</w:t>
      </w:r>
      <w:r>
        <w:rPr>
          <w:rFonts w:hint="eastAsia" w:ascii="仿宋_GB2312" w:eastAsia="仿宋_GB2312"/>
          <w:sz w:val="32"/>
          <w:szCs w:val="32"/>
          <w:lang w:val="en-US" w:eastAsia="zh-CN"/>
        </w:rPr>
        <w:t>2</w:t>
      </w:r>
      <w:r>
        <w:rPr>
          <w:rFonts w:hint="eastAsia" w:ascii="仿宋_GB2312" w:eastAsia="仿宋_GB2312"/>
          <w:sz w:val="32"/>
          <w:szCs w:val="32"/>
        </w:rPr>
        <w:t>件，</w:t>
      </w:r>
      <w:r>
        <w:rPr>
          <w:rFonts w:hint="eastAsia" w:ascii="仿宋_GB2312" w:eastAsia="仿宋_GB2312"/>
          <w:sz w:val="32"/>
          <w:szCs w:val="32"/>
          <w:lang w:val="en-US" w:eastAsia="zh-CN"/>
        </w:rPr>
        <w:t>未</w:t>
      </w:r>
      <w:r>
        <w:rPr>
          <w:rFonts w:hint="eastAsia" w:ascii="仿宋_GB2312" w:eastAsia="仿宋_GB2312"/>
          <w:sz w:val="32"/>
          <w:szCs w:val="32"/>
        </w:rPr>
        <w:t>承办县政协十五届</w:t>
      </w:r>
      <w:r>
        <w:rPr>
          <w:rFonts w:hint="eastAsia" w:ascii="仿宋_GB2312" w:eastAsia="仿宋_GB2312"/>
          <w:sz w:val="32"/>
          <w:szCs w:val="32"/>
          <w:lang w:eastAsia="zh-CN"/>
        </w:rPr>
        <w:t>四</w:t>
      </w:r>
      <w:r>
        <w:rPr>
          <w:rFonts w:hint="eastAsia" w:ascii="仿宋_GB2312" w:eastAsia="仿宋_GB2312"/>
          <w:sz w:val="32"/>
          <w:szCs w:val="32"/>
        </w:rPr>
        <w:t>次会议提案，办复率均为100%。</w:t>
      </w:r>
      <w:r>
        <w:rPr>
          <w:rFonts w:hint="eastAsia" w:ascii="Times New Roman" w:hAnsi="Times New Roman" w:eastAsia="仿宋_GB2312" w:cs="仿宋_GB2312"/>
          <w:sz w:val="32"/>
          <w:szCs w:val="32"/>
        </w:rPr>
        <w:t>除涉及国家秘密、工作秘密的，所有建议提案办理复文或摘要以及办理总体情况均在县政府门户网站</w:t>
      </w:r>
      <w:r>
        <w:rPr>
          <w:rFonts w:hint="eastAsia" w:ascii="仿宋_GB2312" w:eastAsia="仿宋_GB2312"/>
          <w:sz w:val="32"/>
          <w:szCs w:val="32"/>
        </w:rPr>
        <w:t>建议提案办理专题</w:t>
      </w:r>
      <w:r>
        <w:rPr>
          <w:rFonts w:hint="eastAsia" w:ascii="Times New Roman" w:hAnsi="Times New Roman" w:eastAsia="仿宋_GB2312" w:cs="仿宋_GB2312"/>
          <w:sz w:val="32"/>
          <w:szCs w:val="32"/>
        </w:rPr>
        <w:t>中予以公开。</w:t>
      </w:r>
    </w:p>
    <w:p w14:paraId="7A2A6EAD">
      <w:pPr>
        <w:spacing w:line="600" w:lineRule="exact"/>
        <w:ind w:firstLine="640" w:firstLineChars="200"/>
        <w:rPr>
          <w:rFonts w:ascii="楷体_GB2312" w:eastAsia="楷体_GB2312"/>
          <w:sz w:val="32"/>
          <w:szCs w:val="32"/>
        </w:rPr>
      </w:pPr>
      <w:r>
        <w:rPr>
          <w:rFonts w:hint="eastAsia" w:ascii="楷体_GB2312" w:eastAsia="楷体_GB2312"/>
          <w:sz w:val="32"/>
          <w:szCs w:val="32"/>
        </w:rPr>
        <w:t>（四）政务公开工作创新情况</w:t>
      </w:r>
    </w:p>
    <w:p w14:paraId="48E4DEB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严谨规范依申请公开办理流程，对接收到的申请高效评估、分类处理，并建立与上级部门的联动研判机制，确保每件答复依法合规、及时准确，将政府信息公开申请作为察民情、解民忧的重要纽带。</w:t>
      </w:r>
    </w:p>
    <w:p w14:paraId="0F4082F9">
      <w:pPr>
        <w:spacing w:line="600" w:lineRule="exact"/>
        <w:ind w:firstLine="640" w:firstLineChars="200"/>
        <w:rPr>
          <w:rFonts w:ascii="楷体_GB2312" w:eastAsia="楷体_GB2312"/>
          <w:sz w:val="32"/>
          <w:szCs w:val="32"/>
        </w:rPr>
      </w:pPr>
      <w:r>
        <w:rPr>
          <w:rFonts w:hint="eastAsia" w:ascii="楷体_GB2312" w:eastAsia="楷体_GB2312"/>
          <w:sz w:val="32"/>
          <w:szCs w:val="32"/>
        </w:rPr>
        <w:t>（五）有关数据统计说明</w:t>
      </w:r>
    </w:p>
    <w:p w14:paraId="38ED4D4B">
      <w:pPr>
        <w:spacing w:line="600" w:lineRule="exact"/>
        <w:ind w:firstLine="640" w:firstLineChars="200"/>
        <w:rPr>
          <w:rFonts w:ascii="仿宋_GB2312" w:eastAsia="仿宋_GB2312"/>
          <w:sz w:val="32"/>
          <w:szCs w:val="32"/>
        </w:rPr>
      </w:pPr>
      <w:r>
        <w:rPr>
          <w:rFonts w:hint="eastAsia" w:ascii="仿宋_GB2312" w:eastAsia="仿宋_GB2312"/>
          <w:sz w:val="32"/>
          <w:szCs w:val="32"/>
        </w:rPr>
        <w:t>1.报告中所列数据可能因四舍五入原因与数据直接相加之和存在尾数差异。</w:t>
      </w:r>
    </w:p>
    <w:p w14:paraId="02BB10FD">
      <w:pPr>
        <w:spacing w:line="600" w:lineRule="exact"/>
        <w:ind w:firstLine="640" w:firstLineChars="200"/>
        <w:rPr>
          <w:rFonts w:ascii="仿宋_GB2312" w:eastAsia="仿宋_GB2312"/>
          <w:sz w:val="32"/>
          <w:szCs w:val="32"/>
        </w:rPr>
      </w:pPr>
      <w:r>
        <w:rPr>
          <w:rFonts w:hint="eastAsia" w:ascii="仿宋_GB2312" w:eastAsia="仿宋_GB2312"/>
          <w:sz w:val="32"/>
          <w:szCs w:val="32"/>
        </w:rPr>
        <w:t>2.行政许可数量、行政处罚和行政强制数量，包括已公开和依法未公开的全部处理决定。</w:t>
      </w:r>
    </w:p>
    <w:p w14:paraId="5D876C1C">
      <w:pPr>
        <w:spacing w:line="600" w:lineRule="exact"/>
        <w:ind w:firstLine="640" w:firstLineChars="200"/>
        <w:rPr>
          <w:sz w:val="32"/>
          <w:szCs w:val="32"/>
        </w:rPr>
      </w:pPr>
      <w:r>
        <w:rPr>
          <w:rFonts w:hint="eastAsia" w:ascii="仿宋_GB2312" w:eastAsia="仿宋_GB2312"/>
          <w:sz w:val="32"/>
          <w:szCs w:val="32"/>
        </w:rPr>
        <w:t>3.行政复议机关作为共同被告的行政诉讼案件，只计算原行为主体的案件数量，不计算行政复议机关的案件数量。</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EU-B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NTVhMmI5Y2ZiYzg2ZTEyMTE2ZmJlMDQyMjVhZTIifQ=="/>
    <w:docVar w:name="KSO_WPS_MARK_KEY" w:val="840cf67f-8974-4b04-9099-35d4c18912dd"/>
  </w:docVars>
  <w:rsids>
    <w:rsidRoot w:val="00C87494"/>
    <w:rsid w:val="002C734F"/>
    <w:rsid w:val="00492C15"/>
    <w:rsid w:val="006F0C66"/>
    <w:rsid w:val="00B74371"/>
    <w:rsid w:val="00C2309B"/>
    <w:rsid w:val="00C87494"/>
    <w:rsid w:val="01181DD9"/>
    <w:rsid w:val="01934780"/>
    <w:rsid w:val="02DA6184"/>
    <w:rsid w:val="031511C4"/>
    <w:rsid w:val="03390478"/>
    <w:rsid w:val="035B751F"/>
    <w:rsid w:val="04180F6C"/>
    <w:rsid w:val="041D6583"/>
    <w:rsid w:val="04B14F1D"/>
    <w:rsid w:val="054C386E"/>
    <w:rsid w:val="08055CAB"/>
    <w:rsid w:val="09A03EDE"/>
    <w:rsid w:val="09BC05EC"/>
    <w:rsid w:val="09D27E0F"/>
    <w:rsid w:val="0B065FC2"/>
    <w:rsid w:val="0CB459C1"/>
    <w:rsid w:val="0D1150F2"/>
    <w:rsid w:val="0D8A1CC4"/>
    <w:rsid w:val="0E845074"/>
    <w:rsid w:val="113F222E"/>
    <w:rsid w:val="11E05F47"/>
    <w:rsid w:val="13E42C19"/>
    <w:rsid w:val="145204CA"/>
    <w:rsid w:val="14B973A1"/>
    <w:rsid w:val="151E65FF"/>
    <w:rsid w:val="153B0F5F"/>
    <w:rsid w:val="154107F7"/>
    <w:rsid w:val="15673B02"/>
    <w:rsid w:val="158D1887"/>
    <w:rsid w:val="15B605E5"/>
    <w:rsid w:val="15D54F0F"/>
    <w:rsid w:val="15E433A4"/>
    <w:rsid w:val="165F6ECF"/>
    <w:rsid w:val="16F5338F"/>
    <w:rsid w:val="17DD49B3"/>
    <w:rsid w:val="185A5BA0"/>
    <w:rsid w:val="1941466A"/>
    <w:rsid w:val="19436634"/>
    <w:rsid w:val="195B1BCF"/>
    <w:rsid w:val="19946E8F"/>
    <w:rsid w:val="19EF056A"/>
    <w:rsid w:val="1A02448D"/>
    <w:rsid w:val="1A0538E9"/>
    <w:rsid w:val="1AD31C39"/>
    <w:rsid w:val="1AEF6A73"/>
    <w:rsid w:val="1B1A2D79"/>
    <w:rsid w:val="1C8B27CB"/>
    <w:rsid w:val="1D4209B0"/>
    <w:rsid w:val="1D774AFE"/>
    <w:rsid w:val="1DE303E5"/>
    <w:rsid w:val="1EB52E11"/>
    <w:rsid w:val="1EF67CA4"/>
    <w:rsid w:val="1F503858"/>
    <w:rsid w:val="208512E0"/>
    <w:rsid w:val="20CC6F0F"/>
    <w:rsid w:val="21723F5A"/>
    <w:rsid w:val="21CE4722"/>
    <w:rsid w:val="21D40771"/>
    <w:rsid w:val="21E02496"/>
    <w:rsid w:val="222334A6"/>
    <w:rsid w:val="2237485C"/>
    <w:rsid w:val="233D0598"/>
    <w:rsid w:val="23F23130"/>
    <w:rsid w:val="24C725CC"/>
    <w:rsid w:val="24E0742D"/>
    <w:rsid w:val="24EA02AB"/>
    <w:rsid w:val="25357778"/>
    <w:rsid w:val="25C40AFC"/>
    <w:rsid w:val="26031625"/>
    <w:rsid w:val="26E7642A"/>
    <w:rsid w:val="26EA00EF"/>
    <w:rsid w:val="277327DA"/>
    <w:rsid w:val="27F372CE"/>
    <w:rsid w:val="28FE60D3"/>
    <w:rsid w:val="29064F88"/>
    <w:rsid w:val="2A157B78"/>
    <w:rsid w:val="2A2C1D17"/>
    <w:rsid w:val="2A73489F"/>
    <w:rsid w:val="2ABA427C"/>
    <w:rsid w:val="2B3109E2"/>
    <w:rsid w:val="2B3C1135"/>
    <w:rsid w:val="2BF1490F"/>
    <w:rsid w:val="2C581F9E"/>
    <w:rsid w:val="2CD443B9"/>
    <w:rsid w:val="2D636E4D"/>
    <w:rsid w:val="2D6E7C10"/>
    <w:rsid w:val="2E2D480D"/>
    <w:rsid w:val="2E6C1D31"/>
    <w:rsid w:val="2EE1627B"/>
    <w:rsid w:val="2F322AC4"/>
    <w:rsid w:val="34D32B0A"/>
    <w:rsid w:val="3550415A"/>
    <w:rsid w:val="36A93B22"/>
    <w:rsid w:val="378A39CB"/>
    <w:rsid w:val="37A34A15"/>
    <w:rsid w:val="37C003A8"/>
    <w:rsid w:val="37EB016A"/>
    <w:rsid w:val="37ED5C91"/>
    <w:rsid w:val="38D94467"/>
    <w:rsid w:val="3911775D"/>
    <w:rsid w:val="3922196A"/>
    <w:rsid w:val="39673821"/>
    <w:rsid w:val="397D64A5"/>
    <w:rsid w:val="3A176FF5"/>
    <w:rsid w:val="3B6F4C0F"/>
    <w:rsid w:val="3BAD2A2E"/>
    <w:rsid w:val="3D6307DC"/>
    <w:rsid w:val="3DBD6105"/>
    <w:rsid w:val="400224F5"/>
    <w:rsid w:val="42AA5FD8"/>
    <w:rsid w:val="433724B6"/>
    <w:rsid w:val="43E91A02"/>
    <w:rsid w:val="4407632C"/>
    <w:rsid w:val="445552E9"/>
    <w:rsid w:val="445E4335"/>
    <w:rsid w:val="456926CF"/>
    <w:rsid w:val="45912351"/>
    <w:rsid w:val="45A51959"/>
    <w:rsid w:val="46357180"/>
    <w:rsid w:val="46603AD2"/>
    <w:rsid w:val="472737F2"/>
    <w:rsid w:val="4790745A"/>
    <w:rsid w:val="47D46525"/>
    <w:rsid w:val="47DD3634"/>
    <w:rsid w:val="48313978"/>
    <w:rsid w:val="49494CF1"/>
    <w:rsid w:val="4A82495E"/>
    <w:rsid w:val="4C7C718B"/>
    <w:rsid w:val="4D0745A7"/>
    <w:rsid w:val="4DE60D60"/>
    <w:rsid w:val="4E41243B"/>
    <w:rsid w:val="4E683E6B"/>
    <w:rsid w:val="4E7575D6"/>
    <w:rsid w:val="505E72D4"/>
    <w:rsid w:val="507E34D2"/>
    <w:rsid w:val="512B2D50"/>
    <w:rsid w:val="533802B0"/>
    <w:rsid w:val="536270DB"/>
    <w:rsid w:val="53A84E05"/>
    <w:rsid w:val="542C199A"/>
    <w:rsid w:val="5488491F"/>
    <w:rsid w:val="55787B34"/>
    <w:rsid w:val="559B2D78"/>
    <w:rsid w:val="55CB03D8"/>
    <w:rsid w:val="56274153"/>
    <w:rsid w:val="579E26AC"/>
    <w:rsid w:val="58450D33"/>
    <w:rsid w:val="5908334D"/>
    <w:rsid w:val="59F82547"/>
    <w:rsid w:val="5A2F6381"/>
    <w:rsid w:val="5A36306F"/>
    <w:rsid w:val="5A9A53AC"/>
    <w:rsid w:val="5B7A6F8C"/>
    <w:rsid w:val="5BBE156E"/>
    <w:rsid w:val="5BF64864"/>
    <w:rsid w:val="5C4952DC"/>
    <w:rsid w:val="5E0C4813"/>
    <w:rsid w:val="601479AF"/>
    <w:rsid w:val="6272253C"/>
    <w:rsid w:val="628030DA"/>
    <w:rsid w:val="62C92CD3"/>
    <w:rsid w:val="6401024A"/>
    <w:rsid w:val="649C6A24"/>
    <w:rsid w:val="654B50E5"/>
    <w:rsid w:val="65953340"/>
    <w:rsid w:val="667D3FBF"/>
    <w:rsid w:val="676A1537"/>
    <w:rsid w:val="678B49FB"/>
    <w:rsid w:val="68150768"/>
    <w:rsid w:val="682409AB"/>
    <w:rsid w:val="68945B31"/>
    <w:rsid w:val="690A194F"/>
    <w:rsid w:val="69894F6A"/>
    <w:rsid w:val="69EE1271"/>
    <w:rsid w:val="6A070584"/>
    <w:rsid w:val="6A2D7FEB"/>
    <w:rsid w:val="6B6179F5"/>
    <w:rsid w:val="6B646EC7"/>
    <w:rsid w:val="6C085AAD"/>
    <w:rsid w:val="6D9263B7"/>
    <w:rsid w:val="6DDC3E63"/>
    <w:rsid w:val="6E8B1784"/>
    <w:rsid w:val="6ED30A35"/>
    <w:rsid w:val="6F0A08FB"/>
    <w:rsid w:val="6FCB7F43"/>
    <w:rsid w:val="6FE07A9C"/>
    <w:rsid w:val="6FF84BF7"/>
    <w:rsid w:val="70382EF1"/>
    <w:rsid w:val="71094BE2"/>
    <w:rsid w:val="72084E9A"/>
    <w:rsid w:val="723D0FE7"/>
    <w:rsid w:val="724D4B97"/>
    <w:rsid w:val="741E09A4"/>
    <w:rsid w:val="74707D8B"/>
    <w:rsid w:val="749B3DA3"/>
    <w:rsid w:val="76425855"/>
    <w:rsid w:val="76654669"/>
    <w:rsid w:val="76B37ACA"/>
    <w:rsid w:val="788B412F"/>
    <w:rsid w:val="7A6A34A1"/>
    <w:rsid w:val="7AAF67FA"/>
    <w:rsid w:val="7BC11A3F"/>
    <w:rsid w:val="7BE73D72"/>
    <w:rsid w:val="7C9319CA"/>
    <w:rsid w:val="ADFECA72"/>
    <w:rsid w:val="B9FE65C9"/>
    <w:rsid w:val="FBFA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after="290" w:line="372" w:lineRule="auto"/>
      <w:outlineLvl w:val="4"/>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9"/>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annotation reference"/>
    <w:basedOn w:val="12"/>
    <w:qFormat/>
    <w:uiPriority w:val="0"/>
    <w:rPr>
      <w:sz w:val="21"/>
      <w:szCs w:val="21"/>
    </w:rPr>
  </w:style>
  <w:style w:type="character" w:customStyle="1" w:styleId="16">
    <w:name w:val="页眉 字符"/>
    <w:basedOn w:val="12"/>
    <w:link w:val="7"/>
    <w:qFormat/>
    <w:uiPriority w:val="0"/>
    <w:rPr>
      <w:rFonts w:asciiTheme="minorHAnsi" w:hAnsiTheme="minorHAnsi" w:eastAsiaTheme="minorEastAsia" w:cstheme="minorBidi"/>
      <w:kern w:val="2"/>
      <w:sz w:val="18"/>
      <w:szCs w:val="18"/>
    </w:rPr>
  </w:style>
  <w:style w:type="character" w:customStyle="1" w:styleId="17">
    <w:name w:val="页脚 字符"/>
    <w:basedOn w:val="12"/>
    <w:link w:val="6"/>
    <w:qFormat/>
    <w:uiPriority w:val="0"/>
    <w:rPr>
      <w:rFonts w:asciiTheme="minorHAnsi" w:hAnsiTheme="minorHAnsi" w:eastAsiaTheme="minorEastAsia" w:cstheme="minorBidi"/>
      <w:kern w:val="2"/>
      <w:sz w:val="18"/>
      <w:szCs w:val="18"/>
    </w:rPr>
  </w:style>
  <w:style w:type="character" w:customStyle="1" w:styleId="18">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1474</Words>
  <Characters>1589</Characters>
  <Lines>27</Lines>
  <Paragraphs>7</Paragraphs>
  <TotalTime>13</TotalTime>
  <ScaleCrop>false</ScaleCrop>
  <LinksUpToDate>false</LinksUpToDate>
  <CharactersWithSpaces>1589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2023-12-15T16:24:00Z</dcterms:created>
  <dc:creator>lenovo</dc:creator>
  <cp:lastModifiedBy>user</cp:lastModifiedBy>
  <dcterms:modified xsi:type="dcterms:W3CDTF">2026-01-27T15:18:27Z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E08385929C604D09B507D7C2DEC1960B_12</vt:lpwstr>
  </property>
  <property fmtid="{D5CDD505-2E9C-101B-9397-08002B2CF9AE}" pid="4" name="KSOTemplateDocerSaveRecord">
    <vt:lpwstr>eyJoZGlkIjoiOWM2NTVhMmI5Y2ZiYzg2ZTEyMTE2ZmJlMDQyMjVhZTIiLCJ1c2VySWQiOiIxMDQ2NzA2MjI3In0=</vt:lpwstr>
  </property>
</Properties>
</file>