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cs="宋体"/>
          <w:b/>
          <w:sz w:val="52"/>
          <w:szCs w:val="52"/>
        </w:rPr>
      </w:pPr>
    </w:p>
    <w:p>
      <w:pPr>
        <w:spacing w:line="560" w:lineRule="exact"/>
        <w:jc w:val="center"/>
        <w:rPr>
          <w:rFonts w:ascii="宋体" w:hAnsi="宋体" w:cs="宋体"/>
          <w:b/>
          <w:sz w:val="52"/>
          <w:szCs w:val="52"/>
        </w:rPr>
      </w:pPr>
    </w:p>
    <w:p>
      <w:pPr>
        <w:jc w:val="center"/>
        <w:rPr>
          <w:rFonts w:ascii="宋体" w:hAnsi="宋体" w:cs="宋体"/>
          <w:b/>
          <w:sz w:val="52"/>
          <w:szCs w:val="52"/>
        </w:rPr>
      </w:pPr>
    </w:p>
    <w:p>
      <w:pPr>
        <w:jc w:val="center"/>
        <w:rPr>
          <w:rFonts w:hint="eastAsia" w:ascii="宋体" w:hAnsi="宋体" w:cs="宋体"/>
          <w:b/>
          <w:sz w:val="52"/>
          <w:szCs w:val="52"/>
        </w:rPr>
      </w:pPr>
    </w:p>
    <w:p>
      <w:pPr>
        <w:jc w:val="center"/>
        <w:rPr>
          <w:rFonts w:hint="eastAsia" w:ascii="宋体" w:hAnsi="宋体" w:cs="宋体"/>
          <w:b/>
          <w:sz w:val="52"/>
          <w:szCs w:val="52"/>
        </w:rPr>
      </w:pPr>
    </w:p>
    <w:p>
      <w:pPr>
        <w:jc w:val="center"/>
        <w:rPr>
          <w:rFonts w:hint="eastAsia" w:ascii="宋体" w:hAnsi="宋体" w:cs="宋体"/>
          <w:b/>
          <w:sz w:val="52"/>
          <w:szCs w:val="52"/>
        </w:rPr>
      </w:pPr>
    </w:p>
    <w:p>
      <w:pPr>
        <w:jc w:val="center"/>
        <w:rPr>
          <w:rFonts w:ascii="宋体" w:hAnsi="宋体" w:cs="宋体"/>
          <w:b/>
          <w:sz w:val="52"/>
          <w:szCs w:val="52"/>
        </w:rPr>
      </w:pPr>
      <w:r>
        <w:rPr>
          <w:rFonts w:hint="eastAsia" w:ascii="宋体" w:hAnsi="宋体" w:cs="宋体"/>
          <w:b/>
          <w:sz w:val="52"/>
          <w:szCs w:val="52"/>
        </w:rPr>
        <w:t>高青县</w:t>
      </w:r>
      <w:r>
        <w:rPr>
          <w:rFonts w:hint="eastAsia" w:ascii="宋体" w:hAnsi="宋体" w:cs="宋体"/>
          <w:b/>
          <w:sz w:val="52"/>
          <w:szCs w:val="52"/>
          <w:lang w:eastAsia="zh-CN"/>
        </w:rPr>
        <w:t>花沟镇</w:t>
      </w:r>
      <w:r>
        <w:rPr>
          <w:rFonts w:hint="eastAsia" w:ascii="宋体" w:hAnsi="宋体" w:cs="宋体"/>
          <w:b/>
          <w:sz w:val="52"/>
          <w:szCs w:val="52"/>
        </w:rPr>
        <w:t>人民政府</w:t>
      </w:r>
    </w:p>
    <w:p>
      <w:pPr>
        <w:jc w:val="center"/>
        <w:rPr>
          <w:rFonts w:ascii="宋体" w:hAnsi="宋体" w:cs="宋体"/>
          <w:b/>
          <w:sz w:val="52"/>
          <w:szCs w:val="52"/>
        </w:rPr>
      </w:pPr>
      <w:r>
        <w:rPr>
          <w:rFonts w:hint="eastAsia" w:ascii="宋体" w:hAnsi="宋体" w:cs="宋体"/>
          <w:b/>
          <w:sz w:val="52"/>
          <w:szCs w:val="52"/>
        </w:rPr>
        <w:t>201</w:t>
      </w:r>
      <w:r>
        <w:rPr>
          <w:rFonts w:hint="eastAsia" w:ascii="宋体" w:hAnsi="宋体" w:cs="宋体"/>
          <w:b/>
          <w:sz w:val="52"/>
          <w:szCs w:val="52"/>
          <w:lang w:val="en-US" w:eastAsia="zh-CN"/>
        </w:rPr>
        <w:t>6</w:t>
      </w:r>
      <w:r>
        <w:rPr>
          <w:rFonts w:hint="eastAsia" w:ascii="宋体" w:hAnsi="宋体" w:cs="宋体"/>
          <w:b/>
          <w:sz w:val="52"/>
          <w:szCs w:val="52"/>
        </w:rPr>
        <w:t>年政府信</w:t>
      </w:r>
      <w:bookmarkStart w:id="0" w:name="_GoBack"/>
      <w:bookmarkEnd w:id="0"/>
      <w:r>
        <w:rPr>
          <w:rFonts w:hint="eastAsia" w:ascii="宋体" w:hAnsi="宋体" w:cs="宋体"/>
          <w:b/>
          <w:sz w:val="52"/>
          <w:szCs w:val="52"/>
        </w:rPr>
        <w:t>息公开工作年度报告</w:t>
      </w:r>
    </w:p>
    <w:p>
      <w:pPr>
        <w:spacing w:line="560" w:lineRule="exact"/>
        <w:jc w:val="center"/>
        <w:rPr>
          <w:rFonts w:ascii="宋体" w:hAnsi="宋体" w:cs="宋体"/>
          <w:b/>
          <w:sz w:val="44"/>
          <w:szCs w:val="44"/>
        </w:rPr>
      </w:pPr>
    </w:p>
    <w:p>
      <w:pPr>
        <w:spacing w:line="560" w:lineRule="exact"/>
        <w:jc w:val="center"/>
        <w:rPr>
          <w:rFonts w:ascii="宋体" w:hAnsi="宋体" w:cs="宋体"/>
          <w:b/>
          <w:sz w:val="44"/>
          <w:szCs w:val="44"/>
        </w:rPr>
      </w:pPr>
    </w:p>
    <w:p>
      <w:pPr>
        <w:spacing w:line="560" w:lineRule="exact"/>
        <w:jc w:val="center"/>
        <w:rPr>
          <w:rFonts w:ascii="宋体" w:hAnsi="宋体" w:cs="宋体"/>
          <w:b/>
          <w:sz w:val="44"/>
          <w:szCs w:val="44"/>
        </w:rPr>
      </w:pPr>
    </w:p>
    <w:p>
      <w:pPr>
        <w:spacing w:line="560" w:lineRule="exact"/>
        <w:jc w:val="center"/>
        <w:rPr>
          <w:rFonts w:ascii="宋体" w:hAnsi="宋体" w:cs="宋体"/>
          <w:b/>
          <w:sz w:val="44"/>
          <w:szCs w:val="44"/>
        </w:rPr>
      </w:pPr>
    </w:p>
    <w:p>
      <w:pPr>
        <w:spacing w:line="560" w:lineRule="exact"/>
        <w:jc w:val="center"/>
        <w:rPr>
          <w:rFonts w:ascii="宋体" w:hAnsi="宋体" w:cs="宋体"/>
          <w:b/>
          <w:sz w:val="44"/>
          <w:szCs w:val="44"/>
        </w:rPr>
      </w:pPr>
    </w:p>
    <w:p>
      <w:pPr>
        <w:spacing w:line="560" w:lineRule="exact"/>
        <w:jc w:val="center"/>
        <w:rPr>
          <w:rFonts w:ascii="宋体" w:hAnsi="宋体" w:cs="宋体"/>
          <w:b/>
          <w:sz w:val="44"/>
          <w:szCs w:val="44"/>
        </w:rPr>
      </w:pPr>
    </w:p>
    <w:p>
      <w:pPr>
        <w:spacing w:line="560" w:lineRule="exact"/>
        <w:jc w:val="center"/>
        <w:rPr>
          <w:rFonts w:ascii="宋体" w:hAnsi="宋体" w:cs="宋体"/>
          <w:b/>
          <w:sz w:val="44"/>
          <w:szCs w:val="44"/>
        </w:rPr>
      </w:pPr>
    </w:p>
    <w:p>
      <w:pPr>
        <w:spacing w:line="560" w:lineRule="exact"/>
        <w:jc w:val="center"/>
        <w:rPr>
          <w:rFonts w:ascii="宋体" w:hAnsi="宋体" w:cs="宋体"/>
          <w:b/>
          <w:sz w:val="44"/>
          <w:szCs w:val="44"/>
        </w:rPr>
      </w:pPr>
    </w:p>
    <w:p>
      <w:pPr>
        <w:spacing w:line="560" w:lineRule="exact"/>
        <w:jc w:val="center"/>
        <w:rPr>
          <w:rFonts w:ascii="宋体" w:hAnsi="宋体" w:cs="宋体"/>
          <w:b/>
          <w:sz w:val="44"/>
          <w:szCs w:val="44"/>
        </w:rPr>
      </w:pPr>
    </w:p>
    <w:p>
      <w:pPr>
        <w:spacing w:line="560" w:lineRule="exact"/>
        <w:jc w:val="center"/>
        <w:rPr>
          <w:rFonts w:ascii="宋体" w:hAnsi="宋体" w:cs="宋体"/>
          <w:b/>
          <w:sz w:val="44"/>
          <w:szCs w:val="44"/>
        </w:rPr>
      </w:pPr>
    </w:p>
    <w:p>
      <w:pPr>
        <w:spacing w:line="560" w:lineRule="exact"/>
        <w:jc w:val="center"/>
        <w:rPr>
          <w:rFonts w:ascii="宋体" w:hAnsi="宋体" w:cs="宋体"/>
          <w:b/>
          <w:sz w:val="44"/>
          <w:szCs w:val="44"/>
        </w:rPr>
      </w:pPr>
    </w:p>
    <w:p>
      <w:pPr>
        <w:spacing w:line="560" w:lineRule="exact"/>
        <w:jc w:val="center"/>
        <w:rPr>
          <w:rFonts w:ascii="宋体" w:hAnsi="宋体" w:cs="宋体"/>
          <w:b/>
          <w:sz w:val="44"/>
          <w:szCs w:val="44"/>
        </w:rPr>
      </w:pPr>
    </w:p>
    <w:p>
      <w:pPr>
        <w:spacing w:line="560" w:lineRule="exact"/>
        <w:jc w:val="center"/>
        <w:rPr>
          <w:rFonts w:ascii="仿宋_GB2312" w:hAnsi="仿宋" w:eastAsia="仿宋_GB2312" w:cs="仿宋"/>
          <w:color w:val="000000" w:themeColor="text1"/>
          <w:sz w:val="32"/>
          <w:szCs w:val="32"/>
          <w14:textFill>
            <w14:solidFill>
              <w14:schemeClr w14:val="tx1"/>
            </w14:solidFill>
          </w14:textFill>
        </w:rPr>
      </w:pPr>
    </w:p>
    <w:p>
      <w:pPr>
        <w:pStyle w:val="8"/>
        <w:widowControl/>
        <w:spacing w:after="0" w:line="560" w:lineRule="exact"/>
        <w:jc w:val="center"/>
        <w:rPr>
          <w:rFonts w:hint="eastAsia"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高青县</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花沟镇</w:t>
      </w:r>
      <w:r>
        <w:rPr>
          <w:rFonts w:hint="eastAsia" w:ascii="仿宋_GB2312" w:hAnsi="仿宋_GB2312" w:eastAsia="仿宋_GB2312" w:cs="仿宋_GB2312"/>
          <w:color w:val="000000" w:themeColor="text1"/>
          <w:kern w:val="2"/>
          <w:sz w:val="32"/>
          <w:szCs w:val="32"/>
          <w14:textFill>
            <w14:solidFill>
              <w14:schemeClr w14:val="tx1"/>
            </w14:solidFill>
          </w14:textFill>
        </w:rPr>
        <w:t>人民政府办公室</w:t>
      </w:r>
    </w:p>
    <w:p>
      <w:pPr>
        <w:pStyle w:val="8"/>
        <w:widowControl/>
        <w:spacing w:after="0" w:line="560" w:lineRule="exact"/>
        <w:jc w:val="cente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2020年</w:t>
      </w: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kern w:val="2"/>
          <w:sz w:val="32"/>
          <w:szCs w:val="32"/>
          <w14:textFill>
            <w14:solidFill>
              <w14:schemeClr w14:val="tx1"/>
            </w14:solidFill>
          </w14:textFill>
        </w:rPr>
        <w:t>月</w:t>
      </w: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23日</w:t>
      </w:r>
    </w:p>
    <w:p>
      <w:pPr>
        <w:spacing w:line="560" w:lineRule="exact"/>
        <w:jc w:val="center"/>
        <w:rPr>
          <w:rFonts w:hint="eastAsia" w:ascii="仿宋_GB2312" w:hAnsi="仿宋_GB2312" w:eastAsia="仿宋_GB2312" w:cs="仿宋_GB2312"/>
          <w:b/>
          <w:sz w:val="32"/>
          <w:szCs w:val="32"/>
        </w:rPr>
      </w:pPr>
    </w:p>
    <w:p>
      <w:pPr>
        <w:pStyle w:val="8"/>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i w:val="0"/>
          <w:caps w:val="0"/>
          <w:color w:val="000000"/>
          <w:spacing w:val="0"/>
          <w:sz w:val="32"/>
          <w:szCs w:val="32"/>
        </w:rPr>
      </w:pPr>
      <w:r>
        <w:rPr>
          <w:rFonts w:hint="default" w:ascii="sans-serif" w:hAnsi="sans-serif" w:eastAsia="sans-serif" w:cs="sans-serif"/>
          <w:i w:val="0"/>
          <w:caps w:val="0"/>
          <w:color w:val="000000"/>
          <w:spacing w:val="0"/>
          <w:sz w:val="21"/>
          <w:szCs w:val="21"/>
        </w:rPr>
        <w:t>　</w:t>
      </w:r>
      <w:r>
        <w:rPr>
          <w:rFonts w:hint="eastAsia" w:ascii="仿宋_GB2312" w:hAnsi="仿宋_GB2312" w:eastAsia="仿宋_GB2312" w:cs="仿宋_GB2312"/>
          <w:i w:val="0"/>
          <w:caps w:val="0"/>
          <w:color w:val="000000"/>
          <w:spacing w:val="0"/>
          <w:sz w:val="32"/>
          <w:szCs w:val="32"/>
        </w:rPr>
        <w:t>本年度报告根据《中华人民共和国政府信息公开条例》（以下简称《条例》）要求，汇总2016年度花沟镇政府信息公开年度报告编制而成。报告包括概述，主动公开政府信息情况，依申请公开政府信息和不予公开政府信息情况，政府信息公开的收费及减免情况，因政府信息公开申请行政复议、提起行政诉讼的情况，政府信息公开工作存在的主要问题及改进情况的事项等6个部分。报告中所列数据的统计期限自2016年1月1日起至2016年12月31日止。</w:t>
      </w:r>
    </w:p>
    <w:p>
      <w:pPr>
        <w:pStyle w:val="8"/>
        <w:keepNext w:val="0"/>
        <w:keepLines w:val="0"/>
        <w:widowControl/>
        <w:suppressLineNumbers w:val="0"/>
        <w:spacing w:before="75" w:beforeAutospacing="0" w:after="75"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一、概述</w:t>
      </w:r>
    </w:p>
    <w:p>
      <w:pPr>
        <w:pStyle w:val="8"/>
        <w:keepNext w:val="0"/>
        <w:keepLines w:val="0"/>
        <w:widowControl/>
        <w:suppressLineNumbers w:val="0"/>
        <w:spacing w:before="75" w:beforeAutospacing="0" w:after="75"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2016年，花沟镇根据认真贯彻落实党的十八大及十八届三中、四中、五中、六中全会和习近平总书记系列重要讲话精神，按照《条例》、《国务院办公厅关于印发2016年政务公开工作要点的通知》（国办发〔2016〕19号）、《山东省人民政府办公厅关于印发2016年山东省政务公开工作要点的通知》（鲁政办发〔2016〕23号）、《淄博市人民政府办公厅关于印发淄博市2016年政务公开工作要点的通知》（淄政办字〔2016〕85号）和高青县政府信息公开文件精神要求，紧紧围绕镇党委、政府重大决策部署和公众关切，进一步细化政府信息公开工作任务，加大公开力度，增强公开实效，切实保障人民群众知情权、参与权、表达权和监督权，助力深化改革、经济发展、民生改善和政府建设。</w:t>
      </w:r>
    </w:p>
    <w:p>
      <w:pPr>
        <w:pStyle w:val="8"/>
        <w:keepNext w:val="0"/>
        <w:keepLines w:val="0"/>
        <w:widowControl/>
        <w:suppressLineNumbers w:val="0"/>
        <w:spacing w:before="75" w:beforeAutospacing="0" w:after="75"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1、高度重视，责任落实到人。</w:t>
      </w:r>
    </w:p>
    <w:p>
      <w:pPr>
        <w:pStyle w:val="8"/>
        <w:keepNext w:val="0"/>
        <w:keepLines w:val="0"/>
        <w:widowControl/>
        <w:suppressLineNumbers w:val="0"/>
        <w:spacing w:before="75" w:beforeAutospacing="0" w:after="75"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高度重视政府信息公开工作，根据人事变动情况，及时调整政府信息公开工作领导小组，同时明确较为专职的政府信息公开工作人员，具体抓好日常的政府信息公开工作，形成分管领导亲自抓、责任人员具体抓的工作局面，全面指导政府信息公开工作，加大对政府信息公开工作的组织领导和协调力度，同时落实专人，全面负责全镇政府信息公开工作。</w:t>
      </w:r>
    </w:p>
    <w:p>
      <w:pPr>
        <w:pStyle w:val="8"/>
        <w:keepNext w:val="0"/>
        <w:keepLines w:val="0"/>
        <w:widowControl/>
        <w:suppressLineNumbers w:val="0"/>
        <w:spacing w:before="75" w:beforeAutospacing="0" w:after="75"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2、建章立制，科学规范公开内容</w:t>
      </w:r>
    </w:p>
    <w:p>
      <w:pPr>
        <w:pStyle w:val="8"/>
        <w:keepNext w:val="0"/>
        <w:keepLines w:val="0"/>
        <w:widowControl/>
        <w:suppressLineNumbers w:val="0"/>
        <w:spacing w:before="75" w:beforeAutospacing="0" w:after="75"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积极将《条例》的学习纳入到党委理论中心组和干部学习计划中，采取学习全文、重点解读、案例剖析、PPT等方式，加大了宣传力度，在日常工作中，注重加强对《条例》、《国务院办公厅关于进一步做好政府信息公开年度报告编制和公布工作的通知》（国办公开办函〔2016〕14号）、《高青县人民政府关于全面推进政务公开的意见》（高政发〔2016〕12号）和《高青县人民政府办公室关于印发高青县2016年政务公开工作要点的通知》（高政办字〔2016〕32号）落实情况的自查，及时发现问题立即改正，推动政府信息公开工作的全面、正确、有效施行。</w:t>
      </w:r>
    </w:p>
    <w:p>
      <w:pPr>
        <w:pStyle w:val="8"/>
        <w:keepNext w:val="0"/>
        <w:keepLines w:val="0"/>
        <w:widowControl/>
        <w:suppressLineNumbers w:val="0"/>
        <w:spacing w:before="75" w:beforeAutospacing="0" w:after="75"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二、主动公开政府信息的情况</w:t>
      </w:r>
    </w:p>
    <w:p>
      <w:pPr>
        <w:pStyle w:val="8"/>
        <w:keepNext w:val="0"/>
        <w:keepLines w:val="0"/>
        <w:widowControl/>
        <w:suppressLineNumbers w:val="0"/>
        <w:spacing w:before="75" w:beforeAutospacing="0" w:after="75"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一）主动公开政府信息的主要类别：将花沟镇信息公开重点定位于全面公开机构职能、业务工作、政策法规、规划计划、统计数据、其他等相关信息。通过对政府信息、工作机制以及制度建设的主动公开，自觉接受公众监督，全力打造群众满意的阳光政府。</w:t>
      </w:r>
    </w:p>
    <w:p>
      <w:pPr>
        <w:pStyle w:val="8"/>
        <w:keepNext w:val="0"/>
        <w:keepLines w:val="0"/>
        <w:widowControl/>
        <w:suppressLineNumbers w:val="0"/>
        <w:spacing w:before="75" w:beforeAutospacing="0" w:after="75"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（二）主动政府信息公开主要途径：高青县政府网站。</w:t>
      </w:r>
    </w:p>
    <w:p>
      <w:pPr>
        <w:pStyle w:val="8"/>
        <w:keepNext w:val="0"/>
        <w:keepLines w:val="0"/>
        <w:widowControl/>
        <w:suppressLineNumbers w:val="0"/>
        <w:spacing w:before="75" w:beforeAutospacing="0" w:after="75"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（三）2016年全年花沟镇主动公开政府信息的数量</w:t>
      </w:r>
    </w:p>
    <w:p>
      <w:pPr>
        <w:pStyle w:val="8"/>
        <w:keepNext w:val="0"/>
        <w:keepLines w:val="0"/>
        <w:widowControl/>
        <w:suppressLineNumbers w:val="0"/>
        <w:spacing w:before="75" w:beforeAutospacing="0" w:after="75"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1、主动公开信息总数：2016年，我镇在县政府网站共计公开各类政府信息53条。</w:t>
      </w:r>
    </w:p>
    <w:p>
      <w:pPr>
        <w:pStyle w:val="8"/>
        <w:keepNext w:val="0"/>
        <w:keepLines w:val="0"/>
        <w:widowControl/>
        <w:suppressLineNumbers w:val="0"/>
        <w:spacing w:before="75" w:beforeAutospacing="0" w:after="75"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2、主动公开信息分类：2016年在县政府网站公开目录（含指南、目录、补充公开）公开信息共计53条，其中：领导分工1条、政策法规1条、规划计划9条、业务工作19条、其他工作23条。</w:t>
      </w:r>
    </w:p>
    <w:p>
      <w:pPr>
        <w:pStyle w:val="8"/>
        <w:keepNext w:val="0"/>
        <w:keepLines w:val="0"/>
        <w:widowControl/>
        <w:suppressLineNumbers w:val="0"/>
        <w:spacing w:before="75" w:beforeAutospacing="0" w:after="75"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auto"/>
          <w:spacing w:val="0"/>
          <w:sz w:val="32"/>
          <w:szCs w:val="32"/>
          <w:u w:val="none"/>
        </w:rPr>
        <w:drawing>
          <wp:inline distT="0" distB="0" distL="114300" distR="114300">
            <wp:extent cx="4762500" cy="2657475"/>
            <wp:effectExtent l="0" t="0" r="0" b="9525"/>
            <wp:docPr id="1" name="图片 1" descr="IMG_25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4762500" cy="2657475"/>
                    </a:xfrm>
                    <a:prstGeom prst="rect">
                      <a:avLst/>
                    </a:prstGeom>
                    <a:noFill/>
                    <a:ln w="9525">
                      <a:noFill/>
                    </a:ln>
                  </pic:spPr>
                </pic:pic>
              </a:graphicData>
            </a:graphic>
          </wp:inline>
        </w:drawing>
      </w:r>
    </w:p>
    <w:p>
      <w:pPr>
        <w:pStyle w:val="8"/>
        <w:keepNext w:val="0"/>
        <w:keepLines w:val="0"/>
        <w:widowControl/>
        <w:suppressLineNumbers w:val="0"/>
        <w:spacing w:before="75" w:beforeAutospacing="0" w:after="75"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三、依申请公开信息的情况</w:t>
      </w:r>
    </w:p>
    <w:p>
      <w:pPr>
        <w:pStyle w:val="8"/>
        <w:keepNext w:val="0"/>
        <w:keepLines w:val="0"/>
        <w:widowControl/>
        <w:suppressLineNumbers w:val="0"/>
        <w:spacing w:before="75" w:beforeAutospacing="0" w:after="75"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2016年，我镇未接到公民、法人和其他组织提出的需要政府信息公开的申请。</w:t>
      </w:r>
    </w:p>
    <w:p>
      <w:pPr>
        <w:pStyle w:val="8"/>
        <w:keepNext w:val="0"/>
        <w:keepLines w:val="0"/>
        <w:widowControl/>
        <w:suppressLineNumbers w:val="0"/>
        <w:spacing w:before="75" w:beforeAutospacing="0" w:after="75"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四、政府信息公开的收费及减免情况</w:t>
      </w:r>
    </w:p>
    <w:p>
      <w:pPr>
        <w:pStyle w:val="8"/>
        <w:keepNext w:val="0"/>
        <w:keepLines w:val="0"/>
        <w:widowControl/>
        <w:suppressLineNumbers w:val="0"/>
        <w:spacing w:before="75" w:beforeAutospacing="0" w:after="75"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2016年度我镇信息公开未收取或减免任何费用。</w:t>
      </w:r>
    </w:p>
    <w:p>
      <w:pPr>
        <w:pStyle w:val="8"/>
        <w:keepNext w:val="0"/>
        <w:keepLines w:val="0"/>
        <w:widowControl/>
        <w:suppressLineNumbers w:val="0"/>
        <w:spacing w:before="75" w:beforeAutospacing="0" w:after="75"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五、因政府信息公开申请行政复议、提起行政诉讼的情况</w:t>
      </w:r>
    </w:p>
    <w:tbl>
      <w:tblPr>
        <w:tblW w:w="134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983"/>
        <w:gridCol w:w="983"/>
        <w:gridCol w:w="983"/>
        <w:gridCol w:w="983"/>
        <w:gridCol w:w="561"/>
        <w:gridCol w:w="983"/>
        <w:gridCol w:w="983"/>
        <w:gridCol w:w="983"/>
        <w:gridCol w:w="983"/>
        <w:gridCol w:w="562"/>
        <w:gridCol w:w="984"/>
        <w:gridCol w:w="984"/>
        <w:gridCol w:w="984"/>
        <w:gridCol w:w="984"/>
        <w:gridCol w:w="5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4575" w:type="dxa"/>
            <w:gridSpan w:val="5"/>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行政复议</w:t>
            </w:r>
          </w:p>
        </w:tc>
        <w:tc>
          <w:tcPr>
            <w:tcW w:w="10260" w:type="dxa"/>
            <w:gridSpan w:val="10"/>
            <w:tcBorders>
              <w:top w:val="single" w:color="000000" w:sz="6" w:space="0"/>
              <w:left w:val="nil"/>
              <w:bottom w:val="single" w:color="000000" w:sz="6" w:space="0"/>
              <w:right w:val="single" w:color="000000" w:sz="6" w:space="0"/>
            </w:tcBorders>
            <w:shd w:val="clear"/>
            <w:tcMar>
              <w:bottom w:w="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0" w:type="auto"/>
            <w:vMerge w:val="restart"/>
            <w:tcBorders>
              <w:top w:val="nil"/>
              <w:left w:val="single" w:color="000000" w:sz="6" w:space="0"/>
              <w:bottom w:val="single" w:color="000000" w:sz="6" w:space="0"/>
              <w:right w:val="single" w:color="000000" w:sz="6" w:space="0"/>
            </w:tcBorders>
            <w:shd w:val="clear"/>
            <w:tcMar>
              <w:bottom w:w="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结果维持</w:t>
            </w:r>
          </w:p>
        </w:tc>
        <w:tc>
          <w:tcPr>
            <w:tcW w:w="0" w:type="auto"/>
            <w:vMerge w:val="restart"/>
            <w:tcBorders>
              <w:top w:val="nil"/>
              <w:left w:val="nil"/>
              <w:bottom w:val="single" w:color="000000" w:sz="6" w:space="0"/>
              <w:right w:val="single" w:color="000000" w:sz="6" w:space="0"/>
            </w:tcBorders>
            <w:shd w:val="clear"/>
            <w:tcMar>
              <w:bottom w:w="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结果纠正</w:t>
            </w:r>
          </w:p>
        </w:tc>
        <w:tc>
          <w:tcPr>
            <w:tcW w:w="0" w:type="auto"/>
            <w:vMerge w:val="restart"/>
            <w:tcBorders>
              <w:top w:val="single" w:color="000000" w:sz="6" w:space="0"/>
              <w:left w:val="nil"/>
              <w:bottom w:val="single" w:color="000000" w:sz="6" w:space="0"/>
              <w:right w:val="single" w:color="000000" w:sz="6" w:space="0"/>
            </w:tcBorders>
            <w:shd w:val="clear"/>
            <w:tcMar>
              <w:bottom w:w="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其他结果</w:t>
            </w:r>
          </w:p>
        </w:tc>
        <w:tc>
          <w:tcPr>
            <w:tcW w:w="0" w:type="auto"/>
            <w:vMerge w:val="restart"/>
            <w:tcBorders>
              <w:top w:val="single" w:color="000000" w:sz="6" w:space="0"/>
              <w:left w:val="nil"/>
              <w:bottom w:val="single" w:color="000000" w:sz="6" w:space="0"/>
              <w:right w:val="single" w:color="000000" w:sz="6" w:space="0"/>
            </w:tcBorders>
            <w:shd w:val="clear"/>
            <w:tcMar>
              <w:bottom w:w="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尚未审结</w:t>
            </w:r>
          </w:p>
        </w:tc>
        <w:tc>
          <w:tcPr>
            <w:tcW w:w="0" w:type="auto"/>
            <w:vMerge w:val="restart"/>
            <w:tcBorders>
              <w:top w:val="single" w:color="000000" w:sz="6" w:space="0"/>
              <w:left w:val="nil"/>
              <w:bottom w:val="single" w:color="000000" w:sz="6" w:space="0"/>
              <w:right w:val="single" w:color="000000" w:sz="6" w:space="0"/>
            </w:tcBorders>
            <w:shd w:val="clear"/>
            <w:tcMar>
              <w:bottom w:w="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总计</w:t>
            </w:r>
          </w:p>
        </w:tc>
        <w:tc>
          <w:tcPr>
            <w:tcW w:w="0" w:type="auto"/>
            <w:gridSpan w:val="5"/>
            <w:tcBorders>
              <w:top w:val="single" w:color="000000" w:sz="6" w:space="0"/>
              <w:left w:val="nil"/>
              <w:bottom w:val="single" w:color="000000" w:sz="6" w:space="0"/>
              <w:right w:val="single" w:color="000000" w:sz="6" w:space="0"/>
            </w:tcBorders>
            <w:shd w:val="clear"/>
            <w:tcMar>
              <w:bottom w:w="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未经复议直接起诉</w:t>
            </w:r>
          </w:p>
        </w:tc>
        <w:tc>
          <w:tcPr>
            <w:tcW w:w="0" w:type="auto"/>
            <w:gridSpan w:val="5"/>
            <w:tcBorders>
              <w:top w:val="single" w:color="000000" w:sz="6" w:space="0"/>
              <w:left w:val="nil"/>
              <w:bottom w:val="single" w:color="000000" w:sz="6" w:space="0"/>
              <w:right w:val="single" w:color="000000" w:sz="6" w:space="0"/>
            </w:tcBorders>
            <w:shd w:val="clear"/>
            <w:tcMar>
              <w:bottom w:w="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0" w:type="auto"/>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eastAsia" w:ascii="仿宋_GB2312" w:hAnsi="仿宋_GB2312" w:eastAsia="仿宋_GB2312" w:cs="仿宋_GB2312"/>
                <w:i w:val="0"/>
                <w:caps w:val="0"/>
                <w:color w:val="000000"/>
                <w:spacing w:val="0"/>
                <w:sz w:val="32"/>
                <w:szCs w:val="32"/>
              </w:rPr>
            </w:pPr>
          </w:p>
        </w:tc>
        <w:tc>
          <w:tcPr>
            <w:tcW w:w="0" w:type="auto"/>
            <w:vMerge w:val="continue"/>
            <w:tcBorders>
              <w:top w:val="nil"/>
              <w:left w:val="nil"/>
              <w:bottom w:val="single" w:color="000000" w:sz="6" w:space="0"/>
              <w:right w:val="single" w:color="000000" w:sz="6" w:space="0"/>
            </w:tcBorders>
            <w:shd w:val="clear"/>
            <w:tcMar>
              <w:bottom w:w="0" w:type="dxa"/>
            </w:tcMar>
            <w:vAlign w:val="center"/>
          </w:tcPr>
          <w:p>
            <w:pPr>
              <w:rPr>
                <w:rFonts w:hint="eastAsia" w:ascii="仿宋_GB2312" w:hAnsi="仿宋_GB2312" w:eastAsia="仿宋_GB2312" w:cs="仿宋_GB2312"/>
                <w:i w:val="0"/>
                <w:caps w:val="0"/>
                <w:color w:val="000000"/>
                <w:spacing w:val="0"/>
                <w:sz w:val="32"/>
                <w:szCs w:val="32"/>
              </w:rPr>
            </w:pPr>
          </w:p>
        </w:tc>
        <w:tc>
          <w:tcPr>
            <w:tcW w:w="0" w:type="auto"/>
            <w:vMerge w:val="continue"/>
            <w:tcBorders>
              <w:top w:val="single" w:color="000000" w:sz="6" w:space="0"/>
              <w:left w:val="nil"/>
              <w:bottom w:val="single" w:color="000000" w:sz="6" w:space="0"/>
              <w:right w:val="single" w:color="000000" w:sz="6" w:space="0"/>
            </w:tcBorders>
            <w:shd w:val="clear"/>
            <w:tcMar>
              <w:bottom w:w="0" w:type="dxa"/>
            </w:tcMar>
            <w:vAlign w:val="center"/>
          </w:tcPr>
          <w:p>
            <w:pPr>
              <w:rPr>
                <w:rFonts w:hint="eastAsia" w:ascii="仿宋_GB2312" w:hAnsi="仿宋_GB2312" w:eastAsia="仿宋_GB2312" w:cs="仿宋_GB2312"/>
                <w:i w:val="0"/>
                <w:caps w:val="0"/>
                <w:color w:val="000000"/>
                <w:spacing w:val="0"/>
                <w:sz w:val="32"/>
                <w:szCs w:val="32"/>
              </w:rPr>
            </w:pPr>
          </w:p>
        </w:tc>
        <w:tc>
          <w:tcPr>
            <w:tcW w:w="0" w:type="auto"/>
            <w:vMerge w:val="continue"/>
            <w:tcBorders>
              <w:top w:val="single" w:color="000000" w:sz="6" w:space="0"/>
              <w:left w:val="nil"/>
              <w:bottom w:val="single" w:color="000000" w:sz="6" w:space="0"/>
              <w:right w:val="single" w:color="000000" w:sz="6" w:space="0"/>
            </w:tcBorders>
            <w:shd w:val="clear"/>
            <w:tcMar>
              <w:bottom w:w="0" w:type="dxa"/>
            </w:tcMar>
            <w:vAlign w:val="center"/>
          </w:tcPr>
          <w:p>
            <w:pPr>
              <w:rPr>
                <w:rFonts w:hint="eastAsia" w:ascii="仿宋_GB2312" w:hAnsi="仿宋_GB2312" w:eastAsia="仿宋_GB2312" w:cs="仿宋_GB2312"/>
                <w:i w:val="0"/>
                <w:caps w:val="0"/>
                <w:color w:val="000000"/>
                <w:spacing w:val="0"/>
                <w:sz w:val="32"/>
                <w:szCs w:val="32"/>
              </w:rPr>
            </w:pPr>
          </w:p>
        </w:tc>
        <w:tc>
          <w:tcPr>
            <w:tcW w:w="0" w:type="auto"/>
            <w:vMerge w:val="continue"/>
            <w:tcBorders>
              <w:top w:val="single" w:color="000000" w:sz="6" w:space="0"/>
              <w:left w:val="nil"/>
              <w:bottom w:val="single" w:color="000000" w:sz="6" w:space="0"/>
              <w:right w:val="single" w:color="000000" w:sz="6" w:space="0"/>
            </w:tcBorders>
            <w:shd w:val="clear"/>
            <w:tcMar>
              <w:bottom w:w="0" w:type="dxa"/>
            </w:tcMar>
            <w:vAlign w:val="center"/>
          </w:tcPr>
          <w:p>
            <w:pPr>
              <w:rPr>
                <w:rFonts w:hint="eastAsia" w:ascii="仿宋_GB2312" w:hAnsi="仿宋_GB2312" w:eastAsia="仿宋_GB2312" w:cs="仿宋_GB2312"/>
                <w:i w:val="0"/>
                <w:caps w:val="0"/>
                <w:color w:val="000000"/>
                <w:spacing w:val="0"/>
                <w:sz w:val="32"/>
                <w:szCs w:val="32"/>
              </w:rPr>
            </w:pPr>
          </w:p>
        </w:tc>
        <w:tc>
          <w:tcPr>
            <w:tcW w:w="0" w:type="auto"/>
            <w:tcBorders>
              <w:top w:val="nil"/>
              <w:left w:val="nil"/>
              <w:bottom w:val="single" w:color="000000" w:sz="6" w:space="0"/>
              <w:right w:val="single" w:color="000000" w:sz="6" w:space="0"/>
            </w:tcBorders>
            <w:shd w:val="clear"/>
            <w:tcMar>
              <w:bottom w:w="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结果维持</w:t>
            </w:r>
          </w:p>
        </w:tc>
        <w:tc>
          <w:tcPr>
            <w:tcW w:w="0" w:type="auto"/>
            <w:tcBorders>
              <w:top w:val="nil"/>
              <w:left w:val="nil"/>
              <w:bottom w:val="single" w:color="000000" w:sz="6" w:space="0"/>
              <w:right w:val="single" w:color="000000" w:sz="6" w:space="0"/>
            </w:tcBorders>
            <w:shd w:val="clear"/>
            <w:tcMar>
              <w:bottom w:w="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结果纠正</w:t>
            </w:r>
          </w:p>
        </w:tc>
        <w:tc>
          <w:tcPr>
            <w:tcW w:w="0" w:type="auto"/>
            <w:tcBorders>
              <w:top w:val="single" w:color="000000" w:sz="6" w:space="0"/>
              <w:left w:val="nil"/>
              <w:bottom w:val="single" w:color="000000" w:sz="6" w:space="0"/>
              <w:right w:val="single" w:color="000000" w:sz="6" w:space="0"/>
            </w:tcBorders>
            <w:shd w:val="clear"/>
            <w:tcMar>
              <w:bottom w:w="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其他结果</w:t>
            </w:r>
          </w:p>
        </w:tc>
        <w:tc>
          <w:tcPr>
            <w:tcW w:w="0" w:type="auto"/>
            <w:tcBorders>
              <w:top w:val="single" w:color="000000" w:sz="6" w:space="0"/>
              <w:left w:val="nil"/>
              <w:bottom w:val="single" w:color="000000" w:sz="6" w:space="0"/>
              <w:right w:val="single" w:color="000000" w:sz="6" w:space="0"/>
            </w:tcBorders>
            <w:shd w:val="clear"/>
            <w:tcMar>
              <w:bottom w:w="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尚未审结</w:t>
            </w:r>
          </w:p>
        </w:tc>
        <w:tc>
          <w:tcPr>
            <w:tcW w:w="0" w:type="auto"/>
            <w:tcBorders>
              <w:top w:val="single" w:color="000000" w:sz="6" w:space="0"/>
              <w:left w:val="nil"/>
              <w:bottom w:val="single" w:color="000000" w:sz="6" w:space="0"/>
              <w:right w:val="single" w:color="000000" w:sz="6" w:space="0"/>
            </w:tcBorders>
            <w:shd w:val="clear"/>
            <w:tcMar>
              <w:bottom w:w="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总计</w:t>
            </w:r>
          </w:p>
        </w:tc>
        <w:tc>
          <w:tcPr>
            <w:tcW w:w="0" w:type="auto"/>
            <w:tcBorders>
              <w:top w:val="single" w:color="000000" w:sz="6" w:space="0"/>
              <w:left w:val="nil"/>
              <w:bottom w:val="single" w:color="000000" w:sz="6" w:space="0"/>
              <w:right w:val="single" w:color="000000" w:sz="6" w:space="0"/>
            </w:tcBorders>
            <w:shd w:val="clear"/>
            <w:tcMar>
              <w:bottom w:w="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结果维持</w:t>
            </w:r>
          </w:p>
        </w:tc>
        <w:tc>
          <w:tcPr>
            <w:tcW w:w="0" w:type="auto"/>
            <w:tcBorders>
              <w:top w:val="single" w:color="000000" w:sz="6" w:space="0"/>
              <w:left w:val="nil"/>
              <w:bottom w:val="single" w:color="000000" w:sz="6" w:space="0"/>
              <w:right w:val="single" w:color="000000" w:sz="6" w:space="0"/>
            </w:tcBorders>
            <w:shd w:val="clear"/>
            <w:tcMar>
              <w:bottom w:w="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结果纠正</w:t>
            </w:r>
          </w:p>
        </w:tc>
        <w:tc>
          <w:tcPr>
            <w:tcW w:w="0" w:type="auto"/>
            <w:tcBorders>
              <w:top w:val="single" w:color="000000" w:sz="6" w:space="0"/>
              <w:left w:val="nil"/>
              <w:bottom w:val="single" w:color="000000" w:sz="6" w:space="0"/>
              <w:right w:val="single" w:color="000000" w:sz="6" w:space="0"/>
            </w:tcBorders>
            <w:shd w:val="clear"/>
            <w:tcMar>
              <w:bottom w:w="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其他结果</w:t>
            </w:r>
          </w:p>
        </w:tc>
        <w:tc>
          <w:tcPr>
            <w:tcW w:w="0" w:type="auto"/>
            <w:tcBorders>
              <w:top w:val="single" w:color="000000" w:sz="6" w:space="0"/>
              <w:left w:val="nil"/>
              <w:bottom w:val="single" w:color="000000" w:sz="6" w:space="0"/>
              <w:right w:val="single" w:color="000000" w:sz="6" w:space="0"/>
            </w:tcBorders>
            <w:shd w:val="clear"/>
            <w:tcMar>
              <w:bottom w:w="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尚未审结</w:t>
            </w:r>
          </w:p>
        </w:tc>
        <w:tc>
          <w:tcPr>
            <w:tcW w:w="0" w:type="auto"/>
            <w:tcBorders>
              <w:top w:val="single" w:color="000000" w:sz="6" w:space="0"/>
              <w:left w:val="nil"/>
              <w:bottom w:val="single" w:color="000000" w:sz="6" w:space="0"/>
              <w:right w:val="single" w:color="000000" w:sz="6" w:space="0"/>
            </w:tcBorders>
            <w:shd w:val="clear"/>
            <w:tcMar>
              <w:bottom w:w="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0" w:type="auto"/>
            <w:tcBorders>
              <w:top w:val="nil"/>
              <w:left w:val="single" w:color="000000" w:sz="6" w:space="0"/>
              <w:bottom w:val="single" w:color="000000" w:sz="6" w:space="0"/>
              <w:right w:val="single" w:color="000000" w:sz="6" w:space="0"/>
            </w:tcBorders>
            <w:shd w:val="clear"/>
            <w:tcMar>
              <w:bottom w:w="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0</w:t>
            </w:r>
          </w:p>
        </w:tc>
        <w:tc>
          <w:tcPr>
            <w:tcW w:w="0" w:type="auto"/>
            <w:tcBorders>
              <w:top w:val="nil"/>
              <w:left w:val="nil"/>
              <w:bottom w:val="single" w:color="000000" w:sz="6" w:space="0"/>
              <w:right w:val="single" w:color="000000" w:sz="6" w:space="0"/>
            </w:tcBorders>
            <w:shd w:val="clear"/>
            <w:tcMar>
              <w:bottom w:w="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0</w:t>
            </w:r>
          </w:p>
        </w:tc>
        <w:tc>
          <w:tcPr>
            <w:tcW w:w="0" w:type="auto"/>
            <w:tcBorders>
              <w:top w:val="nil"/>
              <w:left w:val="nil"/>
              <w:bottom w:val="single" w:color="000000" w:sz="6" w:space="0"/>
              <w:right w:val="single" w:color="000000" w:sz="6" w:space="0"/>
            </w:tcBorders>
            <w:shd w:val="clear"/>
            <w:tcMar>
              <w:bottom w:w="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0</w:t>
            </w:r>
          </w:p>
        </w:tc>
        <w:tc>
          <w:tcPr>
            <w:tcW w:w="0" w:type="auto"/>
            <w:tcBorders>
              <w:top w:val="nil"/>
              <w:left w:val="nil"/>
              <w:bottom w:val="single" w:color="000000" w:sz="6" w:space="0"/>
              <w:right w:val="single" w:color="000000" w:sz="6" w:space="0"/>
            </w:tcBorders>
            <w:shd w:val="clear"/>
            <w:tcMar>
              <w:bottom w:w="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0</w:t>
            </w:r>
          </w:p>
        </w:tc>
        <w:tc>
          <w:tcPr>
            <w:tcW w:w="0" w:type="auto"/>
            <w:tcBorders>
              <w:top w:val="nil"/>
              <w:left w:val="nil"/>
              <w:bottom w:val="single" w:color="000000" w:sz="6" w:space="0"/>
              <w:right w:val="single" w:color="000000" w:sz="6" w:space="0"/>
            </w:tcBorders>
            <w:shd w:val="clear"/>
            <w:tcMar>
              <w:bottom w:w="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0</w:t>
            </w:r>
          </w:p>
        </w:tc>
        <w:tc>
          <w:tcPr>
            <w:tcW w:w="0" w:type="auto"/>
            <w:tcBorders>
              <w:top w:val="nil"/>
              <w:left w:val="nil"/>
              <w:bottom w:val="single" w:color="000000" w:sz="6" w:space="0"/>
              <w:right w:val="single" w:color="000000" w:sz="6" w:space="0"/>
            </w:tcBorders>
            <w:shd w:val="clear"/>
            <w:tcMar>
              <w:bottom w:w="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0</w:t>
            </w:r>
          </w:p>
        </w:tc>
        <w:tc>
          <w:tcPr>
            <w:tcW w:w="0" w:type="auto"/>
            <w:tcBorders>
              <w:top w:val="nil"/>
              <w:left w:val="nil"/>
              <w:bottom w:val="single" w:color="000000" w:sz="6" w:space="0"/>
              <w:right w:val="single" w:color="000000" w:sz="6" w:space="0"/>
            </w:tcBorders>
            <w:shd w:val="clear"/>
            <w:tcMar>
              <w:bottom w:w="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0</w:t>
            </w:r>
          </w:p>
        </w:tc>
        <w:tc>
          <w:tcPr>
            <w:tcW w:w="0" w:type="auto"/>
            <w:tcBorders>
              <w:top w:val="nil"/>
              <w:left w:val="nil"/>
              <w:bottom w:val="single" w:color="000000" w:sz="6" w:space="0"/>
              <w:right w:val="single" w:color="000000" w:sz="6" w:space="0"/>
            </w:tcBorders>
            <w:shd w:val="clear"/>
            <w:tcMar>
              <w:bottom w:w="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0</w:t>
            </w:r>
          </w:p>
        </w:tc>
        <w:tc>
          <w:tcPr>
            <w:tcW w:w="0" w:type="auto"/>
            <w:tcBorders>
              <w:top w:val="nil"/>
              <w:left w:val="nil"/>
              <w:bottom w:val="single" w:color="000000" w:sz="6" w:space="0"/>
              <w:right w:val="single" w:color="000000" w:sz="6" w:space="0"/>
            </w:tcBorders>
            <w:shd w:val="clear"/>
            <w:tcMar>
              <w:bottom w:w="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0</w:t>
            </w:r>
          </w:p>
        </w:tc>
        <w:tc>
          <w:tcPr>
            <w:tcW w:w="0" w:type="auto"/>
            <w:tcBorders>
              <w:top w:val="nil"/>
              <w:left w:val="nil"/>
              <w:bottom w:val="single" w:color="000000" w:sz="6" w:space="0"/>
              <w:right w:val="single" w:color="000000" w:sz="6" w:space="0"/>
            </w:tcBorders>
            <w:shd w:val="clear"/>
            <w:tcMar>
              <w:bottom w:w="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0</w:t>
            </w:r>
          </w:p>
        </w:tc>
        <w:tc>
          <w:tcPr>
            <w:tcW w:w="0" w:type="auto"/>
            <w:tcBorders>
              <w:top w:val="nil"/>
              <w:left w:val="nil"/>
              <w:bottom w:val="single" w:color="000000" w:sz="6" w:space="0"/>
              <w:right w:val="single" w:color="000000" w:sz="6" w:space="0"/>
            </w:tcBorders>
            <w:shd w:val="clear"/>
            <w:tcMar>
              <w:bottom w:w="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0</w:t>
            </w:r>
          </w:p>
        </w:tc>
        <w:tc>
          <w:tcPr>
            <w:tcW w:w="0" w:type="auto"/>
            <w:tcBorders>
              <w:top w:val="nil"/>
              <w:left w:val="nil"/>
              <w:bottom w:val="single" w:color="000000" w:sz="6" w:space="0"/>
              <w:right w:val="single" w:color="000000" w:sz="6" w:space="0"/>
            </w:tcBorders>
            <w:shd w:val="clear"/>
            <w:tcMar>
              <w:bottom w:w="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0</w:t>
            </w:r>
          </w:p>
        </w:tc>
        <w:tc>
          <w:tcPr>
            <w:tcW w:w="0" w:type="auto"/>
            <w:tcBorders>
              <w:top w:val="nil"/>
              <w:left w:val="nil"/>
              <w:bottom w:val="single" w:color="000000" w:sz="6" w:space="0"/>
              <w:right w:val="single" w:color="000000" w:sz="6" w:space="0"/>
            </w:tcBorders>
            <w:shd w:val="clear"/>
            <w:tcMar>
              <w:bottom w:w="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0</w:t>
            </w:r>
          </w:p>
        </w:tc>
        <w:tc>
          <w:tcPr>
            <w:tcW w:w="0" w:type="auto"/>
            <w:tcBorders>
              <w:top w:val="nil"/>
              <w:left w:val="nil"/>
              <w:bottom w:val="single" w:color="000000" w:sz="6" w:space="0"/>
              <w:right w:val="single" w:color="000000" w:sz="6" w:space="0"/>
            </w:tcBorders>
            <w:shd w:val="clear"/>
            <w:tcMar>
              <w:bottom w:w="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0</w:t>
            </w:r>
          </w:p>
        </w:tc>
        <w:tc>
          <w:tcPr>
            <w:tcW w:w="0" w:type="auto"/>
            <w:tcBorders>
              <w:top w:val="nil"/>
              <w:left w:val="nil"/>
              <w:bottom w:val="single" w:color="000000" w:sz="6" w:space="0"/>
              <w:right w:val="single" w:color="000000" w:sz="6" w:space="0"/>
            </w:tcBorders>
            <w:shd w:val="clear"/>
            <w:tcMar>
              <w:bottom w:w="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rPr>
              <w:t>0</w:t>
            </w:r>
          </w:p>
        </w:tc>
      </w:tr>
    </w:tbl>
    <w:p>
      <w:pPr>
        <w:pStyle w:val="8"/>
        <w:keepNext w:val="0"/>
        <w:keepLines w:val="0"/>
        <w:widowControl/>
        <w:suppressLineNumbers w:val="0"/>
        <w:spacing w:before="75" w:beforeAutospacing="0" w:after="75"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到目前为止，我镇还未发生因信息公开申请行政复议、诉讼和申诉的情况。</w:t>
      </w:r>
    </w:p>
    <w:p>
      <w:pPr>
        <w:pStyle w:val="8"/>
        <w:keepNext w:val="0"/>
        <w:keepLines w:val="0"/>
        <w:widowControl/>
        <w:suppressLineNumbers w:val="0"/>
        <w:spacing w:before="75" w:beforeAutospacing="0" w:after="75"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六、政府信息公开工作存在的主要问题及改进情况</w:t>
      </w:r>
    </w:p>
    <w:p>
      <w:pPr>
        <w:pStyle w:val="8"/>
        <w:keepNext w:val="0"/>
        <w:keepLines w:val="0"/>
        <w:widowControl/>
        <w:suppressLineNumbers w:val="0"/>
        <w:spacing w:before="75" w:beforeAutospacing="0" w:after="75"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（一）存在的主要问题</w:t>
      </w:r>
    </w:p>
    <w:p>
      <w:pPr>
        <w:pStyle w:val="8"/>
        <w:keepNext w:val="0"/>
        <w:keepLines w:val="0"/>
        <w:widowControl/>
        <w:suppressLineNumbers w:val="0"/>
        <w:spacing w:before="75" w:beforeAutospacing="0" w:after="75"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回顾一年的政府信息公开工作，我们清楚地看到工作中还存在一些差距和不足；主要一方面是信息公开的内容不够充实完善，网上信息更新不够及时。另一方面是相关政策法规宣传有待加强。</w:t>
      </w:r>
    </w:p>
    <w:p>
      <w:pPr>
        <w:pStyle w:val="8"/>
        <w:keepNext w:val="0"/>
        <w:keepLines w:val="0"/>
        <w:widowControl/>
        <w:suppressLineNumbers w:val="0"/>
        <w:spacing w:before="75" w:beforeAutospacing="0" w:after="75"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（二）改进措施</w:t>
      </w:r>
    </w:p>
    <w:p>
      <w:pPr>
        <w:pStyle w:val="8"/>
        <w:keepNext w:val="0"/>
        <w:keepLines w:val="0"/>
        <w:widowControl/>
        <w:suppressLineNumbers w:val="0"/>
        <w:spacing w:before="75" w:beforeAutospacing="0" w:after="75"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1、进一步加强政务公开工作的领导，加强对政务公开工作的督促检查，建立齐抓共管、全员参与的工作机制。</w:t>
      </w:r>
    </w:p>
    <w:p>
      <w:pPr>
        <w:pStyle w:val="8"/>
        <w:keepNext w:val="0"/>
        <w:keepLines w:val="0"/>
        <w:widowControl/>
        <w:suppressLineNumbers w:val="0"/>
        <w:spacing w:before="75" w:beforeAutospacing="0" w:after="75"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进一步充实信息公开内容。继续对全镇政务信息进行再梳理，围绕社会公众关注的经济发展的热点、重点，加强基层调研，不断充实完善政务信息，及时更新网上信息，保证信息公开的完整性、准确性和时效性。</w:t>
      </w:r>
    </w:p>
    <w:p>
      <w:pPr>
        <w:pStyle w:val="8"/>
        <w:keepNext w:val="0"/>
        <w:keepLines w:val="0"/>
        <w:widowControl/>
        <w:suppressLineNumbers w:val="0"/>
        <w:spacing w:before="75" w:beforeAutospacing="0" w:after="75"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3、进一步开展统计法律法规和统计知识普及教育，提高全镇人民对政府工作的满意度。</w:t>
      </w:r>
    </w:p>
    <w:p>
      <w:pPr>
        <w:pStyle w:val="8"/>
        <w:keepNext w:val="0"/>
        <w:keepLines w:val="0"/>
        <w:widowControl/>
        <w:suppressLineNumbers w:val="0"/>
        <w:spacing w:before="75" w:beforeAutospacing="0" w:after="75" w:afterAutospacing="0"/>
        <w:ind w:left="0" w:right="0" w:firstLine="0"/>
        <w:rPr>
          <w:rFonts w:hint="eastAsia" w:ascii="仿宋_GB2312" w:hAnsi="仿宋_GB2312" w:eastAsia="仿宋_GB2312" w:cs="仿宋_GB2312"/>
          <w:i w:val="0"/>
          <w:caps w:val="0"/>
          <w:color w:val="000000"/>
          <w:spacing w:val="0"/>
          <w:sz w:val="32"/>
          <w:szCs w:val="32"/>
        </w:rPr>
      </w:pPr>
    </w:p>
    <w:p>
      <w:pPr>
        <w:pStyle w:val="8"/>
        <w:keepNext w:val="0"/>
        <w:keepLines w:val="0"/>
        <w:widowControl/>
        <w:suppressLineNumbers w:val="0"/>
        <w:spacing w:before="75" w:beforeAutospacing="0" w:after="75" w:afterAutospacing="0"/>
        <w:ind w:left="0" w:right="0" w:firstLine="0"/>
        <w:rPr>
          <w:rFonts w:hint="eastAsia" w:ascii="仿宋_GB2312" w:hAnsi="仿宋_GB2312" w:eastAsia="仿宋_GB2312" w:cs="仿宋_GB2312"/>
          <w:i w:val="0"/>
          <w:caps w:val="0"/>
          <w:color w:val="000000"/>
          <w:spacing w:val="0"/>
          <w:sz w:val="32"/>
          <w:szCs w:val="32"/>
        </w:rPr>
      </w:pPr>
    </w:p>
    <w:p>
      <w:pPr>
        <w:pStyle w:val="8"/>
        <w:keepNext w:val="0"/>
        <w:keepLines w:val="0"/>
        <w:widowControl/>
        <w:suppressLineNumbers w:val="0"/>
        <w:spacing w:before="75" w:beforeAutospacing="0" w:after="75" w:afterAutospacing="0"/>
        <w:ind w:left="0" w:right="0" w:firstLine="0"/>
        <w:jc w:val="righ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花沟镇人民政府</w:t>
      </w:r>
    </w:p>
    <w:p>
      <w:pPr>
        <w:pStyle w:val="8"/>
        <w:keepNext w:val="0"/>
        <w:keepLines w:val="0"/>
        <w:widowControl/>
        <w:suppressLineNumbers w:val="0"/>
        <w:spacing w:before="75" w:beforeAutospacing="0" w:after="75" w:afterAutospacing="0"/>
        <w:ind w:left="0" w:right="0" w:firstLine="0"/>
        <w:jc w:val="righ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2017年1月</w:t>
      </w:r>
      <w:r>
        <w:rPr>
          <w:rFonts w:hint="eastAsia" w:ascii="仿宋_GB2312" w:hAnsi="仿宋_GB2312" w:eastAsia="仿宋_GB2312" w:cs="仿宋_GB2312"/>
          <w:i w:val="0"/>
          <w:caps w:val="0"/>
          <w:color w:val="000000"/>
          <w:spacing w:val="0"/>
          <w:sz w:val="32"/>
          <w:szCs w:val="32"/>
          <w:lang w:val="en-US" w:eastAsia="zh-CN"/>
        </w:rPr>
        <w:t>23</w:t>
      </w:r>
      <w:r>
        <w:rPr>
          <w:rFonts w:hint="eastAsia" w:ascii="仿宋_GB2312" w:hAnsi="仿宋_GB2312" w:eastAsia="仿宋_GB2312" w:cs="仿宋_GB2312"/>
          <w:i w:val="0"/>
          <w:caps w:val="0"/>
          <w:color w:val="000000"/>
          <w:spacing w:val="0"/>
          <w:sz w:val="32"/>
          <w:szCs w:val="32"/>
        </w:rPr>
        <w:t>日</w:t>
      </w:r>
    </w:p>
    <w:p>
      <w:pPr>
        <w:pStyle w:val="8"/>
        <w:widowControl/>
        <w:spacing w:after="0" w:line="560" w:lineRule="exact"/>
        <w:ind w:firstLine="640" w:firstLineChars="200"/>
        <w:jc w:val="right"/>
        <w:rPr>
          <w:rFonts w:hint="eastAsia" w:ascii="仿宋_GB2312" w:hAnsi="仿宋_GB2312" w:eastAsia="仿宋_GB2312" w:cs="仿宋_GB2312"/>
          <w:color w:val="000000" w:themeColor="text1"/>
          <w:sz w:val="32"/>
          <w:szCs w:val="32"/>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070707"/>
      <w:docPartObj>
        <w:docPartGallery w:val="autotext"/>
      </w:docPartObj>
    </w:sdtPr>
    <w:sdtContent>
      <w:p>
        <w:pPr>
          <w:pStyle w:val="5"/>
          <w:jc w:val="center"/>
        </w:pPr>
        <w:r>
          <w:fldChar w:fldCharType="begin"/>
        </w:r>
        <w:r>
          <w:instrText xml:space="preserve">PAGE   \* MERGEFORMAT</w:instrText>
        </w:r>
        <w:r>
          <w:fldChar w:fldCharType="separate"/>
        </w:r>
        <w:r>
          <w:rPr>
            <w:lang w:val="zh-CN"/>
          </w:rPr>
          <w:t>6</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57"/>
    <w:rsid w:val="00004CF5"/>
    <w:rsid w:val="0000725E"/>
    <w:rsid w:val="00010331"/>
    <w:rsid w:val="00024E42"/>
    <w:rsid w:val="000345B4"/>
    <w:rsid w:val="00035216"/>
    <w:rsid w:val="00051D91"/>
    <w:rsid w:val="00061B07"/>
    <w:rsid w:val="0006501F"/>
    <w:rsid w:val="00065C69"/>
    <w:rsid w:val="000672CE"/>
    <w:rsid w:val="00093F81"/>
    <w:rsid w:val="00094B75"/>
    <w:rsid w:val="000A057B"/>
    <w:rsid w:val="000B000A"/>
    <w:rsid w:val="000C43E2"/>
    <w:rsid w:val="000D1696"/>
    <w:rsid w:val="000D2527"/>
    <w:rsid w:val="000D3D1E"/>
    <w:rsid w:val="000D502C"/>
    <w:rsid w:val="000E3958"/>
    <w:rsid w:val="000F383D"/>
    <w:rsid w:val="000F7B6C"/>
    <w:rsid w:val="00104B97"/>
    <w:rsid w:val="00115736"/>
    <w:rsid w:val="001205A9"/>
    <w:rsid w:val="001215E4"/>
    <w:rsid w:val="001328B3"/>
    <w:rsid w:val="00136EBD"/>
    <w:rsid w:val="0015335B"/>
    <w:rsid w:val="001551B9"/>
    <w:rsid w:val="00156800"/>
    <w:rsid w:val="00156AFE"/>
    <w:rsid w:val="0015752F"/>
    <w:rsid w:val="00164C2C"/>
    <w:rsid w:val="00165287"/>
    <w:rsid w:val="00177AFC"/>
    <w:rsid w:val="00187E46"/>
    <w:rsid w:val="0019292B"/>
    <w:rsid w:val="00192EAC"/>
    <w:rsid w:val="00195276"/>
    <w:rsid w:val="00195C7C"/>
    <w:rsid w:val="001A052A"/>
    <w:rsid w:val="001A4452"/>
    <w:rsid w:val="001B463C"/>
    <w:rsid w:val="001C2DCD"/>
    <w:rsid w:val="001C6CB8"/>
    <w:rsid w:val="001D01BA"/>
    <w:rsid w:val="001E256B"/>
    <w:rsid w:val="001E3D4C"/>
    <w:rsid w:val="001E7B38"/>
    <w:rsid w:val="001F1D4F"/>
    <w:rsid w:val="001F3CA4"/>
    <w:rsid w:val="001F3D15"/>
    <w:rsid w:val="001F53D4"/>
    <w:rsid w:val="00203EC3"/>
    <w:rsid w:val="00213531"/>
    <w:rsid w:val="00213CFE"/>
    <w:rsid w:val="00216B90"/>
    <w:rsid w:val="00221CC4"/>
    <w:rsid w:val="00227902"/>
    <w:rsid w:val="00234602"/>
    <w:rsid w:val="00244E3E"/>
    <w:rsid w:val="00263708"/>
    <w:rsid w:val="00263B33"/>
    <w:rsid w:val="002834ED"/>
    <w:rsid w:val="00286C8A"/>
    <w:rsid w:val="002A647C"/>
    <w:rsid w:val="002B625C"/>
    <w:rsid w:val="002C58DB"/>
    <w:rsid w:val="002D6EBB"/>
    <w:rsid w:val="002D74A7"/>
    <w:rsid w:val="002D7DB8"/>
    <w:rsid w:val="002E5D54"/>
    <w:rsid w:val="0030230A"/>
    <w:rsid w:val="0031159C"/>
    <w:rsid w:val="00326584"/>
    <w:rsid w:val="0033231B"/>
    <w:rsid w:val="003441BE"/>
    <w:rsid w:val="00346C4D"/>
    <w:rsid w:val="00361762"/>
    <w:rsid w:val="00363DDF"/>
    <w:rsid w:val="00370E69"/>
    <w:rsid w:val="00375878"/>
    <w:rsid w:val="00380933"/>
    <w:rsid w:val="0039205B"/>
    <w:rsid w:val="003938A3"/>
    <w:rsid w:val="003A230F"/>
    <w:rsid w:val="003A3153"/>
    <w:rsid w:val="003A473F"/>
    <w:rsid w:val="003A57D1"/>
    <w:rsid w:val="003B4B73"/>
    <w:rsid w:val="003C27DE"/>
    <w:rsid w:val="003C3846"/>
    <w:rsid w:val="003E2D20"/>
    <w:rsid w:val="003F52B2"/>
    <w:rsid w:val="003F6FE9"/>
    <w:rsid w:val="00406346"/>
    <w:rsid w:val="004076B3"/>
    <w:rsid w:val="004109E8"/>
    <w:rsid w:val="00410A4A"/>
    <w:rsid w:val="0041443C"/>
    <w:rsid w:val="004155DE"/>
    <w:rsid w:val="00436EA0"/>
    <w:rsid w:val="004373DC"/>
    <w:rsid w:val="004449B9"/>
    <w:rsid w:val="004479E3"/>
    <w:rsid w:val="00450790"/>
    <w:rsid w:val="004518C4"/>
    <w:rsid w:val="0045219A"/>
    <w:rsid w:val="0045733C"/>
    <w:rsid w:val="00462BD1"/>
    <w:rsid w:val="00464149"/>
    <w:rsid w:val="00470E57"/>
    <w:rsid w:val="00473B69"/>
    <w:rsid w:val="0048058E"/>
    <w:rsid w:val="0048124A"/>
    <w:rsid w:val="00481D4A"/>
    <w:rsid w:val="004A2D10"/>
    <w:rsid w:val="004C0559"/>
    <w:rsid w:val="004D3C26"/>
    <w:rsid w:val="004D460A"/>
    <w:rsid w:val="004D50F5"/>
    <w:rsid w:val="004E0762"/>
    <w:rsid w:val="004E1E7F"/>
    <w:rsid w:val="004E30D9"/>
    <w:rsid w:val="004F0C56"/>
    <w:rsid w:val="004F62DB"/>
    <w:rsid w:val="00505A1E"/>
    <w:rsid w:val="005064BA"/>
    <w:rsid w:val="00513D53"/>
    <w:rsid w:val="00514EF2"/>
    <w:rsid w:val="0051560E"/>
    <w:rsid w:val="005171BD"/>
    <w:rsid w:val="00530324"/>
    <w:rsid w:val="005354E1"/>
    <w:rsid w:val="005405CC"/>
    <w:rsid w:val="005419F2"/>
    <w:rsid w:val="00546499"/>
    <w:rsid w:val="0054791A"/>
    <w:rsid w:val="00555BD0"/>
    <w:rsid w:val="0058712D"/>
    <w:rsid w:val="00592243"/>
    <w:rsid w:val="005930D6"/>
    <w:rsid w:val="005B51C5"/>
    <w:rsid w:val="005B76E3"/>
    <w:rsid w:val="005C1AEC"/>
    <w:rsid w:val="005C79C4"/>
    <w:rsid w:val="005F2577"/>
    <w:rsid w:val="005F3E26"/>
    <w:rsid w:val="00605185"/>
    <w:rsid w:val="0062262B"/>
    <w:rsid w:val="00622752"/>
    <w:rsid w:val="006373B2"/>
    <w:rsid w:val="00637DD1"/>
    <w:rsid w:val="00637F0D"/>
    <w:rsid w:val="006457E7"/>
    <w:rsid w:val="00650011"/>
    <w:rsid w:val="00653E08"/>
    <w:rsid w:val="006642C7"/>
    <w:rsid w:val="0066520B"/>
    <w:rsid w:val="00673AB3"/>
    <w:rsid w:val="006854F7"/>
    <w:rsid w:val="006933BA"/>
    <w:rsid w:val="006B416F"/>
    <w:rsid w:val="006B7628"/>
    <w:rsid w:val="006C3A06"/>
    <w:rsid w:val="006D763F"/>
    <w:rsid w:val="006E0DFF"/>
    <w:rsid w:val="006F1821"/>
    <w:rsid w:val="006F1CA4"/>
    <w:rsid w:val="006F1D2B"/>
    <w:rsid w:val="006F770B"/>
    <w:rsid w:val="00712FC4"/>
    <w:rsid w:val="0071441F"/>
    <w:rsid w:val="00732FAD"/>
    <w:rsid w:val="0073505F"/>
    <w:rsid w:val="007522A8"/>
    <w:rsid w:val="0075482D"/>
    <w:rsid w:val="00760D74"/>
    <w:rsid w:val="00761DD7"/>
    <w:rsid w:val="00762FB6"/>
    <w:rsid w:val="00766CAF"/>
    <w:rsid w:val="00773F1C"/>
    <w:rsid w:val="00776A6F"/>
    <w:rsid w:val="007A2408"/>
    <w:rsid w:val="007C3766"/>
    <w:rsid w:val="007D53E3"/>
    <w:rsid w:val="007D5E52"/>
    <w:rsid w:val="007E10E9"/>
    <w:rsid w:val="007F701A"/>
    <w:rsid w:val="008031F8"/>
    <w:rsid w:val="00806C7A"/>
    <w:rsid w:val="008074D5"/>
    <w:rsid w:val="00807FE9"/>
    <w:rsid w:val="008224B6"/>
    <w:rsid w:val="008226FB"/>
    <w:rsid w:val="00826BE4"/>
    <w:rsid w:val="00831B01"/>
    <w:rsid w:val="00841764"/>
    <w:rsid w:val="00843B00"/>
    <w:rsid w:val="00845A36"/>
    <w:rsid w:val="00850679"/>
    <w:rsid w:val="008560C3"/>
    <w:rsid w:val="00890E5B"/>
    <w:rsid w:val="008A1F1B"/>
    <w:rsid w:val="008A69B9"/>
    <w:rsid w:val="008A7057"/>
    <w:rsid w:val="008B1273"/>
    <w:rsid w:val="008C3881"/>
    <w:rsid w:val="008C7119"/>
    <w:rsid w:val="008D04B4"/>
    <w:rsid w:val="008D26C7"/>
    <w:rsid w:val="008D492B"/>
    <w:rsid w:val="008D51E4"/>
    <w:rsid w:val="008D6E8E"/>
    <w:rsid w:val="008E74CC"/>
    <w:rsid w:val="008E7927"/>
    <w:rsid w:val="008F15A5"/>
    <w:rsid w:val="008F7A5A"/>
    <w:rsid w:val="00904CA4"/>
    <w:rsid w:val="009102B2"/>
    <w:rsid w:val="0091387B"/>
    <w:rsid w:val="009160F6"/>
    <w:rsid w:val="009231FA"/>
    <w:rsid w:val="009413F6"/>
    <w:rsid w:val="009573F0"/>
    <w:rsid w:val="00961F0F"/>
    <w:rsid w:val="00973EB1"/>
    <w:rsid w:val="00976755"/>
    <w:rsid w:val="00981209"/>
    <w:rsid w:val="00996BFB"/>
    <w:rsid w:val="00997735"/>
    <w:rsid w:val="009A72A5"/>
    <w:rsid w:val="009B314C"/>
    <w:rsid w:val="009B6A99"/>
    <w:rsid w:val="009C1854"/>
    <w:rsid w:val="009C7FFB"/>
    <w:rsid w:val="009D23D6"/>
    <w:rsid w:val="009D399F"/>
    <w:rsid w:val="009D4EF4"/>
    <w:rsid w:val="009E6762"/>
    <w:rsid w:val="009F78F1"/>
    <w:rsid w:val="009F7AC8"/>
    <w:rsid w:val="00A00FA5"/>
    <w:rsid w:val="00A17F65"/>
    <w:rsid w:val="00A254D8"/>
    <w:rsid w:val="00A313A7"/>
    <w:rsid w:val="00A43397"/>
    <w:rsid w:val="00A4468D"/>
    <w:rsid w:val="00A77CA1"/>
    <w:rsid w:val="00A81B6C"/>
    <w:rsid w:val="00A9180A"/>
    <w:rsid w:val="00AA1919"/>
    <w:rsid w:val="00AA2CFC"/>
    <w:rsid w:val="00AB176E"/>
    <w:rsid w:val="00AB4557"/>
    <w:rsid w:val="00AE0624"/>
    <w:rsid w:val="00AE06D9"/>
    <w:rsid w:val="00AE4342"/>
    <w:rsid w:val="00AF0A0B"/>
    <w:rsid w:val="00AF6913"/>
    <w:rsid w:val="00B03267"/>
    <w:rsid w:val="00B11FB3"/>
    <w:rsid w:val="00B20805"/>
    <w:rsid w:val="00B23B66"/>
    <w:rsid w:val="00B25577"/>
    <w:rsid w:val="00B400F3"/>
    <w:rsid w:val="00B4577F"/>
    <w:rsid w:val="00B52341"/>
    <w:rsid w:val="00B53A4F"/>
    <w:rsid w:val="00B65017"/>
    <w:rsid w:val="00B731B9"/>
    <w:rsid w:val="00B76FE3"/>
    <w:rsid w:val="00BA1897"/>
    <w:rsid w:val="00BA3E56"/>
    <w:rsid w:val="00BB08FE"/>
    <w:rsid w:val="00BD2243"/>
    <w:rsid w:val="00BD7155"/>
    <w:rsid w:val="00BE00D7"/>
    <w:rsid w:val="00BE0203"/>
    <w:rsid w:val="00BE509B"/>
    <w:rsid w:val="00BE618C"/>
    <w:rsid w:val="00BE6B75"/>
    <w:rsid w:val="00C00A2D"/>
    <w:rsid w:val="00C02A79"/>
    <w:rsid w:val="00C048E7"/>
    <w:rsid w:val="00C0791E"/>
    <w:rsid w:val="00C2096B"/>
    <w:rsid w:val="00C24168"/>
    <w:rsid w:val="00C27137"/>
    <w:rsid w:val="00C32825"/>
    <w:rsid w:val="00C34FCB"/>
    <w:rsid w:val="00C35E2F"/>
    <w:rsid w:val="00C45260"/>
    <w:rsid w:val="00C6017A"/>
    <w:rsid w:val="00C727B3"/>
    <w:rsid w:val="00C76D2E"/>
    <w:rsid w:val="00C81116"/>
    <w:rsid w:val="00C91587"/>
    <w:rsid w:val="00C95677"/>
    <w:rsid w:val="00CA1054"/>
    <w:rsid w:val="00CA1A71"/>
    <w:rsid w:val="00CA1FCF"/>
    <w:rsid w:val="00CA3057"/>
    <w:rsid w:val="00CB1438"/>
    <w:rsid w:val="00CB2E2A"/>
    <w:rsid w:val="00CB7F25"/>
    <w:rsid w:val="00CC518B"/>
    <w:rsid w:val="00CE03CA"/>
    <w:rsid w:val="00CE2166"/>
    <w:rsid w:val="00D017A8"/>
    <w:rsid w:val="00D22310"/>
    <w:rsid w:val="00D23448"/>
    <w:rsid w:val="00D24292"/>
    <w:rsid w:val="00D33970"/>
    <w:rsid w:val="00D40D23"/>
    <w:rsid w:val="00D45D0C"/>
    <w:rsid w:val="00D54B8B"/>
    <w:rsid w:val="00D62C9A"/>
    <w:rsid w:val="00D6313B"/>
    <w:rsid w:val="00D63AE0"/>
    <w:rsid w:val="00D744EE"/>
    <w:rsid w:val="00D75309"/>
    <w:rsid w:val="00D75948"/>
    <w:rsid w:val="00D77BF0"/>
    <w:rsid w:val="00DA48B9"/>
    <w:rsid w:val="00DB58B6"/>
    <w:rsid w:val="00DC10F2"/>
    <w:rsid w:val="00DC7B85"/>
    <w:rsid w:val="00DD059C"/>
    <w:rsid w:val="00DD3FEE"/>
    <w:rsid w:val="00DD499D"/>
    <w:rsid w:val="00DE1483"/>
    <w:rsid w:val="00DE5064"/>
    <w:rsid w:val="00DE7F16"/>
    <w:rsid w:val="00DF2952"/>
    <w:rsid w:val="00DF3350"/>
    <w:rsid w:val="00E00C8D"/>
    <w:rsid w:val="00E06EF1"/>
    <w:rsid w:val="00E12972"/>
    <w:rsid w:val="00E151D4"/>
    <w:rsid w:val="00E21966"/>
    <w:rsid w:val="00E322B9"/>
    <w:rsid w:val="00E43625"/>
    <w:rsid w:val="00E5216B"/>
    <w:rsid w:val="00E653F7"/>
    <w:rsid w:val="00E66665"/>
    <w:rsid w:val="00E66F54"/>
    <w:rsid w:val="00EA387C"/>
    <w:rsid w:val="00EB5170"/>
    <w:rsid w:val="00EC0864"/>
    <w:rsid w:val="00ED48D7"/>
    <w:rsid w:val="00ED6409"/>
    <w:rsid w:val="00EE2917"/>
    <w:rsid w:val="00EE6BCA"/>
    <w:rsid w:val="00EE7323"/>
    <w:rsid w:val="00EE7AD5"/>
    <w:rsid w:val="00F151FB"/>
    <w:rsid w:val="00F2143F"/>
    <w:rsid w:val="00F26C6E"/>
    <w:rsid w:val="00F40E98"/>
    <w:rsid w:val="00F43D52"/>
    <w:rsid w:val="00F462FC"/>
    <w:rsid w:val="00F537A3"/>
    <w:rsid w:val="00F65EEC"/>
    <w:rsid w:val="00F75B1D"/>
    <w:rsid w:val="00F84453"/>
    <w:rsid w:val="00F939D0"/>
    <w:rsid w:val="00FA50B3"/>
    <w:rsid w:val="00FB073B"/>
    <w:rsid w:val="00FB5EF6"/>
    <w:rsid w:val="00FC101F"/>
    <w:rsid w:val="00FC2F58"/>
    <w:rsid w:val="00FC4EF6"/>
    <w:rsid w:val="00FC53FA"/>
    <w:rsid w:val="00FD2FA1"/>
    <w:rsid w:val="00FD4423"/>
    <w:rsid w:val="00FD4664"/>
    <w:rsid w:val="00FD78B7"/>
    <w:rsid w:val="00FE0A2A"/>
    <w:rsid w:val="00FE0F1E"/>
    <w:rsid w:val="00FE729E"/>
    <w:rsid w:val="00FF041C"/>
    <w:rsid w:val="02613DE6"/>
    <w:rsid w:val="11B71FFC"/>
    <w:rsid w:val="134A4558"/>
    <w:rsid w:val="35247098"/>
    <w:rsid w:val="683552A0"/>
    <w:rsid w:val="7199526A"/>
    <w:rsid w:val="76A46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15"/>
    <w:qFormat/>
    <w:uiPriority w:val="99"/>
    <w:pPr>
      <w:keepNext/>
      <w:keepLines/>
      <w:spacing w:before="260" w:after="260" w:line="416" w:lineRule="auto"/>
      <w:outlineLvl w:val="2"/>
    </w:pPr>
    <w:rPr>
      <w:rFonts w:ascii="??" w:hAnsi="??" w:cs="??"/>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9"/>
    <w:qFormat/>
    <w:uiPriority w:val="0"/>
    <w:pPr>
      <w:spacing w:after="120"/>
    </w:pPr>
    <w:rPr>
      <w:rFonts w:ascii="Times New Roman" w:hAnsi="Times New Roman" w:eastAsia="仿宋_GB2312" w:cs="仿宋_GB2312"/>
      <w:bCs/>
      <w:sz w:val="32"/>
      <w:szCs w:val="32"/>
    </w:rPr>
  </w:style>
  <w:style w:type="paragraph" w:styleId="4">
    <w:name w:val="Balloon Text"/>
    <w:basedOn w:val="1"/>
    <w:link w:val="17"/>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footnote text"/>
    <w:basedOn w:val="1"/>
    <w:link w:val="18"/>
    <w:qFormat/>
    <w:uiPriority w:val="99"/>
    <w:pPr>
      <w:snapToGrid w:val="0"/>
      <w:jc w:val="left"/>
    </w:pPr>
    <w:rPr>
      <w:sz w:val="18"/>
      <w:szCs w:val="18"/>
    </w:rPr>
  </w:style>
  <w:style w:type="paragraph" w:styleId="8">
    <w:name w:val="Normal (Web)"/>
    <w:basedOn w:val="1"/>
    <w:qFormat/>
    <w:uiPriority w:val="0"/>
    <w:pPr>
      <w:spacing w:after="150"/>
      <w:jc w:val="left"/>
    </w:pPr>
    <w:rPr>
      <w:kern w:val="0"/>
      <w:sz w:val="24"/>
    </w:rPr>
  </w:style>
  <w:style w:type="table" w:styleId="10">
    <w:name w:val="Table Grid"/>
    <w:basedOn w:val="9"/>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semiHidden/>
    <w:unhideWhenUsed/>
    <w:uiPriority w:val="99"/>
    <w:rPr>
      <w:color w:val="0000FF"/>
      <w:u w:val="single"/>
    </w:rPr>
  </w:style>
  <w:style w:type="character" w:customStyle="1" w:styleId="13">
    <w:name w:val="页眉 Char"/>
    <w:basedOn w:val="11"/>
    <w:link w:val="6"/>
    <w:qFormat/>
    <w:uiPriority w:val="99"/>
    <w:rPr>
      <w:sz w:val="18"/>
      <w:szCs w:val="18"/>
    </w:rPr>
  </w:style>
  <w:style w:type="character" w:customStyle="1" w:styleId="14">
    <w:name w:val="页脚 Char"/>
    <w:basedOn w:val="11"/>
    <w:link w:val="5"/>
    <w:qFormat/>
    <w:uiPriority w:val="99"/>
    <w:rPr>
      <w:sz w:val="18"/>
      <w:szCs w:val="18"/>
    </w:rPr>
  </w:style>
  <w:style w:type="character" w:customStyle="1" w:styleId="15">
    <w:name w:val="标题 3 Char"/>
    <w:basedOn w:val="11"/>
    <w:link w:val="2"/>
    <w:qFormat/>
    <w:uiPriority w:val="99"/>
    <w:rPr>
      <w:rFonts w:ascii="??" w:hAnsi="??" w:eastAsia="宋体" w:cs="??"/>
      <w:b/>
      <w:bCs/>
      <w:sz w:val="32"/>
      <w:szCs w:val="32"/>
    </w:rPr>
  </w:style>
  <w:style w:type="paragraph" w:customStyle="1" w:styleId="16">
    <w:name w:val="正文 New"/>
    <w:qFormat/>
    <w:uiPriority w:val="0"/>
    <w:pPr>
      <w:widowControl w:val="0"/>
      <w:jc w:val="both"/>
    </w:pPr>
    <w:rPr>
      <w:rFonts w:ascii="Times New Roman" w:hAnsi="Times New Roman" w:eastAsia="宋体" w:cs="Times New Roman"/>
      <w:kern w:val="2"/>
      <w:sz w:val="21"/>
      <w:szCs w:val="20"/>
      <w:lang w:val="en-US" w:eastAsia="zh-CN" w:bidi="ar-SA"/>
    </w:rPr>
  </w:style>
  <w:style w:type="character" w:customStyle="1" w:styleId="17">
    <w:name w:val="批注框文本 Char"/>
    <w:basedOn w:val="11"/>
    <w:link w:val="4"/>
    <w:semiHidden/>
    <w:qFormat/>
    <w:uiPriority w:val="99"/>
    <w:rPr>
      <w:rFonts w:ascii="Calibri" w:hAnsi="Calibri" w:eastAsia="宋体" w:cs="Times New Roman"/>
      <w:sz w:val="18"/>
      <w:szCs w:val="18"/>
    </w:rPr>
  </w:style>
  <w:style w:type="character" w:customStyle="1" w:styleId="18">
    <w:name w:val="脚注文本 Char"/>
    <w:basedOn w:val="11"/>
    <w:link w:val="7"/>
    <w:qFormat/>
    <w:uiPriority w:val="99"/>
    <w:rPr>
      <w:rFonts w:ascii="Calibri" w:hAnsi="Calibri" w:eastAsia="宋体" w:cs="Times New Roman"/>
      <w:sz w:val="18"/>
      <w:szCs w:val="18"/>
    </w:rPr>
  </w:style>
  <w:style w:type="character" w:customStyle="1" w:styleId="19">
    <w:name w:val="正文文本 Char"/>
    <w:basedOn w:val="11"/>
    <w:link w:val="3"/>
    <w:qFormat/>
    <w:uiPriority w:val="0"/>
    <w:rPr>
      <w:rFonts w:ascii="Times New Roman" w:hAnsi="Times New Roman" w:eastAsia="仿宋_GB2312" w:cs="仿宋_GB2312"/>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zibo.gov.cn/jcms/jcms_files/jcms1/web58/site/picture/0/fd0eedfee28241d8ab65f30db44e3cf3.jpg" TargetMode="Externa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EF32CF-64EC-4BCD-9154-98A4D2567C21}">
  <ds:schemaRefs/>
</ds:datastoreItem>
</file>

<file path=docProps/app.xml><?xml version="1.0" encoding="utf-8"?>
<Properties xmlns="http://schemas.openxmlformats.org/officeDocument/2006/extended-properties" xmlns:vt="http://schemas.openxmlformats.org/officeDocument/2006/docPropsVTypes">
  <Template>Normal</Template>
  <Company>gq</Company>
  <Pages>6</Pages>
  <Words>1804</Words>
  <Characters>1886</Characters>
  <Lines>30</Lines>
  <Paragraphs>8</Paragraphs>
  <TotalTime>47</TotalTime>
  <ScaleCrop>false</ScaleCrop>
  <LinksUpToDate>false</LinksUpToDate>
  <CharactersWithSpaces>1937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2019-10-14T08:08:00Z</dcterms:created>
  <dc:creator>lb</dc:creator>
  <cp:lastModifiedBy>路漫漫其修远兮</cp:lastModifiedBy>
  <cp:lastPrinted>2020-06-05T08:04:00Z</cp:lastPrinted>
  <dcterms:modified xsi:type="dcterms:W3CDTF">2020-06-30T07:57:58Z</dcterms:modified>
  <cp:revision>327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