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napToGrid w:val="0"/>
        <w:spacing w:line="560" w:lineRule="exact"/>
        <w:jc w:val="center"/>
        <w:rPr>
          <w:rFonts w:ascii="方正小标宋简体" w:hAnsi="黑体" w:eastAsia="方正小标宋简体" w:cs="Times New Roman"/>
          <w:snapToGrid w:val="0"/>
          <w:kern w:val="0"/>
          <w:sz w:val="44"/>
          <w:szCs w:val="44"/>
        </w:rPr>
      </w:pPr>
      <w:r>
        <w:rPr>
          <w:rFonts w:hint="eastAsia" w:ascii="方正小标宋简体" w:hAnsi="黑体" w:eastAsia="方正小标宋简体" w:cs="Times New Roman"/>
          <w:snapToGrid w:val="0"/>
          <w:kern w:val="0"/>
          <w:sz w:val="44"/>
          <w:szCs w:val="44"/>
        </w:rPr>
        <w:t>高青县花沟镇人民政府</w:t>
      </w:r>
    </w:p>
    <w:p>
      <w:pPr>
        <w:autoSpaceDE w:val="0"/>
        <w:autoSpaceDN w:val="0"/>
        <w:snapToGrid w:val="0"/>
        <w:spacing w:line="560" w:lineRule="exact"/>
        <w:jc w:val="center"/>
        <w:rPr>
          <w:rFonts w:ascii="方正小标宋简体" w:hAnsi="黑体" w:eastAsia="方正小标宋简体" w:cs="Times New Roman"/>
          <w:snapToGrid w:val="0"/>
          <w:kern w:val="0"/>
          <w:sz w:val="44"/>
          <w:szCs w:val="44"/>
        </w:rPr>
      </w:pPr>
      <w:r>
        <w:rPr>
          <w:rFonts w:hint="eastAsia" w:ascii="方正小标宋简体" w:hAnsi="黑体" w:eastAsia="方正小标宋简体" w:cs="Times New Roman"/>
          <w:snapToGrid w:val="0"/>
          <w:kern w:val="0"/>
          <w:sz w:val="44"/>
          <w:szCs w:val="44"/>
        </w:rPr>
        <w:t>2023年政府信息公开工作年度报告</w:t>
      </w:r>
    </w:p>
    <w:p>
      <w:pPr>
        <w:autoSpaceDE w:val="0"/>
        <w:autoSpaceDN w:val="0"/>
        <w:snapToGrid w:val="0"/>
        <w:spacing w:line="560" w:lineRule="exact"/>
        <w:jc w:val="center"/>
        <w:rPr>
          <w:rFonts w:ascii="方正小标宋简体" w:hAnsi="黑体" w:eastAsia="方正小标宋简体" w:cs="Times New Roman"/>
          <w:snapToGrid w:val="0"/>
          <w:kern w:val="0"/>
          <w:sz w:val="44"/>
          <w:szCs w:val="44"/>
        </w:rPr>
      </w:pPr>
    </w:p>
    <w:p>
      <w:pPr>
        <w:spacing w:line="60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本报告根据《中华人民共和国政府信息公开条例》（国务院令第711号，以下简称《条例》）和《国务院办公厅政府信息与政务公开办公室关于印发&lt;中华人民共和国政府信息公开工作年度报告格式&gt;的通知》（国办公开办函〔</w:t>
      </w:r>
      <w:r>
        <w:rPr>
          <w:rFonts w:ascii="仿宋_GB2312" w:hAnsi="Times New Roman" w:eastAsia="仿宋_GB2312" w:cs="Times New Roman"/>
          <w:snapToGrid w:val="0"/>
          <w:kern w:val="0"/>
          <w:sz w:val="32"/>
          <w:szCs w:val="32"/>
        </w:rPr>
        <w:t>2021〕30号</w:t>
      </w:r>
      <w:r>
        <w:rPr>
          <w:rFonts w:hint="eastAsia" w:ascii="仿宋_GB2312" w:hAnsi="Times New Roman" w:eastAsia="仿宋_GB2312" w:cs="Times New Roman"/>
          <w:snapToGrid w:val="0"/>
          <w:kern w:val="0"/>
          <w:sz w:val="32"/>
          <w:szCs w:val="32"/>
        </w:rPr>
        <w:t>）相关要求编制。报告全文分总体情况、主动公开政府信息情况、收到和处理政府信息公开申请情况、政府信息公开行政复议和行政诉讼情况、存在的主要问题及改进情况、其他需要报告的事项六个部分。</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报告中所列数据统计期限自2023年1月1日始，至2023年12月31日止。报告电子版可在高青县人民政府门户网站（www.gaoqing.gov.cn）查阅和下载。如对报告内容有疑问，请与高青县花沟镇人民政府办公室联系（地址：山东省淄博市高青县花沟镇田兴路1号；邮编：256305；电话：0533-6785304；传真：0533-6785370；邮箱：</w:t>
      </w:r>
      <w:r>
        <w:fldChar w:fldCharType="begin"/>
      </w:r>
      <w:r>
        <w:instrText xml:space="preserve"> HYPERLINK "mailto:gqxhgz@zb.shandong.cn" </w:instrText>
      </w:r>
      <w:r>
        <w:fldChar w:fldCharType="separate"/>
      </w:r>
      <w:r>
        <w:rPr>
          <w:rFonts w:hint="eastAsia" w:ascii="仿宋_GB2312" w:eastAsia="仿宋_GB2312"/>
          <w:sz w:val="32"/>
          <w:szCs w:val="32"/>
        </w:rPr>
        <w:t>gqxhgz@zb.shandong.cn</w:t>
      </w:r>
      <w:r>
        <w:rPr>
          <w:rFonts w:hint="eastAsia" w:ascii="仿宋_GB2312" w:eastAsia="仿宋_GB2312"/>
          <w:sz w:val="32"/>
          <w:szCs w:val="32"/>
        </w:rPr>
        <w:fldChar w:fldCharType="end"/>
      </w:r>
      <w:r>
        <w:rPr>
          <w:rFonts w:hint="eastAsia" w:ascii="仿宋_GB2312" w:hAnsi="Times New Roman" w:eastAsia="仿宋_GB2312" w:cs="Times New Roman"/>
          <w:snapToGrid w:val="0"/>
          <w:kern w:val="0"/>
          <w:sz w:val="32"/>
          <w:szCs w:val="32"/>
        </w:rPr>
        <w:t>）。</w:t>
      </w:r>
    </w:p>
    <w:p>
      <w:pPr>
        <w:autoSpaceDE w:val="0"/>
        <w:autoSpaceDN w:val="0"/>
        <w:snapToGrid w:val="0"/>
        <w:spacing w:line="560" w:lineRule="exact"/>
        <w:ind w:firstLine="640" w:firstLineChars="200"/>
        <w:rPr>
          <w:rFonts w:ascii="黑体" w:hAnsi="黑体" w:eastAsia="黑体" w:cs="黑体"/>
          <w:b/>
          <w:sz w:val="32"/>
          <w:szCs w:val="32"/>
        </w:rPr>
      </w:pPr>
      <w:r>
        <w:rPr>
          <w:rStyle w:val="9"/>
          <w:rFonts w:hint="eastAsia" w:ascii="黑体" w:hAnsi="黑体" w:eastAsia="黑体" w:cs="黑体"/>
          <w:b w:val="0"/>
          <w:sz w:val="32"/>
          <w:szCs w:val="32"/>
        </w:rPr>
        <w:t>一、总体情况</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2023年，高青县花沟镇人民政府坚持以习近平新时代中国特色社会主义思想为指导，认真贯彻落实《条例》要求，不断深化公开内容，加强公开平台建设，创新公开方式，全面提升政务公开工作水平。</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（一）主动公开</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建立政务公开常态化工作清单，将政务公开与日常工作将结合，任务落实在平时。做好财政预决算、社会保障、义务教育等重点领域信息公开工作，依托政务新媒体发布各类信息。2023年累计公开信息330余条，比上年度增加11.33%，其中通过政府网站公开信息60余条，通过政务新媒体公开信息270余条。不断规范政策解读，通过图文解读等方式对政策文件进行解读，制发政策解读材料3件。做好回应关切，办理12345热线2016件，满意率为94.99%。</w:t>
      </w:r>
    </w:p>
    <w:p>
      <w:pPr>
        <w:pStyle w:val="5"/>
        <w:widowControl/>
        <w:jc w:val="center"/>
        <w:rPr>
          <w:sz w:val="32"/>
          <w:szCs w:val="32"/>
        </w:rPr>
      </w:pPr>
      <w:r>
        <w:rPr>
          <w:rFonts w:hint="eastAsia"/>
          <w:sz w:val="32"/>
          <w:szCs w:val="32"/>
        </w:rPr>
        <w:drawing>
          <wp:inline distT="0" distB="0" distL="114300" distR="114300">
            <wp:extent cx="4321810" cy="2397760"/>
            <wp:effectExtent l="0" t="0" r="2540" b="254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4"/>
                    <a:stretch>
                      <a:fillRect/>
                    </a:stretch>
                  </pic:blipFill>
                  <pic:spPr>
                    <a:xfrm>
                      <a:off x="0" y="0"/>
                      <a:ext cx="4323316" cy="2398721"/>
                    </a:xfrm>
                    <a:prstGeom prst="rect">
                      <a:avLst/>
                    </a:prstGeom>
                  </pic:spPr>
                </pic:pic>
              </a:graphicData>
            </a:graphic>
          </wp:inline>
        </w:drawing>
      </w:r>
      <w:r>
        <w:rPr>
          <w:rFonts w:hint="eastAsia"/>
          <w:sz w:val="32"/>
          <w:szCs w:val="32"/>
        </w:rPr>
        <w:drawing>
          <wp:inline distT="0" distB="0" distL="114300" distR="114300">
            <wp:extent cx="4321810" cy="2277110"/>
            <wp:effectExtent l="0" t="0" r="2540" b="8890"/>
            <wp:docPr id="5" name="图片 5"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1"/>
                    </pic:cNvPicPr>
                  </pic:nvPicPr>
                  <pic:blipFill>
                    <a:blip r:embed="rId5"/>
                    <a:stretch>
                      <a:fillRect/>
                    </a:stretch>
                  </pic:blipFill>
                  <pic:spPr>
                    <a:xfrm>
                      <a:off x="0" y="0"/>
                      <a:ext cx="4332254" cy="2282865"/>
                    </a:xfrm>
                    <a:prstGeom prst="rect">
                      <a:avLst/>
                    </a:prstGeom>
                  </pic:spPr>
                </pic:pic>
              </a:graphicData>
            </a:graphic>
          </wp:inline>
        </w:drawing>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（二）依申请公开</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优化依申请公开受理渠道，在政府网站设立依申请公开专栏，安排专人负责查收依申请公开件，确保接收渠道畅通。2023年未收到政府信息公开申请，上年度结转0件。未因政府信息公开被申请行政复议、提起行政诉讼。</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（三）政府信息管理</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调整政府信息主动公开基本目录，对目录架构、内容进行更新。规范政府信息全生命周期管理，坚持政府信息公开审核，建立“谁制作、谁审核、谁公开、谁负责”的审核发布机制，将信息管理责任贯穿于整个政府信息公开工作中，对内容需要变更或过期失效的信息文件进行改正或清理，确保信息公开内容的规范性、时效性。加强政府信息公开涉密审查，未发生泄密事件。</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（四）政府信息公开平台建设</w:t>
      </w:r>
    </w:p>
    <w:p>
      <w:pPr>
        <w:autoSpaceDE w:val="0"/>
        <w:autoSpaceDN w:val="0"/>
        <w:snapToGrid w:val="0"/>
        <w:spacing w:line="560" w:lineRule="exact"/>
        <w:ind w:firstLine="640" w:firstLineChars="200"/>
        <w:rPr>
          <w:rFonts w:ascii="楷体_GB2312" w:eastAsia="楷体_GB2312"/>
          <w:sz w:val="32"/>
          <w:szCs w:val="32"/>
        </w:rPr>
      </w:pPr>
      <w:r>
        <w:rPr>
          <w:rFonts w:hint="eastAsia" w:ascii="仿宋_GB2312" w:hAnsi="Times New Roman" w:eastAsia="仿宋_GB2312" w:cs="Times New Roman"/>
          <w:snapToGrid w:val="0"/>
          <w:kern w:val="0"/>
          <w:sz w:val="32"/>
          <w:szCs w:val="32"/>
        </w:rPr>
        <w:t>继续优化政府网站栏目设置，关停信息更新不及时栏目1个。常态化做好政务新媒体运行维护，“花沟镇人民政府”微信公众号及时发布政策解读、惠农信息、社会保险等信息，并做好信息更新。进一步完善政务公开专区建设，优化专区功能配备，切实提升线下公开凭条建设水平。</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（五）监督保障</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调整政务公开领导小组，根据领导班子人事调整，更换小组副组长两名，增加小组成员一名，召开政务公开工作推进会，对政务公开工作开展情况进行总结，认真查摆存在问题和短板，并就下一阶段工作作出部署安排。党政办公室负责政府信息公开工作，配备2名专职人员。持续落实政务公开培训机制，开展“政务公开”大讲堂1次，就如何做好政务公开工作进行专题授课。</w:t>
      </w:r>
    </w:p>
    <w:p>
      <w:pPr>
        <w:spacing w:after="156" w:afterLines="50"/>
        <w:ind w:firstLine="640" w:firstLineChars="200"/>
        <w:rPr>
          <w:rFonts w:ascii="黑体" w:hAnsi="黑体" w:eastAsia="黑体"/>
          <w:sz w:val="32"/>
          <w:szCs w:val="32"/>
        </w:rPr>
      </w:pPr>
    </w:p>
    <w:p>
      <w:pPr>
        <w:spacing w:after="156" w:afterLines="50"/>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黑体" w:hAnsi="黑体" w:eastAsia="黑体"/>
                <w:sz w:val="20"/>
              </w:rPr>
            </w:pPr>
            <w:r>
              <w:rPr>
                <w:rFonts w:hint="eastAsia" w:ascii="宋体" w:hAnsi="宋体" w:eastAsia="宋体" w:cs="宋体"/>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2130" w:type="dxa"/>
            <w:vAlign w:val="center"/>
          </w:tcPr>
          <w:p>
            <w:pPr>
              <w:widowControl/>
              <w:jc w:val="center"/>
              <w:rPr>
                <w:rFonts w:ascii="宋体" w:hAnsi="宋体" w:eastAsia="宋体" w:cs="宋体"/>
                <w:sz w:val="20"/>
              </w:rPr>
            </w:pPr>
            <w:r>
              <w:rPr>
                <w:rFonts w:hint="eastAsia" w:ascii="宋体" w:hAnsi="宋体" w:eastAsia="宋体" w:cs="宋体"/>
                <w:color w:val="000000"/>
                <w:sz w:val="20"/>
              </w:rPr>
              <w:t>本年</w:t>
            </w:r>
            <w:r>
              <w:rPr>
                <w:rFonts w:ascii="宋体" w:hAnsi="宋体" w:eastAsia="宋体" w:cs="Calibri"/>
                <w:sz w:val="20"/>
              </w:rPr>
              <w:t>制</w:t>
            </w:r>
            <w:r>
              <w:rPr>
                <w:rFonts w:hint="eastAsia" w:ascii="宋体" w:hAnsi="宋体" w:eastAsia="宋体" w:cs="宋体"/>
                <w:sz w:val="20"/>
              </w:rPr>
              <w:t>发件</w:t>
            </w:r>
            <w:r>
              <w:rPr>
                <w:rFonts w:ascii="宋体" w:hAnsi="宋体" w:eastAsia="宋体" w:cs="Calibri"/>
                <w:sz w:val="20"/>
              </w:rPr>
              <w:t>数</w:t>
            </w:r>
          </w:p>
        </w:tc>
        <w:tc>
          <w:tcPr>
            <w:tcW w:w="2131" w:type="dxa"/>
            <w:vAlign w:val="center"/>
          </w:tcPr>
          <w:p>
            <w:pPr>
              <w:widowControl/>
              <w:jc w:val="center"/>
              <w:rPr>
                <w:rFonts w:ascii="宋体" w:hAnsi="宋体" w:eastAsia="宋体" w:cs="宋体"/>
                <w:sz w:val="20"/>
              </w:rPr>
            </w:pPr>
            <w:r>
              <w:rPr>
                <w:rFonts w:hint="eastAsia" w:ascii="宋体" w:hAnsi="宋体" w:eastAsia="宋体" w:cs="宋体"/>
                <w:color w:val="000000"/>
                <w:sz w:val="20"/>
              </w:rPr>
              <w:t>本年废止件数</w:t>
            </w:r>
          </w:p>
        </w:tc>
        <w:tc>
          <w:tcPr>
            <w:tcW w:w="2131" w:type="dxa"/>
            <w:vAlign w:val="center"/>
          </w:tcPr>
          <w:p>
            <w:pPr>
              <w:widowControl/>
              <w:jc w:val="center"/>
              <w:rPr>
                <w:rFonts w:ascii="宋体" w:hAnsi="宋体" w:eastAsia="宋体" w:cs="宋体"/>
                <w:sz w:val="20"/>
              </w:rPr>
            </w:pPr>
            <w:r>
              <w:rPr>
                <w:rFonts w:hint="eastAsia" w:ascii="宋体" w:hAnsi="宋体" w:eastAsia="宋体" w:cs="宋体"/>
                <w:color w:val="000000"/>
                <w:sz w:val="20"/>
              </w:rPr>
              <w:t>现行有效件</w:t>
            </w:r>
            <w:r>
              <w:rPr>
                <w:rFonts w:ascii="宋体" w:hAnsi="宋体" w:eastAsia="宋体" w:cs="Calibri"/>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规章</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pPr>
            <w:r>
              <w:rPr>
                <w:rFonts w:hint="eastAsia" w:ascii="黑体" w:hAnsi="黑体" w:eastAsia="黑体"/>
                <w:sz w:val="20"/>
              </w:rPr>
              <w:t>0</w:t>
            </w:r>
          </w:p>
        </w:tc>
        <w:tc>
          <w:tcPr>
            <w:tcW w:w="2131" w:type="dxa"/>
            <w:vAlign w:val="center"/>
          </w:tcPr>
          <w:p>
            <w:pPr>
              <w:jc w:val="cente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行政规范性文件</w:t>
            </w:r>
          </w:p>
        </w:tc>
        <w:tc>
          <w:tcPr>
            <w:tcW w:w="2130" w:type="dxa"/>
            <w:vAlign w:val="center"/>
          </w:tcPr>
          <w:p>
            <w:pPr>
              <w:jc w:val="center"/>
              <w:rPr>
                <w:rFonts w:ascii="黑体" w:hAnsi="黑体" w:eastAsia="黑体"/>
                <w:sz w:val="20"/>
              </w:rPr>
            </w:pPr>
            <w:r>
              <w:rPr>
                <w:rFonts w:hint="eastAsia" w:ascii="黑体" w:hAnsi="黑体" w:eastAsia="黑体"/>
                <w:sz w:val="20"/>
              </w:rPr>
              <w:t>0</w:t>
            </w:r>
          </w:p>
        </w:tc>
        <w:tc>
          <w:tcPr>
            <w:tcW w:w="2131" w:type="dxa"/>
            <w:vAlign w:val="center"/>
          </w:tcPr>
          <w:p>
            <w:pPr>
              <w:jc w:val="center"/>
            </w:pPr>
            <w:r>
              <w:rPr>
                <w:rFonts w:hint="eastAsia" w:ascii="黑体" w:hAnsi="黑体" w:eastAsia="黑体"/>
                <w:sz w:val="20"/>
              </w:rPr>
              <w:t>0</w:t>
            </w:r>
          </w:p>
        </w:tc>
        <w:tc>
          <w:tcPr>
            <w:tcW w:w="2131" w:type="dxa"/>
            <w:vAlign w:val="center"/>
          </w:tcPr>
          <w:p>
            <w:pPr>
              <w:jc w:val="cente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eastAsia="宋体" w:cs="宋体"/>
                <w:color w:val="000000"/>
                <w:sz w:val="20"/>
              </w:rPr>
            </w:pPr>
            <w:r>
              <w:rPr>
                <w:rFonts w:hint="eastAsia" w:ascii="宋体" w:hAnsi="宋体" w:eastAsia="宋体" w:cs="宋体"/>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eastAsia="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行政许可</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eastAsia="宋体" w:cs="宋体"/>
                <w:color w:val="000000"/>
                <w:sz w:val="20"/>
              </w:rPr>
            </w:pPr>
            <w:r>
              <w:rPr>
                <w:rFonts w:hint="eastAsia" w:ascii="宋体" w:hAnsi="宋体" w:eastAsia="宋体" w:cs="宋体"/>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eastAsia="宋体" w:cs="宋体"/>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行政处罚</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行政强制</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jc w:val="center"/>
              <w:rPr>
                <w:rFonts w:ascii="宋体" w:hAnsi="宋体" w:eastAsia="宋体" w:cs="宋体"/>
                <w:color w:val="000000"/>
                <w:sz w:val="20"/>
              </w:rPr>
            </w:pPr>
            <w:r>
              <w:rPr>
                <w:rFonts w:hint="eastAsia" w:ascii="宋体" w:hAnsi="宋体" w:eastAsia="宋体" w:cs="宋体"/>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jc w:val="center"/>
              <w:rPr>
                <w:rFonts w:ascii="宋体" w:hAnsi="宋体" w:eastAsia="宋体" w:cs="宋体"/>
                <w:color w:val="000000"/>
                <w:sz w:val="20"/>
              </w:rPr>
            </w:pPr>
            <w:r>
              <w:rPr>
                <w:rFonts w:hint="eastAsia" w:ascii="宋体" w:hAnsi="宋体" w:eastAsia="宋体" w:cs="宋体"/>
                <w:color w:val="000000"/>
                <w:sz w:val="20"/>
              </w:rPr>
              <w:t>信息内容</w:t>
            </w:r>
          </w:p>
        </w:tc>
        <w:tc>
          <w:tcPr>
            <w:tcW w:w="6392" w:type="dxa"/>
            <w:gridSpan w:val="3"/>
            <w:vAlign w:val="center"/>
          </w:tcPr>
          <w:p>
            <w:pPr>
              <w:jc w:val="center"/>
              <w:rPr>
                <w:rFonts w:ascii="黑体" w:hAnsi="黑体" w:eastAsia="黑体"/>
                <w:sz w:val="20"/>
              </w:rPr>
            </w:pPr>
            <w:r>
              <w:rPr>
                <w:rFonts w:hint="eastAsia" w:ascii="宋体" w:hAnsi="宋体" w:eastAsia="宋体" w:cs="宋体"/>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rPr>
                <w:rFonts w:ascii="宋体" w:hAnsi="宋体" w:eastAsia="宋体" w:cs="宋体"/>
                <w:color w:val="000000"/>
                <w:sz w:val="20"/>
              </w:rPr>
            </w:pPr>
            <w:r>
              <w:rPr>
                <w:rFonts w:hint="eastAsia" w:ascii="宋体" w:hAnsi="宋体" w:eastAsia="宋体" w:cs="宋体"/>
                <w:color w:val="000000"/>
                <w:sz w:val="20"/>
              </w:rPr>
              <w:t>行政事业性收费</w:t>
            </w:r>
          </w:p>
        </w:tc>
        <w:tc>
          <w:tcPr>
            <w:tcW w:w="6392" w:type="dxa"/>
            <w:gridSpan w:val="3"/>
            <w:vAlign w:val="center"/>
          </w:tcPr>
          <w:p>
            <w:pPr>
              <w:jc w:val="center"/>
              <w:rPr>
                <w:rFonts w:ascii="黑体" w:hAnsi="黑体" w:eastAsia="黑体"/>
                <w:sz w:val="20"/>
              </w:rPr>
            </w:pPr>
            <w:r>
              <w:rPr>
                <w:rFonts w:hint="eastAsia" w:ascii="黑体" w:hAnsi="黑体" w:eastAsia="黑体"/>
                <w:sz w:val="20"/>
              </w:rPr>
              <w:t>0</w:t>
            </w:r>
          </w:p>
        </w:tc>
      </w:tr>
    </w:tbl>
    <w:p>
      <w:pPr>
        <w:rPr>
          <w:rFonts w:ascii="黑体" w:hAnsi="黑体" w:eastAsia="黑体"/>
          <w:sz w:val="30"/>
          <w:szCs w:val="30"/>
        </w:rPr>
      </w:pPr>
    </w:p>
    <w:p>
      <w:pPr>
        <w:rPr>
          <w:rFonts w:ascii="黑体" w:hAnsi="黑体" w:eastAsia="黑体"/>
          <w:sz w:val="30"/>
          <w:szCs w:val="30"/>
        </w:rPr>
      </w:pPr>
    </w:p>
    <w:p>
      <w:pPr>
        <w:spacing w:after="156" w:afterLines="50"/>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eastAsia="宋体" w:cs="宋体"/>
                <w:sz w:val="24"/>
              </w:rPr>
            </w:pPr>
            <w:r>
              <w:rPr>
                <w:rFonts w:hint="eastAsia" w:ascii="楷体" w:hAnsi="楷体" w:eastAsia="楷体" w:cs="宋体"/>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850" w:type="dxa"/>
            <w:vMerge w:val="continue"/>
            <w:tcBorders>
              <w:top w:val="nil"/>
              <w:left w:val="nil"/>
              <w:bottom w:val="single" w:color="auto" w:sz="8" w:space="0"/>
              <w:right w:val="single" w:color="auto" w:sz="8" w:space="0"/>
            </w:tcBorders>
            <w:vAlign w:val="center"/>
          </w:tcPr>
          <w:p>
            <w:pPr>
              <w:widowControl/>
              <w:jc w:val="left"/>
              <w:rPr>
                <w:rFonts w:ascii="宋体" w:hAnsi="宋体" w:eastAsia="宋体" w:cs="宋体"/>
                <w:sz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商业</w:t>
            </w:r>
          </w:p>
          <w:p>
            <w:pPr>
              <w:widowControl/>
              <w:jc w:val="center"/>
              <w:rPr>
                <w:rFonts w:ascii="宋体" w:hAnsi="宋体" w:eastAsia="宋体" w:cs="宋体"/>
                <w:sz w:val="24"/>
              </w:rPr>
            </w:pPr>
            <w:r>
              <w:rPr>
                <w:rFonts w:hint="eastAsia" w:ascii="宋体" w:hAnsi="宋体" w:eastAsia="宋体" w:cs="宋体"/>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科研</w:t>
            </w:r>
          </w:p>
          <w:p>
            <w:pPr>
              <w:widowControl/>
              <w:jc w:val="center"/>
              <w:rPr>
                <w:rFonts w:ascii="宋体" w:hAnsi="宋体" w:eastAsia="宋体" w:cs="宋体"/>
                <w:sz w:val="24"/>
              </w:rPr>
            </w:pPr>
            <w:r>
              <w:rPr>
                <w:rFonts w:hint="eastAsia" w:ascii="宋体" w:hAnsi="宋体" w:eastAsia="宋体" w:cs="宋体"/>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宋体" w:hAnsi="宋体" w:eastAsia="宋体" w:cs="宋体"/>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（二）部分公开</w:t>
            </w:r>
            <w:r>
              <w:rPr>
                <w:rFonts w:hint="eastAsia" w:ascii="楷体" w:hAnsi="楷体" w:eastAsia="楷体" w:cs="宋体"/>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eastAsia="宋体" w:cs="宋体"/>
                <w:sz w:val="24"/>
              </w:rPr>
            </w:pPr>
            <w:r>
              <w:rPr>
                <w:rFonts w:hint="eastAsia" w:ascii="宋体" w:hAnsi="宋体" w:eastAsia="宋体" w:cs="宋体"/>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eastAsia="宋体" w:cs="宋体"/>
                <w:sz w:val="24"/>
              </w:rPr>
            </w:pPr>
            <w:r>
              <w:rPr>
                <w:rFonts w:hint="eastAsia" w:ascii="宋体" w:hAnsi="宋体" w:eastAsia="宋体" w:cs="宋体"/>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eastAsia="宋体" w:cs="宋体"/>
                <w:sz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eastAsia="宋体" w:cs="宋体"/>
                <w:sz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eastAsia="宋体" w:cs="宋体"/>
                <w:sz w:val="24"/>
              </w:rPr>
            </w:pPr>
            <w:r>
              <w:rPr>
                <w:rFonts w:hint="eastAsia" w:ascii="宋体" w:hAnsi="宋体" w:eastAsia="宋体" w:cs="宋体"/>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eastAsia="宋体" w:cs="宋体"/>
                <w:sz w:val="24"/>
              </w:rPr>
            </w:pPr>
            <w:r>
              <w:rPr>
                <w:rFonts w:hint="eastAsia" w:ascii="Calibri" w:hAnsi="Calibri" w:eastAsia="宋体" w:cs="Calibri"/>
                <w:sz w:val="20"/>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jc w:val="center"/>
            </w:pPr>
            <w:r>
              <w:rPr>
                <w:rFonts w:hint="eastAsia" w:ascii="Calibri" w:hAnsi="Calibri" w:eastAsia="宋体" w:cs="Calibri"/>
                <w:sz w:val="20"/>
              </w:rPr>
              <w:t>0</w:t>
            </w:r>
          </w:p>
        </w:tc>
      </w:tr>
    </w:tbl>
    <w:p>
      <w:pPr>
        <w:spacing w:after="156" w:afterLines="50"/>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CellMar>
            <w:top w:w="0" w:type="dxa"/>
            <w:left w:w="0" w:type="dxa"/>
            <w:bottom w:w="0" w:type="dxa"/>
            <w:right w:w="0" w:type="dxa"/>
          </w:tblCellMar>
        </w:tblPrEx>
        <w:trPr>
          <w:jc w:val="center"/>
        </w:trPr>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行政诉讼</w:t>
            </w:r>
          </w:p>
        </w:tc>
      </w:tr>
      <w:tr>
        <w:tblPrEx>
          <w:tblCellMar>
            <w:top w:w="0" w:type="dxa"/>
            <w:left w:w="0" w:type="dxa"/>
            <w:bottom w:w="0" w:type="dxa"/>
            <w:right w:w="0" w:type="dxa"/>
          </w:tblCellMar>
        </w:tblPrEx>
        <w:trPr>
          <w:jc w:val="center"/>
        </w:trPr>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结果维持</w:t>
            </w:r>
          </w:p>
        </w:tc>
        <w:tc>
          <w:tcPr>
            <w:tcW w:w="65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其他</w:t>
            </w:r>
            <w:r>
              <w:rPr>
                <w:rFonts w:hint="eastAsia" w:ascii="宋体" w:hAnsi="宋体" w:eastAsia="宋体" w:cs="宋体"/>
                <w:sz w:val="20"/>
              </w:rPr>
              <w:br w:type="textWrapping"/>
            </w:r>
            <w:r>
              <w:rPr>
                <w:rFonts w:hint="eastAsia" w:ascii="宋体" w:hAnsi="宋体" w:eastAsia="宋体" w:cs="宋体"/>
                <w:sz w:val="20"/>
              </w:rPr>
              <w:t>结果</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50"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sz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其他</w:t>
            </w:r>
            <w:r>
              <w:rPr>
                <w:rFonts w:hint="eastAsia" w:ascii="宋体" w:hAnsi="宋体" w:eastAsia="宋体" w:cs="宋体"/>
                <w:sz w:val="20"/>
              </w:rPr>
              <w:br w:type="textWrapping"/>
            </w:r>
            <w:r>
              <w:rPr>
                <w:rFonts w:hint="eastAsia" w:ascii="宋体" w:hAnsi="宋体" w:eastAsia="宋体" w:cs="宋体"/>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总计</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维持</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结果</w:t>
            </w:r>
            <w:r>
              <w:rPr>
                <w:rFonts w:hint="eastAsia" w:ascii="宋体" w:hAnsi="宋体" w:eastAsia="宋体" w:cs="宋体"/>
                <w:sz w:val="20"/>
              </w:rPr>
              <w:br w:type="textWrapping"/>
            </w:r>
            <w:r>
              <w:rPr>
                <w:rFonts w:hint="eastAsia" w:ascii="宋体" w:hAnsi="宋体" w:eastAsia="宋体" w:cs="宋体"/>
                <w:sz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其他</w:t>
            </w:r>
            <w:r>
              <w:rPr>
                <w:rFonts w:hint="eastAsia" w:ascii="宋体" w:hAnsi="宋体" w:eastAsia="宋体" w:cs="宋体"/>
                <w:color w:val="000000"/>
                <w:sz w:val="20"/>
              </w:rPr>
              <w:br w:type="textWrapping"/>
            </w:r>
            <w:r>
              <w:rPr>
                <w:rFonts w:hint="eastAsia" w:ascii="宋体" w:hAnsi="宋体" w:eastAsia="宋体" w:cs="宋体"/>
                <w:color w:val="000000"/>
                <w:sz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尚未</w:t>
            </w:r>
            <w:r>
              <w:rPr>
                <w:rFonts w:hint="eastAsia" w:ascii="宋体" w:hAnsi="宋体" w:eastAsia="宋体" w:cs="宋体"/>
                <w:sz w:val="20"/>
              </w:rPr>
              <w:br w:type="textWrapping"/>
            </w:r>
            <w:r>
              <w:rPr>
                <w:rFonts w:hint="eastAsia" w:ascii="宋体" w:hAnsi="宋体" w:eastAsia="宋体" w:cs="宋体"/>
                <w:sz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color w:val="000000"/>
                <w:sz w:val="20"/>
              </w:rPr>
              <w:t>总计</w:t>
            </w:r>
          </w:p>
        </w:tc>
      </w:tr>
      <w:tr>
        <w:tblPrEx>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sz w:val="24"/>
              </w:rP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pPr>
            <w:r>
              <w:rPr>
                <w:rFonts w:hint="eastAsia" w:ascii="宋体" w:hAnsi="宋体" w:eastAsia="宋体" w:cs="宋体"/>
                <w:sz w:val="20"/>
              </w:rPr>
              <w:t>0</w:t>
            </w:r>
          </w:p>
        </w:tc>
      </w:tr>
    </w:tbl>
    <w:p>
      <w:pPr>
        <w:pStyle w:val="5"/>
        <w:widowControl/>
        <w:spacing w:beforeAutospacing="0" w:afterAutospacing="0" w:line="560" w:lineRule="exact"/>
        <w:ind w:firstLine="640" w:firstLineChars="200"/>
        <w:rPr>
          <w:rStyle w:val="9"/>
          <w:rFonts w:ascii="黑体" w:hAnsi="黑体" w:eastAsia="黑体" w:cs="黑体"/>
          <w:b w:val="0"/>
          <w:sz w:val="32"/>
          <w:szCs w:val="32"/>
        </w:rPr>
      </w:pPr>
      <w:r>
        <w:rPr>
          <w:rStyle w:val="9"/>
          <w:rFonts w:hint="eastAsia" w:ascii="黑体" w:hAnsi="黑体" w:eastAsia="黑体" w:cs="黑体"/>
          <w:b w:val="0"/>
          <w:sz w:val="32"/>
          <w:szCs w:val="32"/>
        </w:rPr>
        <w:t>五、存在的主要问题及改进情况</w:t>
      </w:r>
    </w:p>
    <w:p>
      <w:pPr>
        <w:spacing w:line="560" w:lineRule="exact"/>
        <w:ind w:firstLine="640" w:firstLineChars="200"/>
        <w:rPr>
          <w:rFonts w:ascii="仿宋_GB2312" w:eastAsia="仿宋_GB2312"/>
          <w:sz w:val="32"/>
          <w:szCs w:val="32"/>
        </w:rPr>
      </w:pPr>
      <w:r>
        <w:rPr>
          <w:rFonts w:hint="eastAsia" w:ascii="楷体_GB2312" w:eastAsia="楷体_GB2312"/>
          <w:sz w:val="32"/>
          <w:szCs w:val="32"/>
        </w:rPr>
        <w:t>（一）存在问题</w:t>
      </w:r>
    </w:p>
    <w:p>
      <w:pPr>
        <w:pStyle w:val="5"/>
        <w:widowControl/>
        <w:spacing w:beforeAutospacing="0" w:afterAutospacing="0" w:line="560" w:lineRule="exact"/>
        <w:ind w:firstLine="640" w:firstLineChars="200"/>
        <w:rPr>
          <w:rFonts w:ascii="仿宋_GB2312" w:hAnsi="Times New Roman" w:eastAsia="仿宋_GB2312"/>
          <w:snapToGrid w:val="0"/>
          <w:sz w:val="32"/>
          <w:szCs w:val="32"/>
        </w:rPr>
      </w:pPr>
      <w:r>
        <w:rPr>
          <w:rFonts w:hint="eastAsia" w:ascii="仿宋_GB2312" w:hAnsi="Times New Roman" w:eastAsia="仿宋_GB2312"/>
          <w:snapToGrid w:val="0"/>
          <w:sz w:val="32"/>
          <w:szCs w:val="32"/>
        </w:rPr>
        <w:t>一是对政府信息的公开属性审查管理还需增强，部分政策文件在制发时未及时明确公开属性，有的政策文件公开属性确定不准确，存在“应公开未公开”的问题。</w:t>
      </w:r>
    </w:p>
    <w:p>
      <w:pPr>
        <w:pStyle w:val="5"/>
        <w:widowControl/>
        <w:spacing w:beforeAutospacing="0" w:afterAutospacing="0" w:line="560" w:lineRule="exact"/>
        <w:ind w:firstLine="640" w:firstLineChars="200"/>
        <w:rPr>
          <w:rFonts w:ascii="仿宋_GB2312" w:hAnsi="Times New Roman" w:eastAsia="仿宋_GB2312"/>
          <w:snapToGrid w:val="0"/>
          <w:sz w:val="32"/>
          <w:szCs w:val="32"/>
        </w:rPr>
      </w:pPr>
      <w:r>
        <w:rPr>
          <w:rFonts w:hint="eastAsia" w:ascii="仿宋_GB2312" w:hAnsi="Times New Roman" w:eastAsia="仿宋_GB2312"/>
          <w:snapToGrid w:val="0"/>
          <w:sz w:val="32"/>
          <w:szCs w:val="32"/>
        </w:rPr>
        <w:t>二是政策解读工作开展不规范，多数文件均以文字形式进行解读，存在解读形式单一的问题。</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（二）改进情况</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一是加强政府信息公开属性审核管理，对未认定公开属性的信息进行公开属性认定，对公开属性为依申请公开或不予公开的公文进行审查，符合条件的转为主动公开。年内有2件文件的公开属性由依申请公开转化为主动公开，审核出1件未及时明确公开属性的文件并将公开属性确定为主动公开。</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二是深入推进政策文件解读多元化、规范化、标准化。探索开展以图表图解、表格数据、专家讲述等多形式多维度解读，扩大文件解读的广度、深度。年内单位负责人主动开展政策解读工作1次，运用图文结合形式制作政策解读材料2篇，并通过政务新媒体发布，进一步丰富了政策解读形式，拓展了解读渠道，提高了群众阅读量。</w:t>
      </w:r>
    </w:p>
    <w:p>
      <w:pPr>
        <w:autoSpaceDE w:val="0"/>
        <w:autoSpaceDN w:val="0"/>
        <w:snapToGrid w:val="0"/>
        <w:spacing w:line="560" w:lineRule="exact"/>
        <w:ind w:firstLine="640" w:firstLineChars="200"/>
        <w:rPr>
          <w:rStyle w:val="9"/>
          <w:rFonts w:ascii="黑体" w:hAnsi="黑体" w:eastAsia="黑体" w:cs="黑体"/>
          <w:b w:val="0"/>
          <w:sz w:val="32"/>
          <w:szCs w:val="32"/>
        </w:rPr>
      </w:pPr>
      <w:r>
        <w:rPr>
          <w:rStyle w:val="9"/>
          <w:rFonts w:hint="eastAsia" w:ascii="黑体" w:hAnsi="黑体" w:eastAsia="黑体" w:cs="黑体"/>
          <w:b w:val="0"/>
          <w:sz w:val="32"/>
          <w:szCs w:val="32"/>
        </w:rPr>
        <w:t>六、其他需要报告的事项</w:t>
      </w:r>
    </w:p>
    <w:p>
      <w:pPr>
        <w:autoSpaceDE w:val="0"/>
        <w:autoSpaceDN w:val="0"/>
        <w:snapToGrid w:val="0"/>
        <w:spacing w:line="560" w:lineRule="exact"/>
        <w:ind w:firstLine="640" w:firstLineChars="200"/>
        <w:rPr>
          <w:rFonts w:ascii="楷体_GB2312" w:eastAsia="楷体_GB2312"/>
          <w:sz w:val="32"/>
          <w:szCs w:val="32"/>
        </w:rPr>
      </w:pPr>
      <w:r>
        <w:rPr>
          <w:rFonts w:hint="eastAsia" w:ascii="楷体_GB2312" w:eastAsia="楷体_GB2312"/>
          <w:sz w:val="32"/>
          <w:szCs w:val="32"/>
        </w:rPr>
        <w:t>（一）政府信息公开信息处理费收取情况</w:t>
      </w:r>
    </w:p>
    <w:p>
      <w:pPr>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（二）落实上级年度政务公开工作要点情况</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根据《2023年山东省政务公开工作要点》《2023年淄博市政务公开工作方案》《2023年高青县政务公开工作方案》，制定了《高青县花沟镇2023年政务公开工作方案》，明确了重点任务、工作标准和完成时限。一是建立政务公开工作长效机制，将政务公开贯穿于工作中。进一步强化政务公开工作领导，增加政务公开专职工作人员，各科室实行政务公开责任管理，落实上下联动、整体推进的工作体系。二是不断完善信息公开内容，全面及时公开信息，推进重大项目、重要活动的信息公开，着重加强对生态农业建设的信息公开，充实公开信息内容，不断提升公开信息质量。</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（三）人大代表建议和政协提案办理结果公开情况</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2023年未承办县十八届人大二次会议建议、县政协十五届二次会议提案。</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（四）政务公开工作创新情况</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建立“谁制作、谁审核、谁公开、谁负责”的信息管理机制，通过对政府信息在全生命周期过程中的调整进行动态管理，不断完善信息内容，提高信息的规范性、标准性。不断推进政民互动，积极回应群众提出的各类问题，提高政府工作透明度。</w:t>
      </w:r>
    </w:p>
    <w:p>
      <w:pPr>
        <w:spacing w:line="560" w:lineRule="exact"/>
        <w:ind w:firstLine="640" w:firstLineChars="200"/>
        <w:rPr>
          <w:rFonts w:ascii="楷体_GB2312" w:eastAsia="楷体_GB2312"/>
          <w:sz w:val="32"/>
          <w:szCs w:val="32"/>
        </w:rPr>
      </w:pPr>
      <w:r>
        <w:rPr>
          <w:rFonts w:hint="eastAsia" w:ascii="楷体_GB2312" w:eastAsia="楷体_GB2312"/>
          <w:sz w:val="32"/>
          <w:szCs w:val="32"/>
        </w:rPr>
        <w:t>（五）有关数据统计说明</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1.报告中所列数据可能因四舍五入原因与数据直接相加之和存在尾数差异。</w:t>
      </w:r>
    </w:p>
    <w:p>
      <w:pPr>
        <w:autoSpaceDE w:val="0"/>
        <w:autoSpaceDN w:val="0"/>
        <w:snapToGrid w:val="0"/>
        <w:spacing w:line="560" w:lineRule="exact"/>
        <w:ind w:firstLine="640" w:firstLineChars="200"/>
        <w:rPr>
          <w:rFonts w:ascii="仿宋_GB2312" w:hAnsi="Times New Roman" w:eastAsia="仿宋_GB2312" w:cs="Times New Roman"/>
          <w:snapToGrid w:val="0"/>
          <w:kern w:val="0"/>
          <w:sz w:val="32"/>
          <w:szCs w:val="32"/>
        </w:rPr>
      </w:pPr>
      <w:r>
        <w:rPr>
          <w:rFonts w:hint="eastAsia" w:ascii="仿宋_GB2312" w:hAnsi="Times New Roman" w:eastAsia="仿宋_GB2312" w:cs="Times New Roman"/>
          <w:snapToGrid w:val="0"/>
          <w:kern w:val="0"/>
          <w:sz w:val="32"/>
          <w:szCs w:val="32"/>
        </w:rPr>
        <w:t>2.行政许可数量、行政处罚和行政强制数量，包括已公开和依法未公开的全部处理决定。</w:t>
      </w:r>
    </w:p>
    <w:p>
      <w:pPr>
        <w:autoSpaceDE w:val="0"/>
        <w:autoSpaceDN w:val="0"/>
        <w:snapToGrid w:val="0"/>
        <w:spacing w:line="560" w:lineRule="exact"/>
        <w:ind w:firstLine="640" w:firstLineChars="200"/>
        <w:rPr>
          <w:sz w:val="32"/>
          <w:szCs w:val="32"/>
        </w:rPr>
      </w:pPr>
      <w:r>
        <w:rPr>
          <w:rFonts w:hint="eastAsia" w:ascii="仿宋_GB2312" w:hAnsi="Times New Roman" w:eastAsia="仿宋_GB2312" w:cs="Times New Roman"/>
          <w:snapToGrid w:val="0"/>
          <w:kern w:val="0"/>
          <w:sz w:val="32"/>
          <w:szCs w:val="32"/>
        </w:rPr>
        <w:t>3.行政复议机关作为共同被告的行政诉讼案件，只计算原行为主体的案件数量，不计算行政复议机关的案件数量。</w:t>
      </w:r>
      <w:bookmarkStart w:id="0" w:name="_GoBack"/>
      <w:bookmarkEnd w:id="0"/>
    </w:p>
    <w:p>
      <w:pPr>
        <w:rPr>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NTVhMmI5Y2ZiYzg2ZTEyMTE2ZmJlMDQyMjVhZTIifQ=="/>
    <w:docVar w:name="KSO_WPS_MARK_KEY" w:val="840cf67f-8974-4b04-9099-35d4c18912dd"/>
  </w:docVars>
  <w:rsids>
    <w:rsidRoot w:val="00AB2BF5"/>
    <w:rsid w:val="002C734F"/>
    <w:rsid w:val="00387654"/>
    <w:rsid w:val="005B11B9"/>
    <w:rsid w:val="007149C3"/>
    <w:rsid w:val="008674EC"/>
    <w:rsid w:val="008C2BD5"/>
    <w:rsid w:val="00AB2BF5"/>
    <w:rsid w:val="00BE65CA"/>
    <w:rsid w:val="00D30558"/>
    <w:rsid w:val="01181DD9"/>
    <w:rsid w:val="01934780"/>
    <w:rsid w:val="031511C4"/>
    <w:rsid w:val="041D6583"/>
    <w:rsid w:val="054C386E"/>
    <w:rsid w:val="08055CAB"/>
    <w:rsid w:val="09A03EDE"/>
    <w:rsid w:val="09BC05EC"/>
    <w:rsid w:val="09D27E0F"/>
    <w:rsid w:val="0B065FC2"/>
    <w:rsid w:val="145204CA"/>
    <w:rsid w:val="14B973A1"/>
    <w:rsid w:val="151E65FF"/>
    <w:rsid w:val="153B0F5F"/>
    <w:rsid w:val="15673B02"/>
    <w:rsid w:val="15B605E5"/>
    <w:rsid w:val="15D54F0F"/>
    <w:rsid w:val="15E433A4"/>
    <w:rsid w:val="16F5338F"/>
    <w:rsid w:val="185A5BA0"/>
    <w:rsid w:val="19946E8F"/>
    <w:rsid w:val="19EF056A"/>
    <w:rsid w:val="1A02448D"/>
    <w:rsid w:val="1AD31C39"/>
    <w:rsid w:val="1AEF6A73"/>
    <w:rsid w:val="1C8B27CB"/>
    <w:rsid w:val="1D774AFE"/>
    <w:rsid w:val="1DE303E5"/>
    <w:rsid w:val="1EF67CA4"/>
    <w:rsid w:val="1F503858"/>
    <w:rsid w:val="21723F5A"/>
    <w:rsid w:val="21D40771"/>
    <w:rsid w:val="21E02496"/>
    <w:rsid w:val="2237485C"/>
    <w:rsid w:val="233D0598"/>
    <w:rsid w:val="24E0742D"/>
    <w:rsid w:val="24EA02AB"/>
    <w:rsid w:val="25357778"/>
    <w:rsid w:val="25C40AFC"/>
    <w:rsid w:val="26031625"/>
    <w:rsid w:val="26E7642A"/>
    <w:rsid w:val="277327DA"/>
    <w:rsid w:val="27F372CE"/>
    <w:rsid w:val="28FE60D3"/>
    <w:rsid w:val="29064F88"/>
    <w:rsid w:val="2A2C1D17"/>
    <w:rsid w:val="2A73489F"/>
    <w:rsid w:val="2ABA427C"/>
    <w:rsid w:val="2B3109E2"/>
    <w:rsid w:val="2CD443B9"/>
    <w:rsid w:val="2D636E4D"/>
    <w:rsid w:val="2E2D480D"/>
    <w:rsid w:val="2E6C1D31"/>
    <w:rsid w:val="2EE1627B"/>
    <w:rsid w:val="34D32B0A"/>
    <w:rsid w:val="37A34A15"/>
    <w:rsid w:val="37EB016A"/>
    <w:rsid w:val="37ED5C91"/>
    <w:rsid w:val="38D94467"/>
    <w:rsid w:val="3922196A"/>
    <w:rsid w:val="39673821"/>
    <w:rsid w:val="3A176FF5"/>
    <w:rsid w:val="3B6F4C0F"/>
    <w:rsid w:val="3BAD2A2E"/>
    <w:rsid w:val="400224F5"/>
    <w:rsid w:val="42AA5FD8"/>
    <w:rsid w:val="433724B6"/>
    <w:rsid w:val="43E91A02"/>
    <w:rsid w:val="445552E9"/>
    <w:rsid w:val="44DA007B"/>
    <w:rsid w:val="456926CF"/>
    <w:rsid w:val="45912351"/>
    <w:rsid w:val="45A51959"/>
    <w:rsid w:val="47D46525"/>
    <w:rsid w:val="48313978"/>
    <w:rsid w:val="4A82495E"/>
    <w:rsid w:val="4C7C718B"/>
    <w:rsid w:val="4D0745A7"/>
    <w:rsid w:val="4DE60D60"/>
    <w:rsid w:val="4E41243B"/>
    <w:rsid w:val="4E683E6B"/>
    <w:rsid w:val="505E72D4"/>
    <w:rsid w:val="507E34D2"/>
    <w:rsid w:val="536270DB"/>
    <w:rsid w:val="5488491F"/>
    <w:rsid w:val="559B2D78"/>
    <w:rsid w:val="55CB03D8"/>
    <w:rsid w:val="579E26AC"/>
    <w:rsid w:val="59F82547"/>
    <w:rsid w:val="5A9A53AC"/>
    <w:rsid w:val="5B7A6F8C"/>
    <w:rsid w:val="5BBE156E"/>
    <w:rsid w:val="5BF64864"/>
    <w:rsid w:val="5C4952DC"/>
    <w:rsid w:val="5E0C4813"/>
    <w:rsid w:val="601479AF"/>
    <w:rsid w:val="628030DA"/>
    <w:rsid w:val="62C92CD3"/>
    <w:rsid w:val="6401024A"/>
    <w:rsid w:val="649C6A24"/>
    <w:rsid w:val="676A1537"/>
    <w:rsid w:val="678B49FB"/>
    <w:rsid w:val="68150768"/>
    <w:rsid w:val="682409AB"/>
    <w:rsid w:val="68945B31"/>
    <w:rsid w:val="690A194F"/>
    <w:rsid w:val="69894F6A"/>
    <w:rsid w:val="6A070584"/>
    <w:rsid w:val="6A2D7FEB"/>
    <w:rsid w:val="6D9263B7"/>
    <w:rsid w:val="6DF35278"/>
    <w:rsid w:val="6E8B1784"/>
    <w:rsid w:val="6ED30A35"/>
    <w:rsid w:val="6F0A08FB"/>
    <w:rsid w:val="6FE07A9C"/>
    <w:rsid w:val="6FF84BF7"/>
    <w:rsid w:val="72084E9A"/>
    <w:rsid w:val="724D4B97"/>
    <w:rsid w:val="741E09A4"/>
    <w:rsid w:val="74707D8B"/>
    <w:rsid w:val="749B3DA3"/>
    <w:rsid w:val="76B37ACA"/>
    <w:rsid w:val="7AAF67FA"/>
    <w:rsid w:val="7BE73D72"/>
    <w:rsid w:val="7C9319CA"/>
    <w:rsid w:val="FCB68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styleId="10">
    <w:name w:val="Hyperlink"/>
    <w:basedOn w:val="8"/>
    <w:uiPriority w:val="0"/>
    <w:rPr>
      <w:color w:val="0563C1" w:themeColor="hyperlink"/>
      <w:u w:val="single"/>
      <w14:textFill>
        <w14:solidFill>
          <w14:schemeClr w14:val="hlink"/>
        </w14:solidFill>
      </w14:textFill>
    </w:rPr>
  </w:style>
  <w:style w:type="character" w:customStyle="1" w:styleId="11">
    <w:name w:val="页眉 Char"/>
    <w:basedOn w:val="8"/>
    <w:link w:val="4"/>
    <w:qFormat/>
    <w:uiPriority w:val="0"/>
    <w:rPr>
      <w:rFonts w:asciiTheme="minorHAnsi" w:hAnsiTheme="minorHAnsi" w:eastAsiaTheme="minorEastAsia" w:cstheme="minorBidi"/>
      <w:kern w:val="2"/>
      <w:sz w:val="18"/>
      <w:szCs w:val="18"/>
    </w:rPr>
  </w:style>
  <w:style w:type="character" w:customStyle="1" w:styleId="12">
    <w:name w:val="页脚 Char"/>
    <w:basedOn w:val="8"/>
    <w:link w:val="3"/>
    <w:uiPriority w:val="0"/>
    <w:rPr>
      <w:rFonts w:asciiTheme="minorHAnsi" w:hAnsiTheme="minorHAnsi" w:eastAsiaTheme="minorEastAsia" w:cstheme="minorBidi"/>
      <w:kern w:val="2"/>
      <w:sz w:val="18"/>
      <w:szCs w:val="18"/>
    </w:rPr>
  </w:style>
  <w:style w:type="character" w:customStyle="1" w:styleId="13">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580</Words>
  <Characters>3307</Characters>
  <Lines>27</Lines>
  <Paragraphs>7</Paragraphs>
  <TotalTime>78</TotalTime>
  <ScaleCrop>false</ScaleCrop>
  <LinksUpToDate>false</LinksUpToDate>
  <CharactersWithSpaces>3880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2023-12-14T16:24:00Z</dcterms:created>
  <dc:creator>lenovo</dc:creator>
  <cp:lastModifiedBy>gqxy</cp:lastModifiedBy>
  <dcterms:modified xsi:type="dcterms:W3CDTF">2024-01-25T02:37:54Z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E08385929C604D09B507D7C2DEC1960B_12</vt:lpwstr>
  </property>
</Properties>
</file>