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cs="宋体"/>
          <w:b/>
          <w:sz w:val="52"/>
          <w:szCs w:val="52"/>
        </w:rPr>
      </w:pPr>
    </w:p>
    <w:p>
      <w:pPr>
        <w:spacing w:line="560" w:lineRule="exact"/>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r>
        <w:rPr>
          <w:rFonts w:hint="eastAsia" w:ascii="宋体" w:hAnsi="宋体" w:cs="宋体"/>
          <w:b/>
          <w:sz w:val="52"/>
          <w:szCs w:val="52"/>
        </w:rPr>
        <w:t>高青县花沟镇人民政府</w:t>
      </w:r>
    </w:p>
    <w:p>
      <w:pPr>
        <w:jc w:val="center"/>
        <w:rPr>
          <w:rFonts w:ascii="宋体" w:hAnsi="宋体" w:cs="宋体"/>
          <w:b/>
          <w:sz w:val="52"/>
          <w:szCs w:val="52"/>
        </w:rPr>
      </w:pPr>
      <w:r>
        <w:rPr>
          <w:rFonts w:hint="eastAsia" w:ascii="宋体" w:hAnsi="宋体" w:cs="宋体"/>
          <w:b/>
          <w:sz w:val="52"/>
          <w:szCs w:val="52"/>
        </w:rPr>
        <w:t>2019年政府信息公开工作年度报告</w:t>
      </w: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宋体" w:hAnsi="宋体" w:cs="宋体"/>
          <w:b/>
          <w:sz w:val="44"/>
          <w:szCs w:val="44"/>
        </w:rPr>
      </w:pPr>
    </w:p>
    <w:p>
      <w:pPr>
        <w:spacing w:line="560" w:lineRule="exact"/>
        <w:jc w:val="center"/>
        <w:rPr>
          <w:rFonts w:ascii="仿宋_GB2312" w:hAnsi="仿宋" w:eastAsia="仿宋_GB2312" w:cs="仿宋"/>
          <w:color w:val="000000" w:themeColor="text1"/>
          <w:sz w:val="32"/>
          <w:szCs w:val="32"/>
          <w14:textFill>
            <w14:solidFill>
              <w14:schemeClr w14:val="tx1"/>
            </w14:solidFill>
          </w14:textFill>
        </w:rPr>
      </w:pPr>
    </w:p>
    <w:p>
      <w:pPr>
        <w:pStyle w:val="8"/>
        <w:widowControl/>
        <w:spacing w:after="0" w:line="560" w:lineRule="exact"/>
        <w:jc w:val="center"/>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高青县花沟镇人民政府办公室</w:t>
      </w:r>
    </w:p>
    <w:p>
      <w:pPr>
        <w:pStyle w:val="8"/>
        <w:widowControl/>
        <w:spacing w:after="0" w:line="560" w:lineRule="exact"/>
        <w:jc w:val="center"/>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2020年1月23日</w:t>
      </w:r>
    </w:p>
    <w:p>
      <w:pPr>
        <w:spacing w:line="560" w:lineRule="exact"/>
        <w:jc w:val="center"/>
        <w:rPr>
          <w:rFonts w:ascii="仿宋_GB2312" w:hAnsi="仿宋_GB2312" w:eastAsia="仿宋_GB2312" w:cs="仿宋_GB2312"/>
          <w:b/>
          <w:sz w:val="32"/>
          <w:szCs w:val="32"/>
        </w:rPr>
      </w:pP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本报告根据《中华人民共和国政府信息公开条例》（</w:t>
      </w:r>
      <w:r>
        <w:rPr>
          <w:rFonts w:hint="eastAsia" w:ascii="仿宋_GB2312" w:hAnsi="仿宋_GB2312" w:eastAsia="仿宋_GB2312" w:cs="仿宋_GB2312"/>
          <w:sz w:val="32"/>
          <w:szCs w:val="32"/>
        </w:rPr>
        <w:t>国务院令第711号，以下简称《条例》</w:t>
      </w:r>
      <w:r>
        <w:rPr>
          <w:rFonts w:hint="eastAsia" w:ascii="仿宋_GB2312" w:hAnsi="仿宋_GB2312" w:eastAsia="仿宋_GB2312" w:cs="仿宋_GB2312"/>
          <w:color w:val="000000" w:themeColor="text1"/>
          <w:sz w:val="32"/>
          <w:szCs w:val="32"/>
          <w14:textFill>
            <w14:solidFill>
              <w14:schemeClr w14:val="tx1"/>
            </w14:solidFill>
          </w14:textFill>
        </w:rPr>
        <w:t>）要求，由高青县人民政府办公室综合各乡镇人民政府、街道办事处、经济开发区管委会和县政府各部门、各有关单位政府信息公开工作情况编制。</w:t>
      </w:r>
    </w:p>
    <w:p>
      <w:pPr>
        <w:ind w:firstLine="640" w:firstLineChars="200"/>
        <w:jc w:val="left"/>
        <w:rPr>
          <w:rFonts w:ascii="仿宋_GB2312" w:hAnsi="仿宋_GB2312" w:eastAsia="仿宋_GB2312" w:cs="仿宋_GB2312"/>
          <w:kern w:val="2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报告全文由总体情况、主动公开政府信息情况、收到和处理政府信息公开申请情况、政府信息公开行政复议行政诉讼情况、存在的主要问题及改进情况、其他需要报告的事项6个部分组成。</w:t>
      </w:r>
    </w:p>
    <w:p>
      <w:pPr>
        <w:spacing w:line="56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报告中所列数据统计期限自2019年1月1日始，至2019年12月31日止。报告电子版可在高青县人民政府门户网站（www.gaoqing.gov.cn）查阅和下载。如对报告内容有疑问，请与高青县花沟镇人民政府办公室联系（地址：高青县花沟镇田兴路1号；邮编：256305；电话：0533-6785304；传真：0533-6785370）。</w:t>
      </w:r>
    </w:p>
    <w:p>
      <w:pPr>
        <w:spacing w:line="56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p>
    <w:p>
      <w:pPr>
        <w:spacing w:line="560" w:lineRule="exact"/>
        <w:ind w:firstLine="640" w:firstLineChars="200"/>
        <w:jc w:val="left"/>
        <w:rPr>
          <w:rFonts w:ascii="仿宋_GB2312" w:hAnsi="仿宋_GB2312" w:eastAsia="仿宋_GB2312" w:cs="仿宋_GB2312"/>
          <w:kern w:val="22"/>
          <w:sz w:val="32"/>
          <w:szCs w:val="32"/>
        </w:rPr>
      </w:pPr>
    </w:p>
    <w:p>
      <w:pPr>
        <w:spacing w:line="560" w:lineRule="exact"/>
        <w:ind w:firstLine="640" w:firstLineChars="200"/>
        <w:jc w:val="left"/>
        <w:rPr>
          <w:rFonts w:ascii="仿宋_GB2312" w:hAnsi="仿宋_GB2312" w:eastAsia="仿宋_GB2312" w:cs="仿宋_GB2312"/>
          <w:kern w:val="22"/>
          <w:sz w:val="32"/>
          <w:szCs w:val="32"/>
        </w:rPr>
      </w:pPr>
    </w:p>
    <w:p>
      <w:pPr>
        <w:spacing w:line="560" w:lineRule="exact"/>
        <w:ind w:firstLine="640" w:firstLineChars="200"/>
        <w:jc w:val="left"/>
        <w:rPr>
          <w:rFonts w:ascii="仿宋_GB2312" w:hAnsi="仿宋_GB2312" w:eastAsia="仿宋_GB2312" w:cs="仿宋_GB2312"/>
          <w:kern w:val="22"/>
          <w:sz w:val="32"/>
          <w:szCs w:val="32"/>
        </w:rPr>
      </w:pPr>
    </w:p>
    <w:p>
      <w:pPr>
        <w:spacing w:line="560" w:lineRule="exact"/>
        <w:ind w:firstLine="640" w:firstLineChars="200"/>
        <w:jc w:val="left"/>
        <w:rPr>
          <w:rFonts w:ascii="仿宋_GB2312" w:hAnsi="仿宋_GB2312" w:eastAsia="仿宋_GB2312" w:cs="仿宋_GB2312"/>
          <w:kern w:val="22"/>
          <w:sz w:val="32"/>
          <w:szCs w:val="32"/>
        </w:rPr>
      </w:pPr>
    </w:p>
    <w:p>
      <w:pPr>
        <w:spacing w:line="560" w:lineRule="exact"/>
        <w:ind w:firstLine="640" w:firstLineChars="200"/>
        <w:jc w:val="left"/>
        <w:rPr>
          <w:rFonts w:ascii="仿宋_GB2312" w:hAnsi="仿宋_GB2312" w:eastAsia="仿宋_GB2312" w:cs="仿宋_GB2312"/>
          <w:kern w:val="22"/>
          <w:sz w:val="32"/>
          <w:szCs w:val="32"/>
        </w:rPr>
      </w:pPr>
      <w:r>
        <w:rPr>
          <w:rFonts w:hint="eastAsia" w:ascii="仿宋_GB2312" w:hAnsi="仿宋_GB2312" w:eastAsia="仿宋_GB2312" w:cs="仿宋_GB2312"/>
          <w:kern w:val="22"/>
          <w:sz w:val="32"/>
          <w:szCs w:val="32"/>
        </w:rPr>
        <w:t>一、总体情况</w:t>
      </w:r>
    </w:p>
    <w:p>
      <w:pPr>
        <w:pStyle w:val="8"/>
        <w:widowControl/>
        <w:spacing w:after="0" w:line="560" w:lineRule="exact"/>
        <w:ind w:firstLine="640" w:firstLineChars="200"/>
        <w:jc w:val="both"/>
        <w:rPr>
          <w:rFonts w:ascii="仿宋_GB2312" w:hAnsi="仿宋_GB2312" w:eastAsia="仿宋_GB2312" w:cs="仿宋_GB2312"/>
          <w:color w:val="3D3D3D"/>
          <w:sz w:val="32"/>
          <w:szCs w:val="32"/>
        </w:rPr>
      </w:pPr>
      <w:r>
        <w:rPr>
          <w:rFonts w:hint="eastAsia" w:ascii="仿宋_GB2312" w:hAnsi="仿宋_GB2312" w:eastAsia="仿宋_GB2312" w:cs="仿宋_GB2312"/>
          <w:color w:val="3D3D3D"/>
          <w:sz w:val="32"/>
          <w:szCs w:val="32"/>
        </w:rPr>
        <w:t>2019年，花沟镇继续深入贯彻《中华人民共和国政府信息公开条例》，认真落实《国务院办公厅关于印发2019年政务公开工作要点的通知》（国办发〔2019〕14号）、《山东省人民政府办公厅关于印发2019年山东省政务公开工作要点的通知》（鲁政办发〔2019〕15号）和《淄博市人民政府办公室关于印发2019年淄博市政务公开工作方案的通知》（淄政办发〔2019〕5号）部署的各项任务，紧紧围绕镇中心工作及群众关注关切的工作，深化重点领域信息公开，完善政务公开制度建设，坚持以公开为常态、不公开为例外，推动行政权力全过程公开、公共服务全流程公开、社会关切全方位回应，切实提高群众满意度、获得感。</w:t>
      </w:r>
    </w:p>
    <w:p>
      <w:pPr>
        <w:pStyle w:val="8"/>
        <w:widowControl/>
        <w:spacing w:after="0" w:line="560" w:lineRule="exact"/>
        <w:ind w:firstLine="640"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kern w:val="22"/>
          <w:sz w:val="32"/>
          <w:szCs w:val="32"/>
        </w:rPr>
        <w:t>（一）政府信息公开体制机制建设情况</w:t>
      </w:r>
    </w:p>
    <w:p>
      <w:pPr>
        <w:pStyle w:val="8"/>
        <w:widowControl/>
        <w:spacing w:after="0" w:line="560" w:lineRule="exact"/>
        <w:ind w:firstLine="643"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b/>
          <w:kern w:val="22"/>
          <w:sz w:val="32"/>
          <w:szCs w:val="32"/>
        </w:rPr>
        <w:t>强化部署推动。</w:t>
      </w:r>
      <w:r>
        <w:rPr>
          <w:rFonts w:hint="eastAsia" w:ascii="仿宋_GB2312" w:hAnsi="仿宋_GB2312" w:eastAsia="仿宋_GB2312" w:cs="仿宋_GB2312"/>
          <w:kern w:val="22"/>
          <w:sz w:val="32"/>
          <w:szCs w:val="32"/>
        </w:rPr>
        <w:t>镇政府将深化政务公开、大力营造风清气正的政务生态写入2019年政府工作报告，统一部署，统筹推进；花沟镇将政府信息公开工作列入议题；继续明确由党委副书记分管政务公开工作，并向社会公开。</w:t>
      </w:r>
    </w:p>
    <w:p>
      <w:pPr>
        <w:pStyle w:val="8"/>
        <w:widowControl/>
        <w:spacing w:after="0" w:line="560" w:lineRule="exact"/>
        <w:ind w:firstLine="640"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kern w:val="22"/>
          <w:sz w:val="32"/>
          <w:szCs w:val="32"/>
        </w:rPr>
        <w:t>（二）主动公开政府信息情况</w:t>
      </w:r>
    </w:p>
    <w:p>
      <w:pPr>
        <w:pStyle w:val="8"/>
        <w:widowControl/>
        <w:spacing w:line="480" w:lineRule="atLeast"/>
        <w:ind w:firstLine="420"/>
        <w:rPr>
          <w:rFonts w:ascii="仿宋_GB2312" w:hAnsi="仿宋_GB2312" w:eastAsia="仿宋_GB2312" w:cs="仿宋_GB2312"/>
          <w:b/>
          <w:kern w:val="22"/>
          <w:sz w:val="32"/>
          <w:szCs w:val="32"/>
        </w:rPr>
      </w:pPr>
      <w:r>
        <w:rPr>
          <w:rFonts w:hint="eastAsia" w:ascii="仿宋_GB2312" w:hAnsi="仿宋_GB2312" w:eastAsia="仿宋_GB2312" w:cs="仿宋_GB2312"/>
          <w:b/>
          <w:sz w:val="32"/>
          <w:szCs w:val="32"/>
        </w:rPr>
        <w:t>人大代表建议和政协委员提案办理结果公开方面</w:t>
      </w:r>
      <w:r>
        <w:rPr>
          <w:rFonts w:hint="eastAsia" w:ascii="仿宋_GB2312" w:hAnsi="仿宋_GB2312" w:eastAsia="仿宋_GB2312" w:cs="仿宋_GB2312"/>
          <w:sz w:val="32"/>
          <w:szCs w:val="32"/>
        </w:rPr>
        <w:t>：</w:t>
      </w:r>
      <w:r>
        <w:rPr>
          <w:rFonts w:hint="eastAsia" w:ascii="仿宋_GB2312" w:hAnsi="仿宋_GB2312" w:eastAsia="仿宋_GB2312" w:cs="仿宋_GB2312"/>
          <w:color w:val="3D3D3D"/>
          <w:sz w:val="32"/>
          <w:szCs w:val="32"/>
        </w:rPr>
        <w:t>做好人大代表建议和政协委员提案办理结果公开。按照《高青县人民政府办公室关于做好2019年度政府系统建议提案办理工作的通知》（高政办字〔2019〕14号）要求，在县政府网站“建议提案办理”栏目主动公开人大代表建议和政协委员提案办理情况。本单位2019年未收到人大代表建议和政协委员提案，因此无法公开办理结果。</w:t>
      </w:r>
    </w:p>
    <w:p>
      <w:pPr>
        <w:pStyle w:val="8"/>
        <w:widowControl/>
        <w:spacing w:after="0" w:line="560" w:lineRule="exact"/>
        <w:ind w:firstLine="640"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kern w:val="22"/>
          <w:sz w:val="32"/>
          <w:szCs w:val="32"/>
        </w:rPr>
        <w:t>（三）依申请公开情况</w:t>
      </w:r>
    </w:p>
    <w:p>
      <w:pPr>
        <w:pStyle w:val="8"/>
        <w:widowControl/>
        <w:spacing w:after="0" w:line="560" w:lineRule="exact"/>
        <w:ind w:firstLine="640"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sz w:val="32"/>
          <w:szCs w:val="32"/>
        </w:rPr>
        <w:t>依法做好申请答复。对于申请的信息可以公开的，提供该政府信息，或者告知申请人获取该政府信息的方式、途径和时间；对于申请的信息不属于本机关公开范围的，告知申请人并说明理由，能够确定公开机关的，告知申请人该机关的名称和联系方式；对于较为复杂的申请件，主动与申请人沟通，了解群众需求，避免因误解引起行政复议或行政诉讼。</w:t>
      </w:r>
    </w:p>
    <w:p>
      <w:p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1.收到和处理政府信息公开申请情况</w:t>
      </w:r>
    </w:p>
    <w:p>
      <w:pPr>
        <w:pStyle w:val="8"/>
        <w:widowControl/>
        <w:spacing w:line="480" w:lineRule="atLeast"/>
        <w:ind w:firstLine="420"/>
        <w:rPr>
          <w:rFonts w:ascii="仿宋_GB2312" w:hAnsi="仿宋_GB2312" w:eastAsia="仿宋_GB2312" w:cs="仿宋_GB2312"/>
          <w:sz w:val="32"/>
          <w:szCs w:val="32"/>
        </w:rPr>
      </w:pPr>
      <w:r>
        <w:rPr>
          <w:rFonts w:hint="eastAsia" w:ascii="仿宋_GB2312" w:hAnsi="仿宋_GB2312" w:eastAsia="仿宋_GB2312" w:cs="仿宋_GB2312"/>
          <w:color w:val="3D3D3D"/>
          <w:sz w:val="32"/>
          <w:szCs w:val="32"/>
        </w:rPr>
        <w:t>2019年度，花沟镇共收到政府信息公开申请0件，结转下年度继续办理0件，2018年度结转政府信息公开申请0件。</w:t>
      </w:r>
    </w:p>
    <w:p>
      <w:pPr>
        <w:pStyle w:val="8"/>
        <w:widowControl/>
        <w:spacing w:after="0" w:line="560" w:lineRule="exact"/>
        <w:ind w:firstLine="643"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b/>
          <w:sz w:val="32"/>
          <w:szCs w:val="32"/>
        </w:rPr>
        <w:t>2.收费及减免情况</w:t>
      </w:r>
    </w:p>
    <w:p>
      <w:pPr>
        <w:pStyle w:val="8"/>
        <w:widowControl/>
        <w:spacing w:after="0" w:line="560" w:lineRule="exact"/>
        <w:ind w:firstLine="640"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kern w:val="22"/>
          <w:sz w:val="32"/>
          <w:szCs w:val="32"/>
        </w:rPr>
        <w:t>本年度，全县各级各部门在政府信息公开申请办理过程中，未收取任何费用。</w:t>
      </w:r>
    </w:p>
    <w:p>
      <w:pPr>
        <w:pStyle w:val="8"/>
        <w:widowControl/>
        <w:spacing w:after="0" w:line="56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3.政府信息公开行政复议、行政诉讼情况</w:t>
      </w:r>
    </w:p>
    <w:p>
      <w:pPr>
        <w:pStyle w:val="8"/>
        <w:widowControl/>
        <w:spacing w:after="0" w:line="560" w:lineRule="exact"/>
        <w:ind w:firstLine="640"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color w:val="3D3D3D"/>
          <w:sz w:val="32"/>
          <w:szCs w:val="32"/>
          <w:shd w:val="clear" w:color="auto" w:fill="FFFFFF"/>
        </w:rPr>
        <w:t>2019年，花沟镇因政府信息公开引起的行政复议0件，行政诉讼0件。</w:t>
      </w:r>
    </w:p>
    <w:p>
      <w:pPr>
        <w:pStyle w:val="8"/>
        <w:widowControl/>
        <w:spacing w:after="0" w:line="560" w:lineRule="exact"/>
        <w:ind w:firstLine="640"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kern w:val="22"/>
          <w:sz w:val="32"/>
          <w:szCs w:val="32"/>
        </w:rPr>
        <w:t>（四）政府信息管理情况</w:t>
      </w:r>
    </w:p>
    <w:p>
      <w:pPr>
        <w:pStyle w:val="8"/>
        <w:widowControl/>
        <w:spacing w:after="0" w:line="560" w:lineRule="exact"/>
        <w:ind w:firstLine="640"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kern w:val="22"/>
          <w:sz w:val="32"/>
          <w:szCs w:val="32"/>
        </w:rPr>
        <w:t>一是加强政府信息规范管理，及时清理废止、失效的政府信息。二是加强政府信息公开培训，召开了2次培训会，对新修订的《中华人民共和国政府信息公开条例》以及省市政务公开方案进行系统培训，对省、市第三方评估考核指标详细讲解，并集中对如何规范依申请公开答复进行现场答疑，进一步提高了政务公开工作人员的业务能力。</w:t>
      </w:r>
    </w:p>
    <w:p>
      <w:pPr>
        <w:pStyle w:val="8"/>
        <w:widowControl/>
        <w:spacing w:after="0" w:line="560" w:lineRule="exact"/>
        <w:ind w:firstLine="640"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kern w:val="22"/>
          <w:sz w:val="32"/>
          <w:szCs w:val="32"/>
        </w:rPr>
        <w:t>（五）政府信息公开平台、机构建设和人员情况</w:t>
      </w:r>
    </w:p>
    <w:p>
      <w:pPr>
        <w:pStyle w:val="8"/>
        <w:widowControl/>
        <w:spacing w:after="0" w:line="560" w:lineRule="exact"/>
        <w:ind w:firstLine="643" w:firstLineChars="200"/>
        <w:jc w:val="both"/>
        <w:rPr>
          <w:rFonts w:ascii="仿宋_GB2312" w:hAnsi="仿宋_GB2312" w:eastAsia="仿宋_GB2312" w:cs="仿宋_GB2312"/>
          <w:color w:val="3D3D3D"/>
          <w:sz w:val="32"/>
          <w:szCs w:val="32"/>
          <w:shd w:val="clear" w:color="auto" w:fill="FFFFFF"/>
        </w:rPr>
      </w:pPr>
      <w:r>
        <w:rPr>
          <w:rFonts w:hint="eastAsia" w:ascii="仿宋_GB2312" w:hAnsi="仿宋_GB2312" w:eastAsia="仿宋_GB2312" w:cs="仿宋_GB2312"/>
          <w:b/>
          <w:kern w:val="22"/>
          <w:sz w:val="32"/>
          <w:szCs w:val="32"/>
        </w:rPr>
        <w:t>一是加强平台建设。</w:t>
      </w:r>
      <w:r>
        <w:rPr>
          <w:rFonts w:hint="eastAsia" w:ascii="Times New Roman" w:hAnsi="Times New Roman" w:eastAsia="仿宋_GB2312"/>
          <w:kern w:val="22"/>
          <w:sz w:val="32"/>
          <w:szCs w:val="32"/>
        </w:rPr>
        <w:t>完善政府信息公开目录，加大重点领域信息公开力度，在县</w:t>
      </w:r>
      <w:r>
        <w:rPr>
          <w:rFonts w:ascii="Times New Roman" w:hAnsi="Times New Roman" w:eastAsia="仿宋_GB2312"/>
          <w:kern w:val="22"/>
          <w:sz w:val="32"/>
          <w:szCs w:val="32"/>
        </w:rPr>
        <w:t>政府门户网站</w:t>
      </w:r>
      <w:r>
        <w:rPr>
          <w:rFonts w:hint="eastAsia" w:ascii="Times New Roman" w:hAnsi="Times New Roman" w:eastAsia="仿宋_GB2312"/>
          <w:kern w:val="22"/>
          <w:sz w:val="32"/>
          <w:szCs w:val="32"/>
        </w:rPr>
        <w:t>全面公开镇政府领导班子成员分工和工作简历，接受社会监督。</w:t>
      </w:r>
      <w:r>
        <w:rPr>
          <w:rFonts w:hint="eastAsia" w:ascii="仿宋_GB2312" w:hAnsi="仿宋_GB2312" w:eastAsia="仿宋_GB2312" w:cs="仿宋_GB2312"/>
          <w:color w:val="3D3D3D"/>
          <w:sz w:val="32"/>
          <w:szCs w:val="32"/>
          <w:shd w:val="clear" w:color="auto" w:fill="FFFFFF"/>
        </w:rPr>
        <w:t>加大政务微信等新媒体平台的政务公开力度，提升信息发布、解读回应、政民互动的整体水平。2019年，花沟镇在县政府网站共计公开各类政府信息32条，2019年，共报送信息265篇，其中：大众日报14篇，淄博日报采用31篇，新华网采用10篇；通过微信公众号“太公福地·幸福花沟”公开发表信息120篇。</w:t>
      </w:r>
    </w:p>
    <w:p>
      <w:pPr>
        <w:pStyle w:val="8"/>
        <w:widowControl/>
        <w:spacing w:after="0"/>
        <w:jc w:val="both"/>
        <w:rPr>
          <w:rFonts w:ascii="仿宋_GB2312" w:hAnsi="仿宋_GB2312" w:eastAsia="仿宋_GB2312" w:cs="仿宋_GB2312"/>
          <w:kern w:val="22"/>
          <w:sz w:val="32"/>
          <w:szCs w:val="32"/>
        </w:rPr>
      </w:pPr>
      <w:r>
        <w:rPr>
          <w:rFonts w:hint="eastAsia" w:ascii="仿宋_GB2312" w:hAnsi="仿宋_GB2312" w:eastAsia="仿宋_GB2312" w:cs="仿宋_GB2312"/>
          <w:color w:val="3D3D3D"/>
          <w:sz w:val="32"/>
          <w:szCs w:val="32"/>
          <w:shd w:val="clear" w:color="auto" w:fill="FFFFFF"/>
        </w:rPr>
        <w:drawing>
          <wp:inline distT="0" distB="0" distL="114300" distR="114300">
            <wp:extent cx="5786120" cy="2532380"/>
            <wp:effectExtent l="0" t="0" r="5080" b="1270"/>
            <wp:docPr id="2" name="图片 2" descr="1593402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93402000(1)"/>
                    <pic:cNvPicPr>
                      <a:picLocks noChangeAspect="1"/>
                    </pic:cNvPicPr>
                  </pic:nvPicPr>
                  <pic:blipFill>
                    <a:blip r:embed="rId5"/>
                    <a:stretch>
                      <a:fillRect/>
                    </a:stretch>
                  </pic:blipFill>
                  <pic:spPr>
                    <a:xfrm>
                      <a:off x="0" y="0"/>
                      <a:ext cx="5786120" cy="2532380"/>
                    </a:xfrm>
                    <a:prstGeom prst="rect">
                      <a:avLst/>
                    </a:prstGeom>
                  </pic:spPr>
                </pic:pic>
              </a:graphicData>
            </a:graphic>
          </wp:inline>
        </w:drawing>
      </w:r>
    </w:p>
    <w:p>
      <w:pPr>
        <w:pStyle w:val="8"/>
        <w:widowControl/>
        <w:spacing w:after="0" w:line="560" w:lineRule="exact"/>
        <w:ind w:firstLine="643"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b/>
          <w:kern w:val="22"/>
          <w:sz w:val="32"/>
          <w:szCs w:val="32"/>
        </w:rPr>
        <w:t>二是强化机构建设。</w:t>
      </w:r>
      <w:r>
        <w:rPr>
          <w:rFonts w:hint="eastAsia" w:ascii="仿宋_GB2312" w:hAnsi="仿宋_GB2312" w:eastAsia="仿宋_GB2312" w:cs="仿宋_GB2312"/>
          <w:kern w:val="22"/>
          <w:sz w:val="32"/>
          <w:szCs w:val="32"/>
        </w:rPr>
        <w:t xml:space="preserve">镇政府党政办作为全镇政府信息公开主管部门，统筹负责全镇政府信息公开组织协调、指导推进、监督检查等工作。镇党政办作为政府信息公开工作具体科室，2人负责政务公开工作，其中1人专职，1人兼职。 </w:t>
      </w:r>
    </w:p>
    <w:p>
      <w:pPr>
        <w:pStyle w:val="8"/>
        <w:widowControl/>
        <w:spacing w:after="0" w:line="560" w:lineRule="exact"/>
        <w:ind w:firstLine="640"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kern w:val="22"/>
          <w:sz w:val="32"/>
          <w:szCs w:val="32"/>
        </w:rPr>
        <w:t>（六）监督保障情况</w:t>
      </w:r>
    </w:p>
    <w:p>
      <w:pPr>
        <w:pStyle w:val="8"/>
        <w:widowControl/>
        <w:spacing w:after="0" w:line="560" w:lineRule="exact"/>
        <w:ind w:firstLine="643" w:firstLineChars="200"/>
        <w:jc w:val="both"/>
        <w:rPr>
          <w:rFonts w:ascii="仿宋_GB2312" w:hAnsi="仿宋_GB2312" w:eastAsia="仿宋_GB2312" w:cs="仿宋_GB2312"/>
          <w:kern w:val="22"/>
          <w:sz w:val="32"/>
          <w:szCs w:val="32"/>
        </w:rPr>
      </w:pPr>
      <w:r>
        <w:rPr>
          <w:rFonts w:hint="eastAsia" w:ascii="仿宋_GB2312" w:hAnsi="仿宋_GB2312" w:eastAsia="仿宋_GB2312" w:cs="仿宋_GB2312"/>
          <w:b/>
          <w:kern w:val="22"/>
          <w:sz w:val="32"/>
          <w:szCs w:val="32"/>
        </w:rPr>
        <w:t>一是加强工作考核。</w:t>
      </w:r>
      <w:r>
        <w:rPr>
          <w:rFonts w:hint="eastAsia" w:ascii="仿宋_GB2312" w:hAnsi="仿宋_GB2312" w:eastAsia="仿宋_GB2312" w:cs="仿宋_GB2312"/>
          <w:kern w:val="22"/>
          <w:sz w:val="32"/>
          <w:szCs w:val="32"/>
        </w:rPr>
        <w:t>2019年，政务公开工作纳入全县经济社会发展综合考核。同时，结合省、市政务公开工作要点，印发《高青县人民政府办公室关于印发2019 年高青县政务公开工作方案的通知》（高政办发〔2019〕8号），明确各领域公开任务，落实具体责任单位。</w:t>
      </w:r>
    </w:p>
    <w:p>
      <w:pPr>
        <w:spacing w:line="560" w:lineRule="exact"/>
        <w:ind w:firstLine="643"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kern w:val="22"/>
          <w:sz w:val="32"/>
          <w:szCs w:val="32"/>
        </w:rPr>
        <w:t>二是强化责任追究。</w:t>
      </w:r>
      <w:r>
        <w:rPr>
          <w:rFonts w:hint="eastAsia" w:ascii="仿宋_GB2312" w:hAnsi="仿宋_GB2312" w:eastAsia="仿宋_GB2312" w:cs="仿宋_GB2312"/>
          <w:kern w:val="0"/>
          <w:sz w:val="32"/>
          <w:szCs w:val="32"/>
        </w:rPr>
        <w:t>镇政府按时按规对政务信息进行公开，接收群众及各部门监督，对违法违规事项进行严厉追究。</w:t>
      </w:r>
    </w:p>
    <w:p>
      <w:pPr>
        <w:pStyle w:val="8"/>
        <w:widowControl/>
        <w:numPr>
          <w:ilvl w:val="0"/>
          <w:numId w:val="1"/>
        </w:numPr>
        <w:spacing w:after="0" w:line="560" w:lineRule="exact"/>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主动公开政府信息情况</w:t>
      </w:r>
    </w:p>
    <w:p>
      <w:pPr>
        <w:pStyle w:val="8"/>
        <w:widowControl/>
        <w:spacing w:after="0" w:line="560" w:lineRule="exact"/>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2019年，镇制发政府规章0件，规范性文件0件，行政许可、行政处罚、行政强制、行政事业性收费、政府集中采购等事项公开情况详见下表。</w:t>
      </w:r>
    </w:p>
    <w:tbl>
      <w:tblPr>
        <w:tblStyle w:val="9"/>
        <w:tblW w:w="8336" w:type="dxa"/>
        <w:tblInd w:w="0" w:type="dxa"/>
        <w:tblLayout w:type="autofit"/>
        <w:tblCellMar>
          <w:top w:w="0" w:type="dxa"/>
          <w:left w:w="0" w:type="dxa"/>
          <w:bottom w:w="0" w:type="dxa"/>
          <w:right w:w="0" w:type="dxa"/>
        </w:tblCellMar>
      </w:tblPr>
      <w:tblGrid>
        <w:gridCol w:w="2597"/>
        <w:gridCol w:w="1827"/>
        <w:gridCol w:w="1956"/>
        <w:gridCol w:w="1956"/>
      </w:tblGrid>
      <w:tr>
        <w:tblPrEx>
          <w:tblCellMar>
            <w:top w:w="0" w:type="dxa"/>
            <w:left w:w="0" w:type="dxa"/>
            <w:bottom w:w="0" w:type="dxa"/>
            <w:right w:w="0" w:type="dxa"/>
          </w:tblCellMar>
        </w:tblPrEx>
        <w:trPr>
          <w:trHeight w:val="360" w:hRule="atLeast"/>
        </w:trPr>
        <w:tc>
          <w:tcPr>
            <w:tcW w:w="25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第二十条第（一）项</w:t>
            </w:r>
          </w:p>
        </w:tc>
        <w:tc>
          <w:tcPr>
            <w:tcW w:w="18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32"/>
                <w:szCs w:val="32"/>
              </w:rPr>
            </w:pPr>
          </w:p>
        </w:tc>
        <w:tc>
          <w:tcPr>
            <w:tcW w:w="1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32"/>
                <w:szCs w:val="32"/>
              </w:rPr>
            </w:pPr>
          </w:p>
        </w:tc>
        <w:tc>
          <w:tcPr>
            <w:tcW w:w="19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 xml:space="preserve">信息内容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本年新制作数量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 xml:space="preserve"> 本年新公开数量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 xml:space="preserve"> 对外公开总数量</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规章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规范性文件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第二十条第（五）项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上一年项目数量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本年增/减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处理决定数量</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行政许可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其他对外管理服务事项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bookmarkStart w:id="0" w:name="_GoBack"/>
            <w:bookmarkEnd w:id="0"/>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kern w:val="0"/>
                <w:sz w:val="32"/>
                <w:szCs w:val="32"/>
                <w:lang w:val="en-US" w:eastAsia="zh-CN" w:bidi="ar"/>
              </w:rPr>
              <w:t>9</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第二十条第（六）项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上一年项目数量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本年增/减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处理决定数量</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行政处罚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r>
      <w:tr>
        <w:tblPrEx>
          <w:tblCellMar>
            <w:top w:w="0" w:type="dxa"/>
            <w:left w:w="0" w:type="dxa"/>
            <w:bottom w:w="0" w:type="dxa"/>
            <w:right w:w="0"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行政强制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第二十条第（八）项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32"/>
                <w:szCs w:val="3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上一年项目数量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本年增/减</w:t>
            </w:r>
          </w:p>
        </w:tc>
      </w:tr>
      <w:tr>
        <w:tblPrEx>
          <w:tblCellMar>
            <w:top w:w="0" w:type="dxa"/>
            <w:left w:w="0" w:type="dxa"/>
            <w:bottom w:w="0" w:type="dxa"/>
            <w:right w:w="0"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行政事业性收费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r>
      <w:tr>
        <w:tblPrEx>
          <w:tblCellMar>
            <w:top w:w="0" w:type="dxa"/>
            <w:left w:w="0" w:type="dxa"/>
            <w:bottom w:w="0" w:type="dxa"/>
            <w:right w:w="0" w:type="dxa"/>
          </w:tblCellMar>
        </w:tblPrEx>
        <w:trPr>
          <w:trHeight w:val="1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第二十条第（九）项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r>
      <w:tr>
        <w:tblPrEx>
          <w:tblCellMar>
            <w:top w:w="0" w:type="dxa"/>
            <w:left w:w="0" w:type="dxa"/>
            <w:bottom w:w="0" w:type="dxa"/>
            <w:right w:w="0" w:type="dxa"/>
          </w:tblCellMar>
        </w:tblPrEx>
        <w:trPr>
          <w:trHeight w:val="6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信息内容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采购项目数量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采购总金额</w:t>
            </w:r>
          </w:p>
        </w:tc>
      </w:tr>
      <w:tr>
        <w:tblPrEx>
          <w:tblCellMar>
            <w:top w:w="0" w:type="dxa"/>
            <w:left w:w="0" w:type="dxa"/>
            <w:bottom w:w="0" w:type="dxa"/>
            <w:right w:w="0" w:type="dxa"/>
          </w:tblCellMar>
        </w:tblPrEx>
        <w:trPr>
          <w:trHeight w:val="3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政府集中采购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kern w:val="0"/>
                <w:sz w:val="32"/>
                <w:szCs w:val="32"/>
                <w:lang w:bidi="ar"/>
              </w:rPr>
              <w:t>183</w:t>
            </w:r>
            <w:r>
              <w:rPr>
                <w:rFonts w:hint="eastAsia" w:ascii="仿宋_GB2312" w:hAnsi="仿宋_GB2312" w:eastAsia="仿宋_GB2312" w:cs="仿宋_GB2312"/>
                <w:color w:val="000000"/>
                <w:kern w:val="0"/>
                <w:sz w:val="32"/>
                <w:szCs w:val="32"/>
                <w:lang w:val="en-US" w:eastAsia="zh-CN" w:bidi="ar"/>
              </w:rPr>
              <w:t>.95万元</w:t>
            </w:r>
          </w:p>
        </w:tc>
      </w:tr>
    </w:tbl>
    <w:p>
      <w:pPr>
        <w:pStyle w:val="8"/>
        <w:widowControl/>
        <w:spacing w:after="0"/>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b/>
          <w:sz w:val="32"/>
          <w:szCs w:val="32"/>
        </w:rPr>
        <w:t>收到和处理政府信息公开申请情况</w:t>
      </w:r>
    </w:p>
    <w:p>
      <w:pPr>
        <w:pStyle w:val="8"/>
        <w:widowControl/>
        <w:spacing w:after="0"/>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3D3D3D"/>
          <w:sz w:val="32"/>
          <w:szCs w:val="32"/>
          <w:shd w:val="clear" w:color="auto" w:fill="FFFFFF"/>
        </w:rPr>
        <w:t>2019年度，花沟镇共收到政府信息公开申请0件，结转下年度继续办理0件，上年结转政府信息公开申请0件。</w:t>
      </w:r>
    </w:p>
    <w:p>
      <w:pPr>
        <w:pStyle w:val="8"/>
        <w:widowControl/>
        <w:spacing w:after="0"/>
        <w:ind w:firstLine="640" w:firstLineChars="200"/>
        <w:rPr>
          <w:rFonts w:ascii="仿宋_GB2312" w:hAnsi="仿宋_GB2312" w:eastAsia="仿宋_GB2312" w:cs="仿宋_GB2312"/>
          <w:color w:val="000000" w:themeColor="text1"/>
          <w:sz w:val="32"/>
          <w:szCs w:val="32"/>
          <w14:textFill>
            <w14:solidFill>
              <w14:schemeClr w14:val="tx1"/>
            </w14:solidFill>
          </w14:textFill>
        </w:rPr>
      </w:pPr>
    </w:p>
    <w:p>
      <w:pPr>
        <w:pStyle w:val="8"/>
        <w:widowControl/>
        <w:numPr>
          <w:ilvl w:val="0"/>
          <w:numId w:val="2"/>
        </w:numPr>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政府信息公开行政复议、行政诉讼情况</w:t>
      </w:r>
    </w:p>
    <w:tbl>
      <w:tblPr>
        <w:tblStyle w:val="9"/>
        <w:tblW w:w="14835" w:type="dxa"/>
        <w:tblInd w:w="0" w:type="dxa"/>
        <w:tblLayout w:type="autofit"/>
        <w:tblCellMar>
          <w:top w:w="0" w:type="dxa"/>
          <w:left w:w="0" w:type="dxa"/>
          <w:bottom w:w="0" w:type="dxa"/>
          <w:right w:w="0" w:type="dxa"/>
        </w:tblCellMar>
      </w:tblPr>
      <w:tblGrid>
        <w:gridCol w:w="1310"/>
        <w:gridCol w:w="1310"/>
        <w:gridCol w:w="1310"/>
        <w:gridCol w:w="1310"/>
        <w:gridCol w:w="670"/>
        <w:gridCol w:w="1310"/>
        <w:gridCol w:w="1310"/>
        <w:gridCol w:w="1310"/>
        <w:gridCol w:w="1310"/>
        <w:gridCol w:w="670"/>
        <w:gridCol w:w="1310"/>
        <w:gridCol w:w="1310"/>
        <w:gridCol w:w="1310"/>
        <w:gridCol w:w="1310"/>
        <w:gridCol w:w="670"/>
      </w:tblGrid>
      <w:tr>
        <w:tblPrEx>
          <w:tblCellMar>
            <w:top w:w="0" w:type="dxa"/>
            <w:left w:w="0" w:type="dxa"/>
            <w:bottom w:w="0" w:type="dxa"/>
            <w:right w:w="0" w:type="dxa"/>
          </w:tblCellMar>
        </w:tblPrEx>
        <w:trPr>
          <w:trHeight w:val="480" w:hRule="atLeast"/>
        </w:trPr>
        <w:tc>
          <w:tcPr>
            <w:tcW w:w="4575"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行政复议</w:t>
            </w:r>
          </w:p>
        </w:tc>
        <w:tc>
          <w:tcPr>
            <w:tcW w:w="10260" w:type="dxa"/>
            <w:gridSpan w:val="10"/>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行政诉讼</w:t>
            </w:r>
          </w:p>
        </w:tc>
      </w:tr>
      <w:tr>
        <w:tblPrEx>
          <w:tblCellMar>
            <w:top w:w="0" w:type="dxa"/>
            <w:left w:w="0" w:type="dxa"/>
            <w:bottom w:w="0" w:type="dxa"/>
            <w:right w:w="0"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结果维持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结果纠正</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其他结果</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尚未审结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总计</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未经复议直接起诉</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复议后起诉</w:t>
            </w:r>
          </w:p>
        </w:tc>
      </w:tr>
      <w:tr>
        <w:tblPrEx>
          <w:tblCellMar>
            <w:top w:w="0" w:type="dxa"/>
            <w:left w:w="0" w:type="dxa"/>
            <w:bottom w:w="0" w:type="dxa"/>
            <w:right w:w="0"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32"/>
                <w:szCs w:val="3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32"/>
                <w:szCs w:val="3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32"/>
                <w:szCs w:val="3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32"/>
                <w:szCs w:val="3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仿宋_GB2312" w:hAnsi="仿宋_GB2312" w:eastAsia="仿宋_GB2312" w:cs="仿宋_GB2312"/>
                <w:color w:val="000000"/>
                <w:sz w:val="32"/>
                <w:szCs w:val="3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结果维持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结果纠正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其他结果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尚未审结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结果维持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结果纠正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其他结果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尚未审结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总计</w:t>
            </w:r>
          </w:p>
        </w:tc>
      </w:tr>
      <w:tr>
        <w:tblPrEx>
          <w:tblCellMar>
            <w:top w:w="0" w:type="dxa"/>
            <w:left w:w="0" w:type="dxa"/>
            <w:bottom w:w="0" w:type="dxa"/>
            <w:right w:w="0"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lang w:bidi="ar"/>
              </w:rPr>
              <w:t>0</w:t>
            </w:r>
          </w:p>
        </w:tc>
      </w:tr>
    </w:tbl>
    <w:p>
      <w:pPr>
        <w:pStyle w:val="8"/>
        <w:widowControl/>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五、</w:t>
      </w:r>
      <w:r>
        <w:rPr>
          <w:rFonts w:hint="eastAsia" w:ascii="仿宋_GB2312" w:hAnsi="仿宋_GB2312" w:eastAsia="仿宋_GB2312" w:cs="仿宋_GB2312"/>
          <w:sz w:val="32"/>
          <w:szCs w:val="32"/>
        </w:rPr>
        <w:t>存在的主要问题及改进情况</w:t>
      </w:r>
    </w:p>
    <w:p>
      <w:pPr>
        <w:pStyle w:val="8"/>
        <w:widowControl/>
        <w:spacing w:after="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（一）存在问题</w:t>
      </w:r>
    </w:p>
    <w:p>
      <w:pPr>
        <w:pStyle w:val="8"/>
        <w:widowControl/>
        <w:spacing w:after="0" w:line="560" w:lineRule="exact"/>
        <w:ind w:firstLine="640" w:firstLineChars="200"/>
        <w:jc w:val="both"/>
        <w:rPr>
          <w:rFonts w:ascii="仿宋_GB2312" w:hAnsi="仿宋_GB2312" w:eastAsia="仿宋_GB2312" w:cs="仿宋_GB2312"/>
          <w:color w:val="3D3D3D"/>
          <w:sz w:val="32"/>
          <w:szCs w:val="32"/>
          <w:shd w:val="clear" w:color="auto" w:fill="FFFFFF"/>
        </w:rPr>
      </w:pPr>
      <w:r>
        <w:rPr>
          <w:rFonts w:hint="eastAsia" w:ascii="仿宋_GB2312" w:hAnsi="仿宋_GB2312" w:eastAsia="仿宋_GB2312" w:cs="仿宋_GB2312"/>
          <w:color w:val="3D3D3D"/>
          <w:sz w:val="32"/>
          <w:szCs w:val="32"/>
          <w:shd w:val="clear" w:color="auto" w:fill="FFFFFF"/>
        </w:rPr>
        <w:t>2019年，镇信息公开工作进展顺利，公开力度加大，但是也还存在着一些问题：一是主动公开政府信息意识不强，缺乏工作积极性和主动性；二是政策解读工作机制还需完善；三是重点领域有待扩大公开。</w:t>
      </w:r>
    </w:p>
    <w:p>
      <w:pPr>
        <w:pStyle w:val="8"/>
        <w:widowControl/>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（二）改进措施</w:t>
      </w:r>
    </w:p>
    <w:p>
      <w:pPr>
        <w:spacing w:line="560" w:lineRule="exact"/>
        <w:ind w:firstLine="640" w:firstLineChars="200"/>
        <w:jc w:val="left"/>
        <w:outlineLvl w:val="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一是着力加强政府信息公开工作的培训和宣传。进一步增强机关工作人员，特别是政府信息公开工作人员关于信息公开工作规定及相关法律知识的教育培训，切实提高其依法公开政府信息的意识和能力。</w:t>
      </w:r>
    </w:p>
    <w:p>
      <w:pPr>
        <w:spacing w:line="560" w:lineRule="exact"/>
        <w:ind w:firstLine="640" w:firstLineChars="200"/>
        <w:jc w:val="left"/>
        <w:outlineLvl w:val="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二是认真落实政府信息公开标准规范，进一步完善信息公开相关工作制度，严格对照目录要求梳理、收集、发布相关信息，逐步提高镇政务公开工作水平。</w:t>
      </w:r>
    </w:p>
    <w:p>
      <w:pPr>
        <w:spacing w:line="560" w:lineRule="exact"/>
        <w:ind w:firstLine="640" w:firstLineChars="200"/>
        <w:jc w:val="left"/>
        <w:outlineLvl w:val="0"/>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是着力加大重点领域信息公开的工作力度。以“公开为民”理念，多渠道主动公开各领域的政府信息，深入推进重点领域政府信息公开，简化依申请公开工作流程，促进权责清单的全面落实，及时回应社会关切。</w:t>
      </w:r>
    </w:p>
    <w:p>
      <w:pPr>
        <w:spacing w:line="560" w:lineRule="exact"/>
        <w:ind w:firstLine="640" w:firstLineChars="20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六、其他需要报告的事项</w:t>
      </w:r>
    </w:p>
    <w:p>
      <w:pPr>
        <w:spacing w:line="560" w:lineRule="exact"/>
        <w:ind w:firstLine="576" w:firstLineChars="180"/>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p>
      <w:pPr>
        <w:pStyle w:val="8"/>
        <w:widowControl/>
        <w:spacing w:after="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p>
    <w:p>
      <w:pPr>
        <w:pStyle w:val="8"/>
        <w:widowControl/>
        <w:spacing w:after="0" w:line="560" w:lineRule="exact"/>
        <w:ind w:firstLine="640" w:firstLineChars="200"/>
        <w:jc w:val="both"/>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 </w:t>
      </w:r>
    </w:p>
    <w:p>
      <w:pPr>
        <w:pStyle w:val="8"/>
        <w:widowControl/>
        <w:spacing w:after="0" w:line="560" w:lineRule="exact"/>
        <w:ind w:firstLine="640" w:firstLineChars="200"/>
        <w:jc w:val="right"/>
        <w:rPr>
          <w:rFonts w:ascii="仿宋_GB2312" w:hAnsi="仿宋_GB2312" w:eastAsia="仿宋_GB2312" w:cs="仿宋_GB2312"/>
          <w:kern w:val="22"/>
          <w:sz w:val="32"/>
          <w:szCs w:val="32"/>
        </w:rPr>
      </w:pPr>
      <w:r>
        <w:rPr>
          <w:rFonts w:hint="eastAsia" w:ascii="仿宋_GB2312" w:hAnsi="仿宋_GB2312" w:eastAsia="仿宋_GB2312" w:cs="仿宋_GB2312"/>
          <w:kern w:val="22"/>
          <w:sz w:val="32"/>
          <w:szCs w:val="32"/>
        </w:rPr>
        <w:t>高青县花沟镇人民政府</w:t>
      </w:r>
    </w:p>
    <w:p>
      <w:pPr>
        <w:pStyle w:val="8"/>
        <w:widowControl/>
        <w:spacing w:after="0" w:line="560" w:lineRule="exact"/>
        <w:ind w:firstLine="640" w:firstLineChars="200"/>
        <w:jc w:val="right"/>
        <w:rPr>
          <w:rFonts w:ascii="仿宋_GB2312" w:hAnsi="仿宋_GB2312" w:eastAsia="仿宋_GB2312" w:cs="仿宋_GB2312"/>
          <w:kern w:val="22"/>
          <w:sz w:val="32"/>
          <w:szCs w:val="32"/>
        </w:rPr>
      </w:pPr>
      <w:r>
        <w:rPr>
          <w:rFonts w:hint="eastAsia" w:ascii="仿宋_GB2312" w:hAnsi="仿宋_GB2312" w:eastAsia="仿宋_GB2312" w:cs="仿宋_GB2312"/>
          <w:kern w:val="22"/>
          <w:sz w:val="32"/>
          <w:szCs w:val="32"/>
        </w:rPr>
        <w:t>2020年1月23日</w:t>
      </w:r>
    </w:p>
    <w:p>
      <w:pPr>
        <w:pStyle w:val="8"/>
        <w:widowControl/>
        <w:spacing w:after="0" w:line="560" w:lineRule="exact"/>
        <w:ind w:firstLine="640" w:firstLineChars="200"/>
        <w:jc w:val="right"/>
        <w:rPr>
          <w:rFonts w:ascii="仿宋_GB2312" w:hAnsi="仿宋" w:eastAsia="仿宋_GB2312" w:cs="仿宋"/>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070707"/>
    </w:sdtPr>
    <w:sdtContent>
      <w:p>
        <w:pPr>
          <w:pStyle w:val="5"/>
          <w:jc w:val="center"/>
        </w:pPr>
        <w:r>
          <w:fldChar w:fldCharType="begin"/>
        </w:r>
        <w:r>
          <w:instrText xml:space="preserve">PAGE   \* MERGEFORMAT</w:instrText>
        </w:r>
        <w:r>
          <w:fldChar w:fldCharType="separate"/>
        </w:r>
        <w:r>
          <w:rPr>
            <w:lang w:val="zh-CN"/>
          </w:rPr>
          <w:t>8</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7116EA"/>
    <w:multiLevelType w:val="singleLevel"/>
    <w:tmpl w:val="D37116EA"/>
    <w:lvl w:ilvl="0" w:tentative="0">
      <w:start w:val="2"/>
      <w:numFmt w:val="chineseCounting"/>
      <w:suff w:val="nothing"/>
      <w:lvlText w:val="%1、"/>
      <w:lvlJc w:val="left"/>
      <w:rPr>
        <w:rFonts w:hint="eastAsia"/>
      </w:rPr>
    </w:lvl>
  </w:abstractNum>
  <w:abstractNum w:abstractNumId="1">
    <w:nsid w:val="DCD6B6A0"/>
    <w:multiLevelType w:val="singleLevel"/>
    <w:tmpl w:val="DCD6B6A0"/>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57"/>
    <w:rsid w:val="00004CF5"/>
    <w:rsid w:val="0000725E"/>
    <w:rsid w:val="00010331"/>
    <w:rsid w:val="00024E42"/>
    <w:rsid w:val="000345B4"/>
    <w:rsid w:val="00035216"/>
    <w:rsid w:val="00051D91"/>
    <w:rsid w:val="00053F65"/>
    <w:rsid w:val="00061B07"/>
    <w:rsid w:val="0006501F"/>
    <w:rsid w:val="00065C69"/>
    <w:rsid w:val="000672CE"/>
    <w:rsid w:val="00093F81"/>
    <w:rsid w:val="00094B75"/>
    <w:rsid w:val="000A057B"/>
    <w:rsid w:val="000B000A"/>
    <w:rsid w:val="000C43E2"/>
    <w:rsid w:val="000D1696"/>
    <w:rsid w:val="000D2527"/>
    <w:rsid w:val="000D3D1E"/>
    <w:rsid w:val="000D502C"/>
    <w:rsid w:val="000E1DD5"/>
    <w:rsid w:val="000E3958"/>
    <w:rsid w:val="000F383D"/>
    <w:rsid w:val="000F7B6C"/>
    <w:rsid w:val="00104B97"/>
    <w:rsid w:val="00115736"/>
    <w:rsid w:val="001205A9"/>
    <w:rsid w:val="001215E4"/>
    <w:rsid w:val="001328B3"/>
    <w:rsid w:val="00136EBD"/>
    <w:rsid w:val="0015335B"/>
    <w:rsid w:val="001551B9"/>
    <w:rsid w:val="00156800"/>
    <w:rsid w:val="00156AFE"/>
    <w:rsid w:val="0015752F"/>
    <w:rsid w:val="00164C2C"/>
    <w:rsid w:val="00165287"/>
    <w:rsid w:val="00177AFC"/>
    <w:rsid w:val="00187E46"/>
    <w:rsid w:val="0019292B"/>
    <w:rsid w:val="00192EAC"/>
    <w:rsid w:val="00195276"/>
    <w:rsid w:val="00195C7C"/>
    <w:rsid w:val="001A052A"/>
    <w:rsid w:val="001A4452"/>
    <w:rsid w:val="001B463C"/>
    <w:rsid w:val="001C2DCD"/>
    <w:rsid w:val="001C6CB8"/>
    <w:rsid w:val="001D01BA"/>
    <w:rsid w:val="001E256B"/>
    <w:rsid w:val="001E3D4C"/>
    <w:rsid w:val="001E7B38"/>
    <w:rsid w:val="001F1D4F"/>
    <w:rsid w:val="001F3CA4"/>
    <w:rsid w:val="001F3D15"/>
    <w:rsid w:val="001F53D4"/>
    <w:rsid w:val="00203EC3"/>
    <w:rsid w:val="00213531"/>
    <w:rsid w:val="00213CFE"/>
    <w:rsid w:val="00216B90"/>
    <w:rsid w:val="00221CC4"/>
    <w:rsid w:val="00227902"/>
    <w:rsid w:val="00234602"/>
    <w:rsid w:val="00244E3E"/>
    <w:rsid w:val="00263708"/>
    <w:rsid w:val="00263B33"/>
    <w:rsid w:val="002834ED"/>
    <w:rsid w:val="00286C8A"/>
    <w:rsid w:val="002A647C"/>
    <w:rsid w:val="002B625C"/>
    <w:rsid w:val="002C58DB"/>
    <w:rsid w:val="002D6EBB"/>
    <w:rsid w:val="002D74A7"/>
    <w:rsid w:val="002D7DB8"/>
    <w:rsid w:val="002E5D54"/>
    <w:rsid w:val="0030230A"/>
    <w:rsid w:val="0031159C"/>
    <w:rsid w:val="00326584"/>
    <w:rsid w:val="0033231B"/>
    <w:rsid w:val="003441BE"/>
    <w:rsid w:val="00346C4D"/>
    <w:rsid w:val="00361762"/>
    <w:rsid w:val="00363DDF"/>
    <w:rsid w:val="00370E69"/>
    <w:rsid w:val="00375878"/>
    <w:rsid w:val="00380933"/>
    <w:rsid w:val="0039205B"/>
    <w:rsid w:val="003938A3"/>
    <w:rsid w:val="003A230F"/>
    <w:rsid w:val="003A3153"/>
    <w:rsid w:val="003A473F"/>
    <w:rsid w:val="003A57D1"/>
    <w:rsid w:val="003B4B73"/>
    <w:rsid w:val="003C27DE"/>
    <w:rsid w:val="003C3846"/>
    <w:rsid w:val="003E2D20"/>
    <w:rsid w:val="003F52B2"/>
    <w:rsid w:val="003F6FE9"/>
    <w:rsid w:val="00406346"/>
    <w:rsid w:val="004076B3"/>
    <w:rsid w:val="004109E8"/>
    <w:rsid w:val="00410A4A"/>
    <w:rsid w:val="0041443C"/>
    <w:rsid w:val="004155DE"/>
    <w:rsid w:val="00436EA0"/>
    <w:rsid w:val="004373DC"/>
    <w:rsid w:val="004449B9"/>
    <w:rsid w:val="004479E3"/>
    <w:rsid w:val="00450790"/>
    <w:rsid w:val="004518C4"/>
    <w:rsid w:val="0045219A"/>
    <w:rsid w:val="0045733C"/>
    <w:rsid w:val="00462BD1"/>
    <w:rsid w:val="00464149"/>
    <w:rsid w:val="00470E57"/>
    <w:rsid w:val="00473B69"/>
    <w:rsid w:val="0048058E"/>
    <w:rsid w:val="0048124A"/>
    <w:rsid w:val="00481D4A"/>
    <w:rsid w:val="004A2D10"/>
    <w:rsid w:val="004C0559"/>
    <w:rsid w:val="004D3C26"/>
    <w:rsid w:val="004D460A"/>
    <w:rsid w:val="004D50F5"/>
    <w:rsid w:val="004E0762"/>
    <w:rsid w:val="004E1E7F"/>
    <w:rsid w:val="004E30D9"/>
    <w:rsid w:val="004F0C56"/>
    <w:rsid w:val="004F62DB"/>
    <w:rsid w:val="00505A1E"/>
    <w:rsid w:val="005064BA"/>
    <w:rsid w:val="00513D53"/>
    <w:rsid w:val="00514EF2"/>
    <w:rsid w:val="0051560E"/>
    <w:rsid w:val="005171BD"/>
    <w:rsid w:val="00530324"/>
    <w:rsid w:val="005354E1"/>
    <w:rsid w:val="005405CC"/>
    <w:rsid w:val="005419F2"/>
    <w:rsid w:val="00546499"/>
    <w:rsid w:val="0054791A"/>
    <w:rsid w:val="00555BD0"/>
    <w:rsid w:val="0058712D"/>
    <w:rsid w:val="00592243"/>
    <w:rsid w:val="005930D6"/>
    <w:rsid w:val="005B51C5"/>
    <w:rsid w:val="005B76E3"/>
    <w:rsid w:val="005C1AEC"/>
    <w:rsid w:val="005C79C4"/>
    <w:rsid w:val="005F2577"/>
    <w:rsid w:val="005F3E26"/>
    <w:rsid w:val="00605185"/>
    <w:rsid w:val="0062262B"/>
    <w:rsid w:val="00622752"/>
    <w:rsid w:val="006373B2"/>
    <w:rsid w:val="00637DD1"/>
    <w:rsid w:val="00637F0D"/>
    <w:rsid w:val="006457E7"/>
    <w:rsid w:val="00650011"/>
    <w:rsid w:val="00653E08"/>
    <w:rsid w:val="006642C7"/>
    <w:rsid w:val="0066520B"/>
    <w:rsid w:val="00673AB3"/>
    <w:rsid w:val="006854F7"/>
    <w:rsid w:val="006933BA"/>
    <w:rsid w:val="006B416F"/>
    <w:rsid w:val="006B7628"/>
    <w:rsid w:val="006C3A06"/>
    <w:rsid w:val="006D763F"/>
    <w:rsid w:val="006E0DFF"/>
    <w:rsid w:val="006F1821"/>
    <w:rsid w:val="006F1CA4"/>
    <w:rsid w:val="006F1D2B"/>
    <w:rsid w:val="006F770B"/>
    <w:rsid w:val="00712FC4"/>
    <w:rsid w:val="0071441F"/>
    <w:rsid w:val="00732FAD"/>
    <w:rsid w:val="0073505F"/>
    <w:rsid w:val="007522A8"/>
    <w:rsid w:val="0075482D"/>
    <w:rsid w:val="00760D74"/>
    <w:rsid w:val="00761DD7"/>
    <w:rsid w:val="00762FB6"/>
    <w:rsid w:val="00766CAF"/>
    <w:rsid w:val="00773F1C"/>
    <w:rsid w:val="00776A6F"/>
    <w:rsid w:val="007A2408"/>
    <w:rsid w:val="007C3766"/>
    <w:rsid w:val="007D53E3"/>
    <w:rsid w:val="007D5E52"/>
    <w:rsid w:val="007E10E9"/>
    <w:rsid w:val="007F701A"/>
    <w:rsid w:val="008031F8"/>
    <w:rsid w:val="00806C7A"/>
    <w:rsid w:val="008074D5"/>
    <w:rsid w:val="00807FE9"/>
    <w:rsid w:val="008224B6"/>
    <w:rsid w:val="008226FB"/>
    <w:rsid w:val="00826BE4"/>
    <w:rsid w:val="00831B01"/>
    <w:rsid w:val="00841764"/>
    <w:rsid w:val="00843B00"/>
    <w:rsid w:val="00845A36"/>
    <w:rsid w:val="00850679"/>
    <w:rsid w:val="008560C3"/>
    <w:rsid w:val="00890E5B"/>
    <w:rsid w:val="008A1F1B"/>
    <w:rsid w:val="008A69B9"/>
    <w:rsid w:val="008A7057"/>
    <w:rsid w:val="008B1273"/>
    <w:rsid w:val="008C3881"/>
    <w:rsid w:val="008C7119"/>
    <w:rsid w:val="008D04B4"/>
    <w:rsid w:val="008D26C7"/>
    <w:rsid w:val="008D492B"/>
    <w:rsid w:val="008D51E4"/>
    <w:rsid w:val="008D6E8E"/>
    <w:rsid w:val="008E74CC"/>
    <w:rsid w:val="008E7927"/>
    <w:rsid w:val="008F15A5"/>
    <w:rsid w:val="008F7A5A"/>
    <w:rsid w:val="00904CA4"/>
    <w:rsid w:val="009102B2"/>
    <w:rsid w:val="0091387B"/>
    <w:rsid w:val="009160F6"/>
    <w:rsid w:val="009231FA"/>
    <w:rsid w:val="009413F6"/>
    <w:rsid w:val="009573F0"/>
    <w:rsid w:val="00961F0F"/>
    <w:rsid w:val="00973EB1"/>
    <w:rsid w:val="00976755"/>
    <w:rsid w:val="00981209"/>
    <w:rsid w:val="00996BFB"/>
    <w:rsid w:val="00997735"/>
    <w:rsid w:val="009A72A5"/>
    <w:rsid w:val="009B314C"/>
    <w:rsid w:val="009B6A99"/>
    <w:rsid w:val="009C1854"/>
    <w:rsid w:val="009C7FFB"/>
    <w:rsid w:val="009D23D6"/>
    <w:rsid w:val="009D399F"/>
    <w:rsid w:val="009D4EF4"/>
    <w:rsid w:val="009E6762"/>
    <w:rsid w:val="009F78F1"/>
    <w:rsid w:val="009F7AC8"/>
    <w:rsid w:val="00A00FA5"/>
    <w:rsid w:val="00A17F65"/>
    <w:rsid w:val="00A254D8"/>
    <w:rsid w:val="00A313A7"/>
    <w:rsid w:val="00A43397"/>
    <w:rsid w:val="00A4468D"/>
    <w:rsid w:val="00A77CA1"/>
    <w:rsid w:val="00A81B6C"/>
    <w:rsid w:val="00A9180A"/>
    <w:rsid w:val="00AA1919"/>
    <w:rsid w:val="00AA2CFC"/>
    <w:rsid w:val="00AB176E"/>
    <w:rsid w:val="00AB4557"/>
    <w:rsid w:val="00AE0624"/>
    <w:rsid w:val="00AE06D9"/>
    <w:rsid w:val="00AE4342"/>
    <w:rsid w:val="00AF0A0B"/>
    <w:rsid w:val="00AF6913"/>
    <w:rsid w:val="00B03267"/>
    <w:rsid w:val="00B11FB3"/>
    <w:rsid w:val="00B20805"/>
    <w:rsid w:val="00B23B66"/>
    <w:rsid w:val="00B25577"/>
    <w:rsid w:val="00B400F3"/>
    <w:rsid w:val="00B4577F"/>
    <w:rsid w:val="00B52341"/>
    <w:rsid w:val="00B53A4F"/>
    <w:rsid w:val="00B65017"/>
    <w:rsid w:val="00B731B9"/>
    <w:rsid w:val="00B76FE3"/>
    <w:rsid w:val="00BA1897"/>
    <w:rsid w:val="00BA3E56"/>
    <w:rsid w:val="00BB08FE"/>
    <w:rsid w:val="00BD2243"/>
    <w:rsid w:val="00BD7155"/>
    <w:rsid w:val="00BE00D7"/>
    <w:rsid w:val="00BE0203"/>
    <w:rsid w:val="00BE509B"/>
    <w:rsid w:val="00BE618C"/>
    <w:rsid w:val="00BE6B75"/>
    <w:rsid w:val="00C00A2D"/>
    <w:rsid w:val="00C02A79"/>
    <w:rsid w:val="00C048E7"/>
    <w:rsid w:val="00C0791E"/>
    <w:rsid w:val="00C2096B"/>
    <w:rsid w:val="00C24168"/>
    <w:rsid w:val="00C27137"/>
    <w:rsid w:val="00C32825"/>
    <w:rsid w:val="00C34FCB"/>
    <w:rsid w:val="00C35E2F"/>
    <w:rsid w:val="00C45260"/>
    <w:rsid w:val="00C6017A"/>
    <w:rsid w:val="00C727B3"/>
    <w:rsid w:val="00C76D2E"/>
    <w:rsid w:val="00C81116"/>
    <w:rsid w:val="00C91587"/>
    <w:rsid w:val="00C95677"/>
    <w:rsid w:val="00CA1054"/>
    <w:rsid w:val="00CA1A71"/>
    <w:rsid w:val="00CA1FCF"/>
    <w:rsid w:val="00CA3057"/>
    <w:rsid w:val="00CB1438"/>
    <w:rsid w:val="00CB2E2A"/>
    <w:rsid w:val="00CB7F25"/>
    <w:rsid w:val="00CC518B"/>
    <w:rsid w:val="00CE03CA"/>
    <w:rsid w:val="00CE2166"/>
    <w:rsid w:val="00D017A8"/>
    <w:rsid w:val="00D22310"/>
    <w:rsid w:val="00D23448"/>
    <w:rsid w:val="00D24292"/>
    <w:rsid w:val="00D33970"/>
    <w:rsid w:val="00D40D23"/>
    <w:rsid w:val="00D45D0C"/>
    <w:rsid w:val="00D54B8B"/>
    <w:rsid w:val="00D62C9A"/>
    <w:rsid w:val="00D6313B"/>
    <w:rsid w:val="00D63AE0"/>
    <w:rsid w:val="00D744EE"/>
    <w:rsid w:val="00D75309"/>
    <w:rsid w:val="00D75948"/>
    <w:rsid w:val="00D77BF0"/>
    <w:rsid w:val="00DA48B9"/>
    <w:rsid w:val="00DB58B6"/>
    <w:rsid w:val="00DC10F2"/>
    <w:rsid w:val="00DC7B85"/>
    <w:rsid w:val="00DD059C"/>
    <w:rsid w:val="00DD3FEE"/>
    <w:rsid w:val="00DD499D"/>
    <w:rsid w:val="00DE1483"/>
    <w:rsid w:val="00DE5064"/>
    <w:rsid w:val="00DE7F16"/>
    <w:rsid w:val="00DF2952"/>
    <w:rsid w:val="00DF3350"/>
    <w:rsid w:val="00E00C8D"/>
    <w:rsid w:val="00E06EF1"/>
    <w:rsid w:val="00E12972"/>
    <w:rsid w:val="00E151D4"/>
    <w:rsid w:val="00E21966"/>
    <w:rsid w:val="00E322B9"/>
    <w:rsid w:val="00E43625"/>
    <w:rsid w:val="00E5216B"/>
    <w:rsid w:val="00E653F7"/>
    <w:rsid w:val="00E66665"/>
    <w:rsid w:val="00E66F54"/>
    <w:rsid w:val="00E950E7"/>
    <w:rsid w:val="00EA387C"/>
    <w:rsid w:val="00EB5170"/>
    <w:rsid w:val="00EC0864"/>
    <w:rsid w:val="00ED48D7"/>
    <w:rsid w:val="00ED6409"/>
    <w:rsid w:val="00EE2917"/>
    <w:rsid w:val="00EE6BCA"/>
    <w:rsid w:val="00EE7323"/>
    <w:rsid w:val="00EE7AD5"/>
    <w:rsid w:val="00F151FB"/>
    <w:rsid w:val="00F2143F"/>
    <w:rsid w:val="00F26C6E"/>
    <w:rsid w:val="00F40E98"/>
    <w:rsid w:val="00F43D52"/>
    <w:rsid w:val="00F462FC"/>
    <w:rsid w:val="00F537A3"/>
    <w:rsid w:val="00F65EEC"/>
    <w:rsid w:val="00F75B1D"/>
    <w:rsid w:val="00F84453"/>
    <w:rsid w:val="00F939D0"/>
    <w:rsid w:val="00FA50B3"/>
    <w:rsid w:val="00FB073B"/>
    <w:rsid w:val="00FB5EF6"/>
    <w:rsid w:val="00FC101F"/>
    <w:rsid w:val="00FC2F58"/>
    <w:rsid w:val="00FC4EF6"/>
    <w:rsid w:val="00FC53FA"/>
    <w:rsid w:val="00FD2FA1"/>
    <w:rsid w:val="00FD4423"/>
    <w:rsid w:val="00FD4664"/>
    <w:rsid w:val="00FD78B7"/>
    <w:rsid w:val="00FE0A2A"/>
    <w:rsid w:val="00FE0F1E"/>
    <w:rsid w:val="00FE729E"/>
    <w:rsid w:val="00FF041C"/>
    <w:rsid w:val="02613DE6"/>
    <w:rsid w:val="0AB9282A"/>
    <w:rsid w:val="11B71FFC"/>
    <w:rsid w:val="35247098"/>
    <w:rsid w:val="682573E2"/>
    <w:rsid w:val="76A469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link w:val="14"/>
    <w:qFormat/>
    <w:uiPriority w:val="99"/>
    <w:pPr>
      <w:keepNext/>
      <w:keepLines/>
      <w:spacing w:before="260" w:after="260" w:line="416" w:lineRule="auto"/>
      <w:outlineLvl w:val="2"/>
    </w:pPr>
    <w:rPr>
      <w:rFonts w:ascii="??" w:hAnsi="??" w:cs="??"/>
      <w:b/>
      <w:bCs/>
      <w:sz w:val="32"/>
      <w:szCs w:val="32"/>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link w:val="18"/>
    <w:qFormat/>
    <w:uiPriority w:val="0"/>
    <w:pPr>
      <w:spacing w:after="120"/>
    </w:pPr>
    <w:rPr>
      <w:rFonts w:ascii="Times New Roman" w:hAnsi="Times New Roman" w:eastAsia="仿宋_GB2312" w:cs="仿宋_GB2312"/>
      <w:bCs/>
      <w:sz w:val="32"/>
      <w:szCs w:val="32"/>
    </w:r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footnote text"/>
    <w:basedOn w:val="1"/>
    <w:link w:val="17"/>
    <w:qFormat/>
    <w:uiPriority w:val="99"/>
    <w:pPr>
      <w:snapToGrid w:val="0"/>
      <w:jc w:val="left"/>
    </w:pPr>
    <w:rPr>
      <w:sz w:val="18"/>
      <w:szCs w:val="18"/>
    </w:rPr>
  </w:style>
  <w:style w:type="paragraph" w:styleId="8">
    <w:name w:val="Normal (Web)"/>
    <w:basedOn w:val="1"/>
    <w:qFormat/>
    <w:uiPriority w:val="0"/>
    <w:pPr>
      <w:spacing w:after="150"/>
      <w:jc w:val="left"/>
    </w:pPr>
    <w:rPr>
      <w:kern w:val="0"/>
      <w:sz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6"/>
    <w:qFormat/>
    <w:uiPriority w:val="99"/>
    <w:rPr>
      <w:sz w:val="18"/>
      <w:szCs w:val="18"/>
    </w:rPr>
  </w:style>
  <w:style w:type="character" w:customStyle="1" w:styleId="13">
    <w:name w:val="页脚 Char"/>
    <w:basedOn w:val="11"/>
    <w:link w:val="5"/>
    <w:qFormat/>
    <w:uiPriority w:val="99"/>
    <w:rPr>
      <w:sz w:val="18"/>
      <w:szCs w:val="18"/>
    </w:rPr>
  </w:style>
  <w:style w:type="character" w:customStyle="1" w:styleId="14">
    <w:name w:val="标题 3 Char"/>
    <w:basedOn w:val="11"/>
    <w:link w:val="2"/>
    <w:qFormat/>
    <w:uiPriority w:val="99"/>
    <w:rPr>
      <w:rFonts w:ascii="??" w:hAnsi="??" w:eastAsia="宋体" w:cs="??"/>
      <w:b/>
      <w:bCs/>
      <w:sz w:val="32"/>
      <w:szCs w:val="32"/>
    </w:rPr>
  </w:style>
  <w:style w:type="paragraph" w:customStyle="1" w:styleId="15">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6">
    <w:name w:val="批注框文本 Char"/>
    <w:basedOn w:val="11"/>
    <w:link w:val="4"/>
    <w:semiHidden/>
    <w:qFormat/>
    <w:uiPriority w:val="99"/>
    <w:rPr>
      <w:rFonts w:ascii="Calibri" w:hAnsi="Calibri" w:eastAsia="宋体" w:cs="Times New Roman"/>
      <w:sz w:val="18"/>
      <w:szCs w:val="18"/>
    </w:rPr>
  </w:style>
  <w:style w:type="character" w:customStyle="1" w:styleId="17">
    <w:name w:val="脚注文本 Char"/>
    <w:basedOn w:val="11"/>
    <w:link w:val="7"/>
    <w:qFormat/>
    <w:uiPriority w:val="99"/>
    <w:rPr>
      <w:rFonts w:ascii="Calibri" w:hAnsi="Calibri" w:eastAsia="宋体" w:cs="Times New Roman"/>
      <w:sz w:val="18"/>
      <w:szCs w:val="18"/>
    </w:rPr>
  </w:style>
  <w:style w:type="character" w:customStyle="1" w:styleId="18">
    <w:name w:val="正文文本 Char"/>
    <w:basedOn w:val="11"/>
    <w:link w:val="3"/>
    <w:qFormat/>
    <w:uiPriority w:val="0"/>
    <w:rPr>
      <w:rFonts w:ascii="Times New Roman" w:hAnsi="Times New Roman" w:eastAsia="仿宋_GB2312" w:cs="仿宋_GB2312"/>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BC7F2F-5FFA-45C9-8242-AB0DD4D4BAB8}">
  <ds:schemaRefs/>
</ds:datastoreItem>
</file>

<file path=docProps/app.xml><?xml version="1.0" encoding="utf-8"?>
<Properties xmlns="http://schemas.openxmlformats.org/officeDocument/2006/extended-properties" xmlns:vt="http://schemas.openxmlformats.org/officeDocument/2006/docPropsVTypes">
  <Template>Normal</Template>
  <Company>gq</Company>
  <Pages>9</Pages>
  <Words>462</Words>
  <Characters>2639</Characters>
  <Lines>21</Lines>
  <Paragraphs>6</Paragraphs>
  <TotalTime>0</TotalTime>
  <ScaleCrop>false</ScaleCrop>
  <LinksUpToDate>false</LinksUpToDate>
  <CharactersWithSpaces>3095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2020-07-01T08:24:00Z</dcterms:created>
  <dc:creator>lb</dc:creator>
  <cp:lastModifiedBy>Administrator</cp:lastModifiedBy>
  <cp:lastPrinted>2020-06-05T08:04:00Z</cp:lastPrinted>
  <dcterms:modified xsi:type="dcterms:W3CDTF">2021-01-28T02:06:47Z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