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FCF8C">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高青县花沟镇人民政府信息公开指南</w:t>
      </w:r>
    </w:p>
    <w:p w14:paraId="0F5F0EF2">
      <w:pPr>
        <w:spacing w:line="560" w:lineRule="exact"/>
        <w:jc w:val="center"/>
        <w:rPr>
          <w:rFonts w:ascii="方正小标宋简体" w:eastAsia="方正小标宋简体"/>
          <w:sz w:val="36"/>
          <w:szCs w:val="36"/>
        </w:rPr>
      </w:pPr>
    </w:p>
    <w:p w14:paraId="76B6D045">
      <w:pPr>
        <w:spacing w:line="560" w:lineRule="exact"/>
        <w:ind w:firstLine="640" w:firstLineChars="200"/>
        <w:rPr>
          <w:rFonts w:ascii="仿宋_GB2312" w:eastAsia="仿宋_GB2312"/>
          <w:sz w:val="32"/>
          <w:szCs w:val="32"/>
        </w:rPr>
      </w:pPr>
      <w:r>
        <w:rPr>
          <w:rFonts w:hint="eastAsia" w:ascii="仿宋_GB2312" w:eastAsia="仿宋_GB2312"/>
          <w:sz w:val="32"/>
          <w:szCs w:val="32"/>
        </w:rPr>
        <w:t>《高青县花沟镇人民政府信息公开指南》（以下简称《指南》）由高青县花沟镇人民政府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7FB24C35">
      <w:pPr>
        <w:spacing w:line="56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14:paraId="50BDDBFE">
      <w:pPr>
        <w:spacing w:line="560" w:lineRule="exact"/>
        <w:ind w:firstLine="640" w:firstLineChars="200"/>
        <w:rPr>
          <w:rFonts w:ascii="仿宋_GB2312" w:eastAsia="仿宋_GB2312"/>
          <w:color w:val="FF0000"/>
          <w:sz w:val="32"/>
          <w:szCs w:val="32"/>
        </w:rPr>
      </w:pPr>
      <w:r>
        <w:rPr>
          <w:rFonts w:hint="eastAsia" w:ascii="楷体_GB2312" w:eastAsia="楷体_GB2312"/>
          <w:sz w:val="32"/>
          <w:szCs w:val="32"/>
        </w:rPr>
        <w:t>（一）信息分类和编排体系</w:t>
      </w:r>
    </w:p>
    <w:p w14:paraId="6D63E5FF">
      <w:pPr>
        <w:spacing w:line="560" w:lineRule="exact"/>
        <w:ind w:firstLine="640" w:firstLineChars="200"/>
        <w:rPr>
          <w:rFonts w:ascii="仿宋_GB2312" w:eastAsia="仿宋_GB2312"/>
          <w:sz w:val="32"/>
          <w:szCs w:val="32"/>
        </w:rPr>
      </w:pPr>
      <w:r>
        <w:rPr>
          <w:rFonts w:hint="eastAsia" w:ascii="仿宋_GB2312" w:eastAsia="仿宋_GB2312"/>
          <w:sz w:val="32"/>
          <w:szCs w:val="32"/>
        </w:rPr>
        <w:t>1.机构职能</w:t>
      </w:r>
    </w:p>
    <w:p w14:paraId="6187E678">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14:paraId="63B18075">
      <w:pPr>
        <w:spacing w:line="560" w:lineRule="exact"/>
        <w:ind w:firstLine="640" w:firstLineChars="200"/>
        <w:rPr>
          <w:rFonts w:ascii="仿宋_GB2312" w:eastAsia="仿宋_GB2312"/>
          <w:sz w:val="32"/>
          <w:szCs w:val="32"/>
        </w:rPr>
      </w:pPr>
      <w:r>
        <w:rPr>
          <w:rFonts w:hint="eastAsia" w:ascii="仿宋_GB2312" w:eastAsia="仿宋_GB2312"/>
          <w:sz w:val="32"/>
          <w:szCs w:val="32"/>
        </w:rPr>
        <w:t>2.政策文件</w:t>
      </w:r>
    </w:p>
    <w:p w14:paraId="6EDD5A1B">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14:paraId="3201C6BD">
      <w:pPr>
        <w:spacing w:line="560" w:lineRule="exact"/>
        <w:ind w:firstLine="640" w:firstLineChars="200"/>
        <w:rPr>
          <w:rFonts w:ascii="仿宋_GB2312" w:eastAsia="仿宋_GB2312"/>
          <w:sz w:val="32"/>
          <w:szCs w:val="32"/>
        </w:rPr>
      </w:pPr>
      <w:r>
        <w:rPr>
          <w:rFonts w:hint="eastAsia" w:ascii="仿宋_GB2312" w:eastAsia="仿宋_GB2312"/>
          <w:sz w:val="32"/>
          <w:szCs w:val="32"/>
        </w:rPr>
        <w:t>3.规划计划</w:t>
      </w:r>
    </w:p>
    <w:p w14:paraId="76D5BB14">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主要包括：专项规划、区域规划；本机关阶段性工作计划、工作重点安排等。</w:t>
      </w:r>
    </w:p>
    <w:p w14:paraId="482CA4B7">
      <w:pPr>
        <w:spacing w:line="560" w:lineRule="exact"/>
        <w:ind w:firstLine="640" w:firstLineChars="200"/>
        <w:rPr>
          <w:rFonts w:ascii="仿宋_GB2312" w:eastAsia="仿宋_GB2312"/>
          <w:sz w:val="32"/>
          <w:szCs w:val="32"/>
        </w:rPr>
      </w:pPr>
      <w:r>
        <w:rPr>
          <w:rFonts w:hint="eastAsia" w:ascii="仿宋_GB2312" w:eastAsia="仿宋_GB2312"/>
          <w:sz w:val="32"/>
          <w:szCs w:val="32"/>
        </w:rPr>
        <w:t>4.政府工作报告</w:t>
      </w:r>
    </w:p>
    <w:p w14:paraId="1E967001">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主要包括：本乡镇政府工作报告等。</w:t>
      </w:r>
    </w:p>
    <w:p w14:paraId="242A64D6">
      <w:pPr>
        <w:spacing w:line="560" w:lineRule="exact"/>
        <w:ind w:firstLine="640" w:firstLineChars="200"/>
        <w:rPr>
          <w:rFonts w:ascii="仿宋_GB2312" w:eastAsia="仿宋_GB2312"/>
          <w:sz w:val="32"/>
          <w:szCs w:val="32"/>
        </w:rPr>
      </w:pPr>
      <w:r>
        <w:rPr>
          <w:rFonts w:hint="eastAsia" w:ascii="仿宋_GB2312" w:eastAsia="仿宋_GB2312"/>
          <w:sz w:val="32"/>
          <w:szCs w:val="32"/>
        </w:rPr>
        <w:t>5.业务工作</w:t>
      </w:r>
    </w:p>
    <w:p w14:paraId="5472F2D6">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14:paraId="413A586B">
      <w:pPr>
        <w:spacing w:line="560" w:lineRule="exact"/>
        <w:ind w:firstLine="640" w:firstLineChars="200"/>
        <w:rPr>
          <w:rFonts w:ascii="仿宋_GB2312" w:eastAsia="仿宋_GB2312"/>
          <w:sz w:val="32"/>
          <w:szCs w:val="32"/>
        </w:rPr>
      </w:pPr>
      <w:r>
        <w:rPr>
          <w:rFonts w:hint="eastAsia" w:ascii="仿宋_GB2312" w:eastAsia="仿宋_GB2312"/>
          <w:sz w:val="32"/>
          <w:szCs w:val="32"/>
        </w:rPr>
        <w:t>6.统计数据</w:t>
      </w:r>
    </w:p>
    <w:p w14:paraId="6F7C2A77">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主要包括：本机关财政预算、决算报告等。</w:t>
      </w:r>
    </w:p>
    <w:p w14:paraId="1EB61EF9">
      <w:pPr>
        <w:spacing w:line="560" w:lineRule="exact"/>
        <w:ind w:firstLine="640" w:firstLineChars="200"/>
        <w:rPr>
          <w:rFonts w:ascii="仿宋_GB2312" w:eastAsia="仿宋_GB2312"/>
          <w:sz w:val="32"/>
          <w:szCs w:val="32"/>
        </w:rPr>
      </w:pPr>
      <w:r>
        <w:rPr>
          <w:rFonts w:hint="eastAsia" w:ascii="仿宋_GB2312" w:eastAsia="仿宋_GB2312"/>
          <w:sz w:val="32"/>
          <w:szCs w:val="32"/>
        </w:rPr>
        <w:t>7.人事信息</w:t>
      </w:r>
    </w:p>
    <w:p w14:paraId="45AD56ED">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主要包括：本机关人事任免信息等。</w:t>
      </w:r>
    </w:p>
    <w:p w14:paraId="2A985018">
      <w:pPr>
        <w:spacing w:line="560" w:lineRule="exact"/>
        <w:ind w:firstLine="640" w:firstLineChars="200"/>
        <w:rPr>
          <w:rFonts w:ascii="仿宋_GB2312" w:eastAsia="仿宋_GB2312"/>
          <w:sz w:val="32"/>
          <w:szCs w:val="32"/>
        </w:rPr>
      </w:pPr>
      <w:r>
        <w:rPr>
          <w:rFonts w:hint="eastAsia" w:ascii="仿宋_GB2312" w:eastAsia="仿宋_GB2312"/>
          <w:sz w:val="32"/>
          <w:szCs w:val="32"/>
        </w:rPr>
        <w:t>8.其他</w:t>
      </w:r>
    </w:p>
    <w:p w14:paraId="0EA46A0B">
      <w:pPr>
        <w:spacing w:line="56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14:paraId="77AB50CF">
      <w:pPr>
        <w:spacing w:line="560" w:lineRule="exact"/>
        <w:ind w:firstLine="640" w:firstLineChars="200"/>
        <w:rPr>
          <w:rFonts w:ascii="楷体_GB2312" w:eastAsia="楷体_GB2312"/>
          <w:sz w:val="32"/>
          <w:szCs w:val="32"/>
        </w:rPr>
      </w:pPr>
      <w:r>
        <w:rPr>
          <w:rFonts w:hint="eastAsia" w:ascii="楷体_GB2312" w:eastAsia="楷体_GB2312"/>
          <w:sz w:val="32"/>
          <w:szCs w:val="32"/>
        </w:rPr>
        <w:t>（二）公开形式</w:t>
      </w:r>
    </w:p>
    <w:p w14:paraId="28468E85">
      <w:pPr>
        <w:spacing w:line="56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14:paraId="0CF27823">
      <w:pPr>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2.《高青县人民政府公报》（http://www.gaoqing.gov.cn/gongkai/channel_c10671/）。</w:t>
      </w:r>
      <w:r>
        <w:rPr>
          <w:rFonts w:hint="eastAsia" w:ascii="仿宋_GB2312" w:eastAsia="仿宋_GB2312"/>
          <w:color w:val="000000" w:themeColor="text1"/>
          <w:sz w:val="32"/>
          <w:szCs w:val="32"/>
          <w14:textFill>
            <w14:solidFill>
              <w14:schemeClr w14:val="tx1"/>
            </w14:solidFill>
          </w14:textFill>
        </w:rPr>
        <w:t>（1）《高青县人民政府公报》线上查阅</w:t>
      </w:r>
    </w:p>
    <w:p w14:paraId="06AA9FA2">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可登录高青县人民政府门户网站“政府公报”专栏</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http://www.gaoqing.gov.cn/gongkai/channel_c10671/）查阅数字化政府公报，专栏提供了公报查询、下载和打印等功能。</w:t>
      </w:r>
    </w:p>
    <w:p w14:paraId="3DBD2E2E">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（2）《高青县人民政府公报》免费赠阅点（线下查阅）</w:t>
      </w:r>
    </w:p>
    <w:p w14:paraId="404051B8">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高青县政务服务大厅设有政府公报免费取阅点。赠阅点：高青县政务服务中心（县政务服务大厅），地址：山东省淄博市高青县高苑路7号；联系方式：0533-6983505；开放时</w:t>
      </w:r>
      <w:r>
        <w:rPr>
          <w:rFonts w:hint="eastAsia" w:ascii="仿宋_GB2312" w:eastAsia="仿宋_GB2312"/>
          <w:color w:val="000000" w:themeColor="text1"/>
          <w:sz w:val="32"/>
          <w:szCs w:val="32"/>
          <w:highlight w:val="none"/>
          <w14:textFill>
            <w14:solidFill>
              <w14:schemeClr w14:val="tx1"/>
            </w14:solidFill>
          </w14:textFill>
        </w:rPr>
        <w:t>间：周一至周五上午8:30—12:00，下午13：30—17:00；获取查阅方式：现场免费查阅。</w:t>
      </w:r>
    </w:p>
    <w:p w14:paraId="2625819A">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14:paraId="15666D8F">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14:paraId="2028D5C1">
      <w:pPr>
        <w:spacing w:line="540" w:lineRule="exact"/>
        <w:ind w:firstLine="640" w:firstLineChars="20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highlight w:val="none"/>
          <w14:textFill>
            <w14:solidFill>
              <w14:schemeClr w14:val="tx1"/>
            </w14:solidFill>
          </w14:textFill>
        </w:rPr>
        <w:t>5.政府信息查阅点：本机关在高青县档案馆（地址：山东省淄博市高青县黄河路21号；联系方式：0533-6967737；开放时间：周一至周五上午8:30—12:00，下午13：3</w:t>
      </w:r>
      <w:r>
        <w:rPr>
          <w:rFonts w:hint="eastAsia" w:ascii="仿宋_GB2312" w:eastAsia="仿宋_GB2312"/>
          <w:color w:val="000000" w:themeColor="text1"/>
          <w:kern w:val="0"/>
          <w:sz w:val="32"/>
          <w:szCs w:val="32"/>
          <w14:textFill>
            <w14:solidFill>
              <w14:schemeClr w14:val="tx1"/>
            </w14:solidFill>
          </w14:textFill>
        </w:rPr>
        <w:t>0—17:00；服务内容：查询、复制、打印政府信息）设置政府信息查阅点。</w:t>
      </w:r>
    </w:p>
    <w:p w14:paraId="7A3C48B4">
      <w:pPr>
        <w:spacing w:line="560" w:lineRule="exact"/>
        <w:ind w:firstLine="640" w:firstLineChars="200"/>
        <w:rPr>
          <w:rFonts w:ascii="楷体_GB2312" w:eastAsia="楷体_GB2312"/>
          <w:sz w:val="32"/>
          <w:szCs w:val="32"/>
        </w:rPr>
      </w:pPr>
      <w:r>
        <w:rPr>
          <w:rFonts w:hint="eastAsia" w:ascii="楷体_GB2312" w:eastAsia="楷体_GB2312"/>
          <w:sz w:val="32"/>
          <w:szCs w:val="32"/>
        </w:rPr>
        <w:t>（三）公开时限</w:t>
      </w:r>
    </w:p>
    <w:p w14:paraId="078B17F6">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14:paraId="23688BEF">
      <w:pPr>
        <w:spacing w:line="560" w:lineRule="exact"/>
        <w:ind w:firstLine="640" w:firstLineChars="200"/>
        <w:rPr>
          <w:rFonts w:ascii="黑体" w:hAnsi="黑体" w:eastAsia="黑体"/>
          <w:sz w:val="32"/>
          <w:szCs w:val="32"/>
        </w:rPr>
      </w:pPr>
      <w:r>
        <w:rPr>
          <w:rFonts w:hint="eastAsia" w:ascii="黑体" w:hAnsi="黑体" w:eastAsia="黑体"/>
          <w:sz w:val="32"/>
          <w:szCs w:val="32"/>
        </w:rPr>
        <w:t>二、依申请公开</w:t>
      </w:r>
    </w:p>
    <w:p w14:paraId="11B7BA6B">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70EE700F">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14:paraId="32E8169A">
      <w:pPr>
        <w:spacing w:line="56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14:paraId="371D1CF0">
      <w:pPr>
        <w:spacing w:line="560" w:lineRule="exact"/>
        <w:ind w:firstLine="640" w:firstLineChars="200"/>
        <w:rPr>
          <w:rFonts w:ascii="仿宋_GB2312" w:eastAsia="仿宋_GB2312"/>
          <w:sz w:val="32"/>
          <w:szCs w:val="32"/>
        </w:rPr>
      </w:pPr>
      <w:r>
        <w:rPr>
          <w:rFonts w:hint="eastAsia" w:ascii="仿宋_GB2312" w:eastAsia="仿宋_GB2312"/>
          <w:sz w:val="32"/>
          <w:szCs w:val="32"/>
        </w:rPr>
        <w:t>1.当面提交</w:t>
      </w:r>
    </w:p>
    <w:p w14:paraId="3AE89B77">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申请人可到高青县花沟镇人民政府党政办公室现场当面提交申请。</w:t>
      </w:r>
    </w:p>
    <w:p w14:paraId="3D16D1AB">
      <w:pPr>
        <w:spacing w:line="560" w:lineRule="exact"/>
        <w:ind w:firstLine="640" w:firstLineChars="200"/>
        <w:rPr>
          <w:rFonts w:ascii="仿宋_GB2312" w:eastAsia="仿宋_GB2312"/>
          <w:sz w:val="32"/>
          <w:szCs w:val="32"/>
        </w:rPr>
      </w:pPr>
      <w:r>
        <w:rPr>
          <w:rFonts w:hint="eastAsia" w:ascii="仿宋_GB2312" w:eastAsia="仿宋_GB2312"/>
          <w:sz w:val="32"/>
          <w:szCs w:val="32"/>
        </w:rPr>
        <w:t>地址：山东省淄博市高青县田兴路1号。</w:t>
      </w:r>
    </w:p>
    <w:p w14:paraId="01CA9607">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65CE0607">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联系电话：0533- 6785304。</w:t>
      </w:r>
    </w:p>
    <w:p w14:paraId="30F7A754">
      <w:pPr>
        <w:spacing w:line="560" w:lineRule="exact"/>
        <w:ind w:firstLine="640" w:firstLineChars="200"/>
        <w:rPr>
          <w:rFonts w:ascii="仿宋_GB2312" w:eastAsia="仿宋_GB2312"/>
          <w:sz w:val="32"/>
          <w:szCs w:val="32"/>
        </w:rPr>
      </w:pPr>
      <w:r>
        <w:rPr>
          <w:rFonts w:hint="eastAsia" w:ascii="仿宋_GB2312" w:eastAsia="仿宋_GB2312"/>
          <w:sz w:val="32"/>
          <w:szCs w:val="32"/>
        </w:rPr>
        <w:t>2.信函申请</w:t>
      </w:r>
    </w:p>
    <w:p w14:paraId="7898171E">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申请人可通过邮政寄送方式向本机关提交申请。受理机构：高青县花沟镇人民政府党政办公室。</w:t>
      </w:r>
    </w:p>
    <w:p w14:paraId="43916655">
      <w:pPr>
        <w:spacing w:line="560" w:lineRule="exact"/>
        <w:ind w:firstLine="640" w:firstLineChars="200"/>
        <w:rPr>
          <w:rFonts w:ascii="仿宋_GB2312" w:eastAsia="仿宋_GB2312"/>
          <w:sz w:val="32"/>
          <w:szCs w:val="32"/>
        </w:rPr>
      </w:pPr>
      <w:r>
        <w:rPr>
          <w:rFonts w:hint="eastAsia" w:ascii="仿宋_GB2312" w:eastAsia="仿宋_GB2312"/>
          <w:sz w:val="32"/>
          <w:szCs w:val="32"/>
        </w:rPr>
        <w:t>来信请寄：淄博市高青县花沟镇政府驻地，高青县花沟镇人民政府党政办公室（收），同时须在信封左下角注明“政府信息公开申请”字样；邮政编码：256305</w:t>
      </w:r>
      <w:r>
        <w:rPr>
          <w:rFonts w:hint="eastAsia" w:ascii="仿宋_GB2312" w:eastAsia="仿宋_GB2312"/>
          <w:sz w:val="32"/>
          <w:szCs w:val="32"/>
          <w:lang w:eastAsia="zh-CN"/>
        </w:rPr>
        <w:t>；</w:t>
      </w:r>
      <w:r>
        <w:rPr>
          <w:rFonts w:hint="eastAsia" w:ascii="仿宋_GB2312" w:eastAsia="仿宋_GB2312"/>
          <w:sz w:val="32"/>
          <w:szCs w:val="32"/>
        </w:rPr>
        <w:t>联系电话：0533-6785304。</w:t>
      </w:r>
    </w:p>
    <w:p w14:paraId="4B28599B">
      <w:pPr>
        <w:spacing w:line="560" w:lineRule="exact"/>
        <w:ind w:firstLine="640" w:firstLineChars="200"/>
        <w:rPr>
          <w:rFonts w:ascii="仿宋_GB2312" w:eastAsia="仿宋_GB2312"/>
          <w:sz w:val="32"/>
          <w:szCs w:val="32"/>
        </w:rPr>
      </w:pPr>
      <w:r>
        <w:rPr>
          <w:rFonts w:hint="eastAsia" w:ascii="仿宋_GB2312" w:eastAsia="仿宋_GB2312"/>
          <w:sz w:val="32"/>
          <w:szCs w:val="32"/>
        </w:rPr>
        <w:t>3.网上申请</w:t>
      </w:r>
    </w:p>
    <w:p w14:paraId="724A051B">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高青县人民政府网站（http://www.gaoqing.gov.cn）开通有政府信息公开申请网上提交渠道，受理向本机关提交的政府信息公开申请。申请人可登陆高青县人民政府网站，在政务公开专栏“依申请公开”页面（</w:t>
      </w:r>
      <w:r>
        <w:fldChar w:fldCharType="begin"/>
      </w:r>
      <w:r>
        <w:instrText xml:space="preserve"> HYPERLINK "http://www.gaoqing.gov.cn/jact/front/main.do?sysid=18" </w:instrText>
      </w:r>
      <w:r>
        <w:fldChar w:fldCharType="separate"/>
      </w:r>
      <w:r>
        <w:rPr>
          <w:rStyle w:val="8"/>
          <w:rFonts w:hint="eastAsia" w:ascii="仿宋_GB2312" w:eastAsia="仿宋_GB2312"/>
          <w:color w:val="000000" w:themeColor="text1"/>
          <w:sz w:val="32"/>
          <w:szCs w:val="32"/>
          <w:u w:val="none"/>
          <w14:textFill>
            <w14:solidFill>
              <w14:schemeClr w14:val="tx1"/>
            </w14:solidFill>
          </w14:textFill>
        </w:rPr>
        <w:t>http://www.gaoqing.gov.cn/jact/front/main.do?sysid=18</w:t>
      </w:r>
      <w:r>
        <w:rPr>
          <w:rStyle w:val="8"/>
          <w:rFonts w:hint="eastAsia" w:ascii="仿宋_GB2312" w:eastAsia="仿宋_GB2312"/>
          <w:color w:val="000000" w:themeColor="text1"/>
          <w:sz w:val="32"/>
          <w:szCs w:val="32"/>
          <w:u w:val="none"/>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)，在线填写提交申请。</w:t>
      </w:r>
    </w:p>
    <w:p w14:paraId="0ECA5057">
      <w:pPr>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2787ECE0">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本机关不受理通过电话方式提出的申请，但申请人可以通过电话咨询相应的服务业务。</w:t>
      </w:r>
    </w:p>
    <w:p w14:paraId="67B91CF7">
      <w:pPr>
        <w:spacing w:line="56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14:paraId="752F26D2">
      <w:pPr>
        <w:spacing w:line="56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14:paraId="3D8C9B74">
      <w:pPr>
        <w:spacing w:line="56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60620BB7">
      <w:pPr>
        <w:spacing w:line="56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2DDA5954">
      <w:pPr>
        <w:spacing w:line="560" w:lineRule="exact"/>
        <w:ind w:firstLine="640" w:firstLineChars="200"/>
        <w:rPr>
          <w:rFonts w:ascii="仿宋_GB2312" w:eastAsia="仿宋_GB2312"/>
          <w:sz w:val="32"/>
          <w:szCs w:val="32"/>
        </w:rPr>
      </w:pPr>
      <w:r>
        <w:rPr>
          <w:rFonts w:hint="eastAsia" w:ascii="仿宋_GB2312" w:eastAsia="仿宋_GB2312"/>
          <w:sz w:val="32"/>
          <w:szCs w:val="32"/>
        </w:rPr>
        <w:t>4.收费标准</w:t>
      </w:r>
    </w:p>
    <w:p w14:paraId="185749F9">
      <w:pPr>
        <w:widowControl/>
        <w:spacing w:line="560" w:lineRule="exac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77DACAC8">
      <w:pPr>
        <w:spacing w:line="56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14:paraId="7C633F35">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14:paraId="7EA0BDB2">
      <w:pPr>
        <w:spacing w:line="56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14:paraId="4FB91859">
      <w:pPr>
        <w:spacing w:line="56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14:paraId="518F5105">
      <w:pPr>
        <w:spacing w:line="56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14:paraId="325F2BDE">
      <w:pPr>
        <w:spacing w:line="56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14:paraId="766F5062">
      <w:pPr>
        <w:spacing w:line="56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14:paraId="05D7CFF6">
      <w:pPr>
        <w:spacing w:line="56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188211D8">
      <w:pPr>
        <w:spacing w:line="56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14:paraId="0882A7DE">
      <w:pPr>
        <w:spacing w:line="56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525D9BAC">
      <w:pPr>
        <w:spacing w:line="56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3EAC429B">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14:paraId="6B01FE00">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13F7A879">
      <w:pPr>
        <w:spacing w:line="56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14:paraId="2605B4C5">
      <w:pPr>
        <w:spacing w:line="560" w:lineRule="exact"/>
        <w:ind w:firstLine="640" w:firstLineChars="200"/>
        <w:rPr>
          <w:rFonts w:ascii="黑体" w:hAnsi="黑体" w:eastAsia="黑体"/>
          <w:sz w:val="32"/>
          <w:szCs w:val="32"/>
        </w:rPr>
      </w:pPr>
      <w:r>
        <w:rPr>
          <w:rFonts w:hint="eastAsia" w:ascii="黑体" w:hAnsi="黑体" w:eastAsia="黑体"/>
          <w:sz w:val="32"/>
          <w:szCs w:val="32"/>
        </w:rPr>
        <w:t>三、不予公开</w:t>
      </w:r>
    </w:p>
    <w:p w14:paraId="5519B0E4">
      <w:pPr>
        <w:spacing w:line="56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5CECFF9F">
      <w:pPr>
        <w:spacing w:line="56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01A15B48">
      <w:pPr>
        <w:spacing w:line="56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14:paraId="6D266808">
      <w:pPr>
        <w:spacing w:line="56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12701229">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14:paraId="1BEC60FB">
      <w:pPr>
        <w:spacing w:line="560" w:lineRule="exact"/>
        <w:ind w:firstLine="640" w:firstLineChars="200"/>
        <w:rPr>
          <w:rFonts w:ascii="仿宋_GB2312" w:eastAsia="仿宋_GB2312"/>
          <w:sz w:val="32"/>
          <w:szCs w:val="32"/>
        </w:rPr>
      </w:pPr>
      <w:r>
        <w:rPr>
          <w:rFonts w:hint="eastAsia" w:ascii="仿宋_GB2312" w:eastAsia="仿宋_GB2312"/>
          <w:sz w:val="32"/>
          <w:szCs w:val="32"/>
        </w:rPr>
        <w:t>高青县花沟镇人民政府信息公开工作机构和申请受理机构为：高青县花沟镇人民政府党政办公室。</w:t>
      </w:r>
    </w:p>
    <w:p w14:paraId="4F35FC03">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办公地址：山东省淄博市高青县田兴路1号</w:t>
      </w:r>
    </w:p>
    <w:p w14:paraId="31CC862B">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邮政编码：256305</w:t>
      </w:r>
    </w:p>
    <w:p w14:paraId="2F34457C">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01AD2FCA">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联系电话：0533-6785304</w:t>
      </w:r>
    </w:p>
    <w:p w14:paraId="48E17442">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传</w:t>
      </w:r>
      <w:r>
        <w:rPr>
          <w:rFonts w:hint="eastAsia" w:ascii="仿宋_GB2312" w:eastAsia="仿宋_GB2312"/>
          <w:sz w:val="32"/>
          <w:szCs w:val="32"/>
          <w:lang w:val="en-US" w:eastAsia="zh-CN"/>
        </w:rPr>
        <w:t xml:space="preserve">    </w:t>
      </w:r>
      <w:r>
        <w:rPr>
          <w:rFonts w:hint="eastAsia" w:ascii="仿宋_GB2312" w:eastAsia="仿宋_GB2312"/>
          <w:sz w:val="32"/>
          <w:szCs w:val="32"/>
        </w:rPr>
        <w:t>真：0533-6785370</w:t>
      </w:r>
    </w:p>
    <w:p w14:paraId="4B92DBBC">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电子邮箱：gqxhgz@zb.shandong.cn</w:t>
      </w:r>
      <w:r>
        <w:rPr>
          <w:rStyle w:val="8"/>
          <w:rFonts w:hint="eastAsia" w:ascii="仿宋_GB2312" w:eastAsia="仿宋_GB2312"/>
          <w:color w:val="000000" w:themeColor="text1"/>
          <w:sz w:val="32"/>
          <w:szCs w:val="32"/>
          <w:u w:val="none"/>
          <w14:textFill>
            <w14:solidFill>
              <w14:schemeClr w14:val="tx1"/>
            </w14:solidFill>
          </w14:textFill>
        </w:rPr>
        <w:t>（此邮箱仅供沟通联系使用，不接受政府信息公开申请）</w:t>
      </w:r>
    </w:p>
    <w:p w14:paraId="7B690882">
      <w:pPr>
        <w:spacing w:line="560" w:lineRule="exact"/>
        <w:ind w:firstLine="640" w:firstLineChars="200"/>
        <w:rPr>
          <w:rFonts w:ascii="黑体" w:hAnsi="黑体" w:eastAsia="黑体"/>
          <w:sz w:val="32"/>
          <w:szCs w:val="32"/>
        </w:rPr>
      </w:pPr>
      <w:r>
        <w:rPr>
          <w:rFonts w:hint="eastAsia" w:ascii="黑体" w:hAnsi="黑体" w:eastAsia="黑体"/>
          <w:sz w:val="32"/>
          <w:szCs w:val="32"/>
        </w:rPr>
        <w:t>五、监督和救济</w:t>
      </w:r>
    </w:p>
    <w:p w14:paraId="72B2E600">
      <w:pPr>
        <w:spacing w:line="56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4931A7B9">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公民、法</w:t>
      </w:r>
      <w:bookmarkStart w:id="0" w:name="_GoBack"/>
      <w:r>
        <w:rPr>
          <w:rFonts w:hint="eastAsia" w:ascii="仿宋_GB2312" w:eastAsia="仿宋_GB2312"/>
          <w:sz w:val="32"/>
          <w:szCs w:val="32"/>
          <w:highlight w:val="none"/>
        </w:rPr>
        <w:t>人或者其他组织认为本机关在政府信息公开工作中侵犯其合法权益的，可以向上一级行政机关投诉、举报，也可以依法申请行政复议或者提起行政诉讼。</w:t>
      </w:r>
    </w:p>
    <w:p w14:paraId="1C3DCA13">
      <w:pPr>
        <w:spacing w:line="560" w:lineRule="exact"/>
        <w:ind w:firstLine="640" w:firstLineChars="200"/>
        <w:rPr>
          <w:rFonts w:hint="eastAsia" w:ascii="仿宋_GB2312" w:eastAsia="仿宋_GB2312"/>
          <w:sz w:val="32"/>
          <w:szCs w:val="32"/>
          <w:highlight w:val="none"/>
        </w:rPr>
      </w:pPr>
    </w:p>
    <w:p w14:paraId="2FBDD248">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投诉、举报受理机构：高青县人民政府办公室</w:t>
      </w:r>
      <w:r>
        <w:rPr>
          <w:rFonts w:hint="eastAsia" w:ascii="仿宋_GB2312" w:eastAsia="仿宋_GB2312"/>
          <w:color w:val="000000" w:themeColor="text1"/>
          <w:sz w:val="32"/>
          <w:szCs w:val="32"/>
          <w:highlight w:val="none"/>
          <w14:textFill>
            <w14:solidFill>
              <w14:schemeClr w14:val="tx1"/>
            </w14:solidFill>
          </w14:textFill>
        </w:rPr>
        <w:t>政务公开科</w:t>
      </w:r>
    </w:p>
    <w:bookmarkEnd w:id="0"/>
    <w:p w14:paraId="23119B2C">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14:paraId="68F797A7">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2A1C1ACE">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79C85211">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14:paraId="4E94EFA2">
      <w:pPr>
        <w:spacing w:line="56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14:paraId="766AC3D4">
      <w:pPr>
        <w:spacing w:line="56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fldChar w:fldCharType="begin"/>
      </w:r>
      <w:r>
        <w:instrText xml:space="preserve"> HYPERLINK "mailto:gqxzfbgsxxzx@zb.shandong.cn" </w:instrText>
      </w:r>
      <w:r>
        <w:fldChar w:fldCharType="separate"/>
      </w:r>
      <w:r>
        <w:rPr>
          <w:rFonts w:hint="eastAsia" w:ascii="仿宋_GB2312" w:eastAsia="仿宋_GB2312"/>
          <w:sz w:val="32"/>
          <w:szCs w:val="32"/>
        </w:rPr>
        <w:t>gqxzfbgsxxzx@zb.shandong.cn</w:t>
      </w:r>
      <w:r>
        <w:rPr>
          <w:rFonts w:hint="eastAsia" w:ascii="仿宋_GB2312" w:eastAsia="仿宋_GB2312"/>
          <w:sz w:val="32"/>
          <w:szCs w:val="32"/>
        </w:rPr>
        <w:fldChar w:fldCharType="end"/>
      </w:r>
    </w:p>
    <w:p w14:paraId="013F6443">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行政复议机关：高青县人民政府</w:t>
      </w:r>
    </w:p>
    <w:p w14:paraId="0CEC0F5D">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受理机构：高青县人民政府行政复议办公室</w:t>
      </w:r>
    </w:p>
    <w:p w14:paraId="7C6FB171">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办公地址:</w:t>
      </w:r>
      <w:r>
        <w:rPr>
          <w:rFonts w:hint="eastAsia"/>
          <w:color w:val="000000" w:themeColor="text1"/>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山东省淄博市高青县清河路9号县机关综合办公楼916室</w:t>
      </w:r>
    </w:p>
    <w:p w14:paraId="21CDE40C">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E540DF6">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732E0A5F">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t xml:space="preserve"> </w:t>
      </w:r>
      <w:r>
        <w:rPr>
          <w:rFonts w:ascii="仿宋_GB2312" w:eastAsia="仿宋_GB2312"/>
          <w:sz w:val="32"/>
          <w:szCs w:val="32"/>
        </w:rPr>
        <w:t xml:space="preserve">0533-6981239 </w:t>
      </w:r>
    </w:p>
    <w:p w14:paraId="7606E44E">
      <w:pPr>
        <w:spacing w:line="560" w:lineRule="exact"/>
        <w:ind w:firstLine="640" w:firstLineChars="200"/>
        <w:rPr>
          <w:rFonts w:ascii="仿宋_GB2312" w:eastAsia="仿宋_GB2312"/>
          <w:sz w:val="32"/>
          <w:szCs w:val="32"/>
        </w:rPr>
      </w:pPr>
    </w:p>
    <w:p w14:paraId="592502E1">
      <w:pPr>
        <w:spacing w:line="56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14:paraId="2F669732">
      <w:pPr>
        <w:spacing w:line="56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办公地址：山东省淄博市高青县芦湖路以东、长江路以北</w:t>
      </w:r>
    </w:p>
    <w:p w14:paraId="1523EDED">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14:paraId="192C2E94">
      <w:p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14:paraId="6420F554">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0533-6965760</w:t>
      </w:r>
    </w:p>
    <w:p w14:paraId="4DE733E3">
      <w:pPr>
        <w:spacing w:line="560" w:lineRule="exact"/>
        <w:ind w:firstLine="640" w:firstLineChars="200"/>
        <w:rPr>
          <w:rFonts w:ascii="仿宋_GB2312" w:eastAsia="仿宋_GB2312"/>
          <w:sz w:val="32"/>
          <w:szCs w:val="32"/>
        </w:rPr>
      </w:pPr>
    </w:p>
    <w:p w14:paraId="779685C2">
      <w:pPr>
        <w:spacing w:line="56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55C3A665">
      <w:pPr>
        <w:spacing w:line="56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346CA05D">
      <w:pPr>
        <w:ind w:right="160"/>
        <w:jc w:val="right"/>
        <w:rPr>
          <w:rFonts w:ascii="仿宋_GB2312" w:eastAsia="仿宋_GB2312"/>
          <w:color w:val="FF0000"/>
          <w:sz w:val="32"/>
          <w:szCs w:val="32"/>
        </w:rPr>
      </w:pPr>
    </w:p>
    <w:p w14:paraId="0531FBED">
      <w:pPr>
        <w:jc w:val="both"/>
        <w:rPr>
          <w:rFonts w:ascii="仿宋_GB2312" w:eastAsia="仿宋_GB2312"/>
          <w:sz w:val="32"/>
          <w:szCs w:val="32"/>
        </w:rPr>
      </w:pPr>
      <w:r>
        <w:rPr>
          <w:rFonts w:hint="eastAsia" w:ascii="仿宋_GB2312" w:eastAsia="仿宋_GB2312"/>
          <w:sz w:val="32"/>
          <w:szCs w:val="32"/>
        </w:rPr>
        <w:t xml:space="preserve">                 </w:t>
      </w:r>
    </w:p>
    <w:p w14:paraId="41DA8620">
      <w:pPr>
        <w:spacing w:line="560" w:lineRule="exact"/>
        <w:rPr>
          <w:rFonts w:ascii="黑体" w:hAnsi="黑体" w:eastAsia="黑体"/>
          <w:sz w:val="32"/>
          <w:szCs w:val="32"/>
        </w:rPr>
      </w:pPr>
      <w:r>
        <w:rPr>
          <w:rFonts w:hint="eastAsia" w:ascii="黑体" w:hAnsi="黑体" w:eastAsia="黑体"/>
          <w:sz w:val="32"/>
          <w:szCs w:val="32"/>
        </w:rPr>
        <w:t>附件1：</w:t>
      </w:r>
    </w:p>
    <w:p w14:paraId="73387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1722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2E227478">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072F9DFB">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24E26A6C">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79E47854">
            <w:pPr>
              <w:jc w:val="center"/>
              <w:rPr>
                <w:rFonts w:asciiTheme="majorEastAsia" w:hAnsiTheme="majorEastAsia" w:eastAsiaTheme="majorEastAsia"/>
                <w:szCs w:val="21"/>
              </w:rPr>
            </w:pPr>
          </w:p>
        </w:tc>
        <w:tc>
          <w:tcPr>
            <w:tcW w:w="1311" w:type="dxa"/>
            <w:tcBorders>
              <w:tl2br w:val="nil"/>
              <w:tr2bl w:val="nil"/>
            </w:tcBorders>
            <w:vAlign w:val="center"/>
          </w:tcPr>
          <w:p w14:paraId="40264366">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06E44C7E">
            <w:pPr>
              <w:jc w:val="center"/>
              <w:rPr>
                <w:rFonts w:asciiTheme="majorEastAsia" w:hAnsiTheme="majorEastAsia" w:eastAsiaTheme="majorEastAsia"/>
                <w:szCs w:val="21"/>
              </w:rPr>
            </w:pPr>
          </w:p>
        </w:tc>
      </w:tr>
      <w:tr w14:paraId="082B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7ECD115">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310F6879">
            <w:pPr>
              <w:jc w:val="center"/>
              <w:rPr>
                <w:rFonts w:asciiTheme="majorEastAsia" w:hAnsiTheme="majorEastAsia" w:eastAsiaTheme="majorEastAsia"/>
                <w:szCs w:val="21"/>
              </w:rPr>
            </w:pPr>
          </w:p>
        </w:tc>
        <w:tc>
          <w:tcPr>
            <w:tcW w:w="1480" w:type="dxa"/>
            <w:tcBorders>
              <w:tl2br w:val="nil"/>
              <w:tr2bl w:val="nil"/>
            </w:tcBorders>
            <w:vAlign w:val="center"/>
          </w:tcPr>
          <w:p w14:paraId="48A5C2EC">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4675F9E9">
            <w:pPr>
              <w:jc w:val="center"/>
              <w:rPr>
                <w:rFonts w:asciiTheme="majorEastAsia" w:hAnsiTheme="majorEastAsia" w:eastAsiaTheme="majorEastAsia"/>
                <w:szCs w:val="21"/>
              </w:rPr>
            </w:pPr>
          </w:p>
        </w:tc>
        <w:tc>
          <w:tcPr>
            <w:tcW w:w="1311" w:type="dxa"/>
            <w:tcBorders>
              <w:tl2br w:val="nil"/>
              <w:tr2bl w:val="nil"/>
            </w:tcBorders>
            <w:vAlign w:val="center"/>
          </w:tcPr>
          <w:p w14:paraId="62399DE3">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7D6CF5FD">
            <w:pPr>
              <w:jc w:val="center"/>
              <w:rPr>
                <w:rFonts w:asciiTheme="majorEastAsia" w:hAnsiTheme="majorEastAsia" w:eastAsiaTheme="majorEastAsia"/>
                <w:szCs w:val="21"/>
              </w:rPr>
            </w:pPr>
          </w:p>
        </w:tc>
      </w:tr>
      <w:tr w14:paraId="30A4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2D6C183">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7A5305A">
            <w:pPr>
              <w:jc w:val="center"/>
              <w:rPr>
                <w:rFonts w:asciiTheme="majorEastAsia" w:hAnsiTheme="majorEastAsia" w:eastAsiaTheme="majorEastAsia"/>
                <w:szCs w:val="21"/>
              </w:rPr>
            </w:pPr>
          </w:p>
        </w:tc>
        <w:tc>
          <w:tcPr>
            <w:tcW w:w="1480" w:type="dxa"/>
            <w:tcBorders>
              <w:tl2br w:val="nil"/>
              <w:tr2bl w:val="nil"/>
            </w:tcBorders>
            <w:vAlign w:val="center"/>
          </w:tcPr>
          <w:p w14:paraId="7AB3377F">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1041507C">
            <w:pPr>
              <w:jc w:val="center"/>
              <w:rPr>
                <w:rFonts w:asciiTheme="majorEastAsia" w:hAnsiTheme="majorEastAsia" w:eastAsiaTheme="majorEastAsia"/>
                <w:szCs w:val="21"/>
              </w:rPr>
            </w:pPr>
          </w:p>
        </w:tc>
      </w:tr>
      <w:tr w14:paraId="3394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EBC270A">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814D763">
            <w:pPr>
              <w:jc w:val="center"/>
              <w:rPr>
                <w:rFonts w:asciiTheme="majorEastAsia" w:hAnsiTheme="majorEastAsia" w:eastAsiaTheme="majorEastAsia"/>
                <w:szCs w:val="21"/>
              </w:rPr>
            </w:pPr>
          </w:p>
        </w:tc>
        <w:tc>
          <w:tcPr>
            <w:tcW w:w="1480" w:type="dxa"/>
            <w:tcBorders>
              <w:tl2br w:val="nil"/>
              <w:tr2bl w:val="nil"/>
            </w:tcBorders>
            <w:vAlign w:val="center"/>
          </w:tcPr>
          <w:p w14:paraId="0375816F">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77A682D3">
            <w:pPr>
              <w:jc w:val="center"/>
              <w:rPr>
                <w:rFonts w:asciiTheme="majorEastAsia" w:hAnsiTheme="majorEastAsia" w:eastAsiaTheme="majorEastAsia"/>
                <w:szCs w:val="21"/>
              </w:rPr>
            </w:pPr>
          </w:p>
        </w:tc>
        <w:tc>
          <w:tcPr>
            <w:tcW w:w="1311" w:type="dxa"/>
            <w:tcBorders>
              <w:tl2br w:val="nil"/>
              <w:tr2bl w:val="nil"/>
            </w:tcBorders>
            <w:vAlign w:val="center"/>
          </w:tcPr>
          <w:p w14:paraId="0B637E56">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3ABEDDD4">
            <w:pPr>
              <w:jc w:val="center"/>
              <w:rPr>
                <w:rFonts w:asciiTheme="majorEastAsia" w:hAnsiTheme="majorEastAsia" w:eastAsiaTheme="majorEastAsia"/>
                <w:szCs w:val="21"/>
              </w:rPr>
            </w:pPr>
          </w:p>
        </w:tc>
      </w:tr>
      <w:tr w14:paraId="0B4A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A8AC3A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4A19A8F">
            <w:pPr>
              <w:jc w:val="center"/>
              <w:rPr>
                <w:rFonts w:asciiTheme="majorEastAsia" w:hAnsiTheme="majorEastAsia" w:eastAsiaTheme="majorEastAsia"/>
                <w:szCs w:val="21"/>
              </w:rPr>
            </w:pPr>
          </w:p>
        </w:tc>
        <w:tc>
          <w:tcPr>
            <w:tcW w:w="1480" w:type="dxa"/>
            <w:tcBorders>
              <w:tl2br w:val="nil"/>
              <w:tr2bl w:val="nil"/>
            </w:tcBorders>
            <w:vAlign w:val="center"/>
          </w:tcPr>
          <w:p w14:paraId="44C06464">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31C01AF0">
            <w:pPr>
              <w:jc w:val="center"/>
              <w:rPr>
                <w:rFonts w:asciiTheme="majorEastAsia" w:hAnsiTheme="majorEastAsia" w:eastAsiaTheme="majorEastAsia"/>
                <w:szCs w:val="21"/>
              </w:rPr>
            </w:pPr>
          </w:p>
        </w:tc>
      </w:tr>
      <w:tr w14:paraId="7850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4DAD457">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586E6F20">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562B3648">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379236E0">
            <w:pPr>
              <w:jc w:val="center"/>
              <w:rPr>
                <w:rFonts w:asciiTheme="majorEastAsia" w:hAnsiTheme="majorEastAsia" w:eastAsiaTheme="majorEastAsia"/>
                <w:szCs w:val="21"/>
              </w:rPr>
            </w:pPr>
          </w:p>
        </w:tc>
      </w:tr>
      <w:tr w14:paraId="1731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3B291A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91022F3">
            <w:pPr>
              <w:jc w:val="center"/>
              <w:rPr>
                <w:rFonts w:asciiTheme="majorEastAsia" w:hAnsiTheme="majorEastAsia" w:eastAsiaTheme="majorEastAsia"/>
                <w:szCs w:val="21"/>
              </w:rPr>
            </w:pPr>
          </w:p>
        </w:tc>
        <w:tc>
          <w:tcPr>
            <w:tcW w:w="1480" w:type="dxa"/>
            <w:tcBorders>
              <w:tl2br w:val="nil"/>
              <w:tr2bl w:val="nil"/>
            </w:tcBorders>
            <w:vAlign w:val="center"/>
          </w:tcPr>
          <w:p w14:paraId="6FD86197">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3AF78284">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72B38E3C">
            <w:pPr>
              <w:jc w:val="center"/>
              <w:rPr>
                <w:rFonts w:asciiTheme="majorEastAsia" w:hAnsiTheme="majorEastAsia" w:eastAsiaTheme="majorEastAsia"/>
                <w:szCs w:val="21"/>
              </w:rPr>
            </w:pPr>
          </w:p>
        </w:tc>
      </w:tr>
      <w:tr w14:paraId="73DE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60615C9">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3518FF1">
            <w:pPr>
              <w:jc w:val="center"/>
              <w:rPr>
                <w:rFonts w:asciiTheme="majorEastAsia" w:hAnsiTheme="majorEastAsia" w:eastAsiaTheme="majorEastAsia"/>
                <w:szCs w:val="21"/>
              </w:rPr>
            </w:pPr>
          </w:p>
        </w:tc>
        <w:tc>
          <w:tcPr>
            <w:tcW w:w="1480" w:type="dxa"/>
            <w:tcBorders>
              <w:tl2br w:val="nil"/>
              <w:tr2bl w:val="nil"/>
            </w:tcBorders>
            <w:vAlign w:val="center"/>
          </w:tcPr>
          <w:p w14:paraId="6D4AA88D">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6BA3696B">
            <w:pPr>
              <w:jc w:val="center"/>
              <w:rPr>
                <w:rFonts w:asciiTheme="majorEastAsia" w:hAnsiTheme="majorEastAsia" w:eastAsiaTheme="majorEastAsia"/>
                <w:szCs w:val="21"/>
              </w:rPr>
            </w:pPr>
          </w:p>
        </w:tc>
        <w:tc>
          <w:tcPr>
            <w:tcW w:w="1311" w:type="dxa"/>
            <w:tcBorders>
              <w:tl2br w:val="nil"/>
              <w:tr2bl w:val="nil"/>
            </w:tcBorders>
            <w:vAlign w:val="center"/>
          </w:tcPr>
          <w:p w14:paraId="50AEF495">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247F8A19">
            <w:pPr>
              <w:jc w:val="center"/>
              <w:rPr>
                <w:rFonts w:asciiTheme="majorEastAsia" w:hAnsiTheme="majorEastAsia" w:eastAsiaTheme="majorEastAsia"/>
                <w:szCs w:val="21"/>
              </w:rPr>
            </w:pPr>
          </w:p>
        </w:tc>
      </w:tr>
      <w:tr w14:paraId="5E2C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4CFBA51">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DDE27E1">
            <w:pPr>
              <w:jc w:val="center"/>
              <w:rPr>
                <w:rFonts w:asciiTheme="majorEastAsia" w:hAnsiTheme="majorEastAsia" w:eastAsiaTheme="majorEastAsia"/>
                <w:szCs w:val="21"/>
              </w:rPr>
            </w:pPr>
          </w:p>
        </w:tc>
        <w:tc>
          <w:tcPr>
            <w:tcW w:w="1480" w:type="dxa"/>
            <w:tcBorders>
              <w:tl2br w:val="nil"/>
              <w:tr2bl w:val="nil"/>
            </w:tcBorders>
            <w:vAlign w:val="center"/>
          </w:tcPr>
          <w:p w14:paraId="188D0557">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3BCFC506">
            <w:pPr>
              <w:jc w:val="center"/>
              <w:rPr>
                <w:rFonts w:asciiTheme="majorEastAsia" w:hAnsiTheme="majorEastAsia" w:eastAsiaTheme="majorEastAsia"/>
                <w:szCs w:val="21"/>
              </w:rPr>
            </w:pPr>
          </w:p>
        </w:tc>
      </w:tr>
      <w:tr w14:paraId="2F2D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A9E57EE">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40359AA">
            <w:pPr>
              <w:jc w:val="center"/>
              <w:rPr>
                <w:rFonts w:asciiTheme="majorEastAsia" w:hAnsiTheme="majorEastAsia" w:eastAsiaTheme="majorEastAsia"/>
                <w:szCs w:val="21"/>
              </w:rPr>
            </w:pPr>
          </w:p>
        </w:tc>
        <w:tc>
          <w:tcPr>
            <w:tcW w:w="1480" w:type="dxa"/>
            <w:tcBorders>
              <w:tl2br w:val="nil"/>
              <w:tr2bl w:val="nil"/>
            </w:tcBorders>
            <w:vAlign w:val="center"/>
          </w:tcPr>
          <w:p w14:paraId="6BFC8F43">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1A288630">
            <w:pPr>
              <w:jc w:val="center"/>
              <w:rPr>
                <w:rFonts w:asciiTheme="majorEastAsia" w:hAnsiTheme="majorEastAsia" w:eastAsiaTheme="majorEastAsia"/>
                <w:szCs w:val="21"/>
              </w:rPr>
            </w:pPr>
          </w:p>
        </w:tc>
      </w:tr>
      <w:tr w14:paraId="504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5A5D777">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3ACB0AE0">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13F4A2DE">
            <w:pPr>
              <w:jc w:val="center"/>
              <w:rPr>
                <w:rFonts w:asciiTheme="majorEastAsia" w:hAnsiTheme="majorEastAsia" w:eastAsiaTheme="majorEastAsia"/>
                <w:szCs w:val="21"/>
              </w:rPr>
            </w:pPr>
          </w:p>
        </w:tc>
      </w:tr>
      <w:tr w14:paraId="2133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92680DD">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0B389EBD">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26F2C30B">
            <w:pPr>
              <w:jc w:val="center"/>
              <w:rPr>
                <w:rFonts w:asciiTheme="majorEastAsia" w:hAnsiTheme="majorEastAsia" w:eastAsiaTheme="majorEastAsia"/>
                <w:szCs w:val="21"/>
              </w:rPr>
            </w:pPr>
          </w:p>
        </w:tc>
      </w:tr>
      <w:tr w14:paraId="2F6E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3D35BD20">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14:paraId="0C79701E">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14:paraId="6CD0B54F">
            <w:pPr>
              <w:jc w:val="center"/>
              <w:rPr>
                <w:rFonts w:asciiTheme="majorEastAsia" w:hAnsiTheme="majorEastAsia" w:eastAsiaTheme="majorEastAsia"/>
                <w:color w:val="000000"/>
                <w:szCs w:val="21"/>
              </w:rPr>
            </w:pPr>
          </w:p>
          <w:p w14:paraId="5A5AD90D">
            <w:pPr>
              <w:jc w:val="center"/>
              <w:rPr>
                <w:rFonts w:asciiTheme="majorEastAsia" w:hAnsiTheme="majorEastAsia" w:eastAsiaTheme="majorEastAsia"/>
                <w:color w:val="000000"/>
                <w:szCs w:val="21"/>
              </w:rPr>
            </w:pPr>
          </w:p>
          <w:p w14:paraId="789BFDD7">
            <w:pPr>
              <w:jc w:val="center"/>
              <w:rPr>
                <w:rFonts w:asciiTheme="majorEastAsia" w:hAnsiTheme="majorEastAsia" w:eastAsiaTheme="majorEastAsia"/>
                <w:color w:val="000000"/>
                <w:szCs w:val="21"/>
              </w:rPr>
            </w:pPr>
          </w:p>
          <w:p w14:paraId="6CB927C0">
            <w:pPr>
              <w:jc w:val="center"/>
              <w:rPr>
                <w:rFonts w:asciiTheme="majorEastAsia" w:hAnsiTheme="majorEastAsia" w:eastAsiaTheme="majorEastAsia"/>
                <w:color w:val="000000"/>
                <w:szCs w:val="21"/>
              </w:rPr>
            </w:pPr>
          </w:p>
          <w:p w14:paraId="58146335">
            <w:pPr>
              <w:jc w:val="center"/>
              <w:rPr>
                <w:rFonts w:asciiTheme="majorEastAsia" w:hAnsiTheme="majorEastAsia" w:eastAsiaTheme="majorEastAsia"/>
                <w:color w:val="000000"/>
                <w:szCs w:val="21"/>
              </w:rPr>
            </w:pPr>
          </w:p>
          <w:p w14:paraId="51A0B76E">
            <w:pPr>
              <w:jc w:val="center"/>
              <w:rPr>
                <w:rFonts w:asciiTheme="majorEastAsia" w:hAnsiTheme="majorEastAsia" w:eastAsiaTheme="majorEastAsia"/>
                <w:color w:val="000000"/>
                <w:szCs w:val="21"/>
              </w:rPr>
            </w:pPr>
          </w:p>
          <w:p w14:paraId="7DA504FE">
            <w:pPr>
              <w:jc w:val="center"/>
              <w:rPr>
                <w:rFonts w:asciiTheme="majorEastAsia" w:hAnsiTheme="majorEastAsia" w:eastAsiaTheme="majorEastAsia"/>
                <w:color w:val="000000"/>
                <w:szCs w:val="21"/>
              </w:rPr>
            </w:pPr>
          </w:p>
          <w:p w14:paraId="1476AC36">
            <w:pPr>
              <w:jc w:val="center"/>
              <w:rPr>
                <w:rFonts w:asciiTheme="majorEastAsia" w:hAnsiTheme="majorEastAsia" w:eastAsiaTheme="majorEastAsia"/>
                <w:color w:val="000000"/>
                <w:szCs w:val="21"/>
              </w:rPr>
            </w:pPr>
          </w:p>
        </w:tc>
      </w:tr>
      <w:tr w14:paraId="658F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97A9077">
            <w:pPr>
              <w:jc w:val="center"/>
              <w:rPr>
                <w:rFonts w:ascii="仿宋_GB2312" w:hAnsi="宋体" w:eastAsia="仿宋_GB2312"/>
                <w:color w:val="000000"/>
                <w:szCs w:val="21"/>
              </w:rPr>
            </w:pPr>
          </w:p>
        </w:tc>
        <w:tc>
          <w:tcPr>
            <w:tcW w:w="7556" w:type="dxa"/>
            <w:gridSpan w:val="5"/>
            <w:tcBorders>
              <w:tl2br w:val="nil"/>
              <w:tr2bl w:val="nil"/>
            </w:tcBorders>
            <w:vAlign w:val="center"/>
          </w:tcPr>
          <w:p w14:paraId="756B81FA">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14:paraId="54CC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2782D0E">
            <w:pPr>
              <w:jc w:val="center"/>
              <w:rPr>
                <w:rFonts w:ascii="仿宋_GB2312" w:hAnsi="宋体" w:eastAsia="仿宋_GB2312"/>
                <w:color w:val="000000"/>
                <w:szCs w:val="21"/>
              </w:rPr>
            </w:pPr>
          </w:p>
        </w:tc>
        <w:tc>
          <w:tcPr>
            <w:tcW w:w="2197" w:type="dxa"/>
            <w:gridSpan w:val="2"/>
            <w:tcBorders>
              <w:tl2br w:val="nil"/>
              <w:tr2bl w:val="nil"/>
            </w:tcBorders>
            <w:vAlign w:val="center"/>
          </w:tcPr>
          <w:p w14:paraId="47AB6385">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14:paraId="79410870">
            <w:pPr>
              <w:jc w:val="center"/>
              <w:rPr>
                <w:rFonts w:asciiTheme="majorEastAsia" w:hAnsiTheme="majorEastAsia" w:eastAsiaTheme="majorEastAsia"/>
                <w:color w:val="000000"/>
                <w:szCs w:val="21"/>
              </w:rPr>
            </w:pPr>
          </w:p>
        </w:tc>
      </w:tr>
      <w:tr w14:paraId="4313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745D45A">
            <w:pPr>
              <w:jc w:val="center"/>
              <w:rPr>
                <w:rFonts w:ascii="仿宋_GB2312" w:hAnsi="宋体" w:eastAsia="仿宋_GB2312"/>
                <w:color w:val="000000"/>
                <w:szCs w:val="21"/>
              </w:rPr>
            </w:pPr>
          </w:p>
        </w:tc>
        <w:tc>
          <w:tcPr>
            <w:tcW w:w="2197" w:type="dxa"/>
            <w:gridSpan w:val="2"/>
            <w:tcBorders>
              <w:tl2br w:val="nil"/>
              <w:tr2bl w:val="nil"/>
            </w:tcBorders>
            <w:vAlign w:val="center"/>
          </w:tcPr>
          <w:p w14:paraId="0164608F">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14:paraId="27676AC1">
            <w:pPr>
              <w:jc w:val="center"/>
              <w:rPr>
                <w:rFonts w:asciiTheme="majorEastAsia" w:hAnsiTheme="majorEastAsia" w:eastAsiaTheme="majorEastAsia"/>
                <w:color w:val="000000"/>
                <w:szCs w:val="21"/>
              </w:rPr>
            </w:pPr>
          </w:p>
        </w:tc>
      </w:tr>
      <w:tr w14:paraId="0BB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28B11BDF">
            <w:pPr>
              <w:jc w:val="center"/>
              <w:rPr>
                <w:rFonts w:ascii="仿宋_GB2312" w:hAnsi="宋体" w:eastAsia="仿宋_GB2312"/>
                <w:color w:val="000000"/>
                <w:szCs w:val="21"/>
              </w:rPr>
            </w:pPr>
          </w:p>
        </w:tc>
        <w:tc>
          <w:tcPr>
            <w:tcW w:w="2197" w:type="dxa"/>
            <w:gridSpan w:val="2"/>
            <w:tcBorders>
              <w:tl2br w:val="nil"/>
              <w:tr2bl w:val="nil"/>
            </w:tcBorders>
            <w:vAlign w:val="center"/>
          </w:tcPr>
          <w:p w14:paraId="131D69AB">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14:paraId="1FE0AAFF">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14:paraId="0A298650">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14:paraId="1474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00AF66C7">
            <w:pPr>
              <w:jc w:val="center"/>
              <w:rPr>
                <w:rFonts w:ascii="仿宋_GB2312" w:hAnsi="宋体" w:eastAsia="仿宋_GB2312"/>
                <w:color w:val="000000"/>
                <w:szCs w:val="21"/>
              </w:rPr>
            </w:pPr>
          </w:p>
        </w:tc>
        <w:tc>
          <w:tcPr>
            <w:tcW w:w="2197" w:type="dxa"/>
            <w:gridSpan w:val="2"/>
            <w:tcBorders>
              <w:tl2br w:val="nil"/>
              <w:tr2bl w:val="nil"/>
            </w:tcBorders>
          </w:tcPr>
          <w:p w14:paraId="6277584B">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14:paraId="3B385004">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14:paraId="2B30B0BA">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14:paraId="046A3588">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14:paraId="4915C7CE">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14:paraId="68099CB0">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6CE9F753">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14:paraId="3DACC9C9">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14:paraId="68C4BAB9">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14:paraId="2D18DB90">
            <w:pPr>
              <w:rPr>
                <w:rFonts w:asciiTheme="majorEastAsia" w:hAnsiTheme="majorEastAsia" w:eastAsiaTheme="majorEastAsia"/>
                <w:color w:val="000000"/>
                <w:szCs w:val="21"/>
              </w:rPr>
            </w:pPr>
          </w:p>
        </w:tc>
        <w:tc>
          <w:tcPr>
            <w:tcW w:w="2914" w:type="dxa"/>
            <w:tcBorders>
              <w:tl2br w:val="nil"/>
              <w:tr2bl w:val="nil"/>
            </w:tcBorders>
          </w:tcPr>
          <w:p w14:paraId="1CF64B44">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14:paraId="66BADE26">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14:paraId="4B59A7E5">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14:paraId="243F0029">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14:paraId="223987F5">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14:paraId="676F3340">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14:paraId="11E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4594217B">
            <w:pPr>
              <w:jc w:val="center"/>
              <w:rPr>
                <w:rFonts w:ascii="仿宋_GB2312" w:hAnsi="宋体" w:eastAsia="仿宋_GB2312"/>
                <w:szCs w:val="21"/>
              </w:rPr>
            </w:pPr>
          </w:p>
        </w:tc>
        <w:tc>
          <w:tcPr>
            <w:tcW w:w="7556" w:type="dxa"/>
            <w:gridSpan w:val="5"/>
            <w:tcBorders>
              <w:tl2br w:val="nil"/>
              <w:tr2bl w:val="nil"/>
            </w:tcBorders>
            <w:vAlign w:val="center"/>
          </w:tcPr>
          <w:p w14:paraId="69F46BDE">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14:paraId="3A6C2DC3">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FA32228">
      <w:pPr>
        <w:spacing w:line="560" w:lineRule="exact"/>
        <w:rPr>
          <w:rFonts w:ascii="黑体" w:hAnsi="黑体" w:eastAsia="黑体"/>
          <w:sz w:val="32"/>
          <w:szCs w:val="32"/>
        </w:rPr>
      </w:pPr>
      <w:r>
        <w:rPr>
          <w:rFonts w:hint="eastAsia" w:ascii="黑体" w:hAnsi="黑体" w:eastAsia="黑体"/>
          <w:sz w:val="32"/>
          <w:szCs w:val="32"/>
        </w:rPr>
        <w:t xml:space="preserve">附件2：                  </w:t>
      </w:r>
    </w:p>
    <w:p w14:paraId="64D1AB9B">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54F70E32">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2B0AF508">
      <w:pPr>
        <w:spacing w:line="560" w:lineRule="exact"/>
        <w:ind w:firstLine="640" w:firstLineChars="200"/>
        <w:rPr>
          <w:rFonts w:ascii="仿宋_GB2312" w:eastAsia="仿宋_GB2312"/>
          <w:sz w:val="32"/>
          <w:szCs w:val="32"/>
        </w:rPr>
      </w:pPr>
    </w:p>
    <w:p w14:paraId="2DE8D8C0">
      <w:pPr>
        <w:spacing w:line="560" w:lineRule="exact"/>
        <w:ind w:firstLine="640" w:firstLineChars="200"/>
        <w:rPr>
          <w:rFonts w:ascii="仿宋_GB2312" w:eastAsia="仿宋_GB2312"/>
          <w:sz w:val="32"/>
          <w:szCs w:val="32"/>
        </w:rPr>
      </w:pPr>
    </w:p>
    <w:p w14:paraId="73B616D3">
      <w:pPr>
        <w:spacing w:line="560" w:lineRule="exact"/>
        <w:ind w:firstLine="640" w:firstLineChars="200"/>
        <w:rPr>
          <w:rFonts w:ascii="仿宋_GB2312" w:eastAsia="仿宋_GB2312"/>
          <w:sz w:val="32"/>
          <w:szCs w:val="32"/>
        </w:rPr>
      </w:pPr>
    </w:p>
    <w:p w14:paraId="33B1D281">
      <w:pPr>
        <w:spacing w:line="560" w:lineRule="exact"/>
        <w:ind w:firstLine="640" w:firstLineChars="200"/>
        <w:rPr>
          <w:rFonts w:ascii="仿宋_GB2312" w:eastAsia="仿宋_GB2312"/>
          <w:sz w:val="32"/>
          <w:szCs w:val="32"/>
        </w:rPr>
      </w:pPr>
    </w:p>
    <w:p w14:paraId="677B5AFA">
      <w:pPr>
        <w:spacing w:line="560" w:lineRule="exact"/>
        <w:ind w:firstLine="640" w:firstLineChars="200"/>
        <w:rPr>
          <w:rFonts w:ascii="仿宋_GB2312" w:eastAsia="仿宋_GB2312"/>
          <w:sz w:val="32"/>
          <w:szCs w:val="32"/>
        </w:rPr>
      </w:pPr>
    </w:p>
    <w:p w14:paraId="58472D3C">
      <w:pPr>
        <w:spacing w:line="560" w:lineRule="exact"/>
        <w:ind w:firstLine="640" w:firstLineChars="200"/>
        <w:rPr>
          <w:rFonts w:ascii="仿宋_GB2312" w:eastAsia="仿宋_GB2312"/>
          <w:sz w:val="32"/>
          <w:szCs w:val="32"/>
        </w:rPr>
      </w:pPr>
    </w:p>
    <w:p w14:paraId="46BB926B">
      <w:pPr>
        <w:spacing w:line="560" w:lineRule="exact"/>
        <w:ind w:firstLine="640" w:firstLineChars="200"/>
        <w:rPr>
          <w:rFonts w:ascii="仿宋_GB2312" w:eastAsia="仿宋_GB2312"/>
          <w:sz w:val="32"/>
          <w:szCs w:val="32"/>
        </w:rPr>
      </w:pPr>
    </w:p>
    <w:p w14:paraId="6C15F098">
      <w:pPr>
        <w:spacing w:line="560" w:lineRule="exact"/>
        <w:ind w:firstLine="640" w:firstLineChars="200"/>
        <w:rPr>
          <w:rFonts w:ascii="仿宋_GB2312" w:eastAsia="仿宋_GB2312"/>
          <w:sz w:val="32"/>
          <w:szCs w:val="32"/>
        </w:rPr>
      </w:pPr>
    </w:p>
    <w:p w14:paraId="53E75096">
      <w:pPr>
        <w:spacing w:line="560" w:lineRule="exact"/>
        <w:ind w:firstLine="640" w:firstLineChars="200"/>
        <w:rPr>
          <w:rFonts w:ascii="仿宋_GB2312" w:eastAsia="仿宋_GB2312"/>
          <w:sz w:val="32"/>
          <w:szCs w:val="32"/>
        </w:rPr>
      </w:pPr>
    </w:p>
    <w:p w14:paraId="49F219FF">
      <w:pPr>
        <w:spacing w:line="560" w:lineRule="exact"/>
        <w:ind w:firstLine="640" w:firstLineChars="200"/>
        <w:rPr>
          <w:rFonts w:ascii="仿宋_GB2312" w:eastAsia="仿宋_GB2312"/>
          <w:sz w:val="32"/>
          <w:szCs w:val="32"/>
        </w:rPr>
      </w:pPr>
    </w:p>
    <w:p w14:paraId="16495F3E">
      <w:pPr>
        <w:spacing w:line="560" w:lineRule="exact"/>
        <w:ind w:firstLine="640" w:firstLineChars="200"/>
        <w:rPr>
          <w:rFonts w:ascii="仿宋_GB2312" w:eastAsia="仿宋_GB2312"/>
          <w:sz w:val="32"/>
          <w:szCs w:val="32"/>
        </w:rPr>
      </w:pPr>
    </w:p>
    <w:p w14:paraId="42FA4286">
      <w:pPr>
        <w:spacing w:line="560" w:lineRule="exact"/>
        <w:ind w:firstLine="640" w:firstLineChars="200"/>
        <w:rPr>
          <w:rFonts w:ascii="仿宋_GB2312" w:eastAsia="仿宋_GB2312"/>
          <w:sz w:val="32"/>
          <w:szCs w:val="32"/>
        </w:rPr>
      </w:pPr>
    </w:p>
    <w:p w14:paraId="24CA4599">
      <w:pPr>
        <w:spacing w:line="560" w:lineRule="exact"/>
        <w:ind w:firstLine="640" w:firstLineChars="200"/>
        <w:rPr>
          <w:rFonts w:ascii="仿宋_GB2312" w:eastAsia="仿宋_GB2312"/>
          <w:sz w:val="32"/>
          <w:szCs w:val="32"/>
        </w:rPr>
      </w:pPr>
    </w:p>
    <w:p w14:paraId="5A41A88A">
      <w:pPr>
        <w:spacing w:line="560" w:lineRule="exact"/>
        <w:ind w:firstLine="640" w:firstLineChars="200"/>
        <w:rPr>
          <w:rFonts w:ascii="仿宋_GB2312" w:eastAsia="仿宋_GB2312"/>
          <w:sz w:val="32"/>
          <w:szCs w:val="32"/>
        </w:rPr>
      </w:pPr>
    </w:p>
    <w:p w14:paraId="68E41580">
      <w:pPr>
        <w:spacing w:line="560" w:lineRule="exact"/>
        <w:ind w:firstLine="640" w:firstLineChars="200"/>
        <w:rPr>
          <w:rFonts w:ascii="仿宋_GB2312" w:eastAsia="仿宋_GB2312"/>
          <w:sz w:val="32"/>
          <w:szCs w:val="32"/>
        </w:rPr>
      </w:pPr>
    </w:p>
    <w:p w14:paraId="0F3407F6">
      <w:pPr>
        <w:spacing w:line="560" w:lineRule="exact"/>
        <w:ind w:firstLine="640" w:firstLineChars="200"/>
        <w:rPr>
          <w:rFonts w:ascii="仿宋_GB2312" w:eastAsia="仿宋_GB2312"/>
          <w:sz w:val="32"/>
          <w:szCs w:val="32"/>
        </w:rPr>
      </w:pPr>
    </w:p>
    <w:p w14:paraId="5639D3EE">
      <w:pPr>
        <w:spacing w:line="560" w:lineRule="exact"/>
        <w:rPr>
          <w:rFonts w:ascii="仿宋_GB2312" w:eastAsia="仿宋_GB2312"/>
          <w:sz w:val="32"/>
          <w:szCs w:val="32"/>
        </w:rPr>
      </w:pPr>
    </w:p>
    <w:p w14:paraId="54C5B9C9">
      <w:pPr>
        <w:spacing w:line="560" w:lineRule="exact"/>
        <w:rPr>
          <w:rFonts w:ascii="仿宋_GB2312" w:eastAsia="仿宋_GB2312"/>
          <w:sz w:val="32"/>
          <w:szCs w:val="32"/>
        </w:rPr>
      </w:pPr>
    </w:p>
    <w:p w14:paraId="54759663">
      <w:pPr>
        <w:spacing w:line="560" w:lineRule="exact"/>
        <w:rPr>
          <w:rFonts w:ascii="仿宋_GB2312" w:eastAsia="仿宋_GB2312"/>
          <w:sz w:val="32"/>
          <w:szCs w:val="32"/>
        </w:rPr>
      </w:pPr>
    </w:p>
    <w:p w14:paraId="0C7FBE71">
      <w:pPr>
        <w:spacing w:line="560" w:lineRule="exact"/>
        <w:ind w:firstLine="640" w:firstLineChars="200"/>
        <w:rPr>
          <w:rFonts w:ascii="仿宋_GB2312" w:eastAsia="仿宋_GB2312"/>
          <w:sz w:val="32"/>
          <w:szCs w:val="32"/>
        </w:rPr>
      </w:pPr>
    </w:p>
    <w:p w14:paraId="6E54E637">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panose1 w:val="020B05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GEwMTMzMmM5YjMwYzE4NWQ4ZjVjYmNhOWM5MGEifQ=="/>
  </w:docVars>
  <w:rsids>
    <w:rsidRoot w:val="006E408E"/>
    <w:rsid w:val="00025487"/>
    <w:rsid w:val="000540E0"/>
    <w:rsid w:val="00090758"/>
    <w:rsid w:val="000F0C9B"/>
    <w:rsid w:val="001201A3"/>
    <w:rsid w:val="001A753C"/>
    <w:rsid w:val="00211223"/>
    <w:rsid w:val="002244B9"/>
    <w:rsid w:val="00226C1A"/>
    <w:rsid w:val="00231728"/>
    <w:rsid w:val="00250907"/>
    <w:rsid w:val="00265CAB"/>
    <w:rsid w:val="0028526B"/>
    <w:rsid w:val="002A56D5"/>
    <w:rsid w:val="002E49E5"/>
    <w:rsid w:val="002F6592"/>
    <w:rsid w:val="0036063E"/>
    <w:rsid w:val="0036333D"/>
    <w:rsid w:val="003832B9"/>
    <w:rsid w:val="003A372B"/>
    <w:rsid w:val="003A553F"/>
    <w:rsid w:val="003B4F48"/>
    <w:rsid w:val="004713DC"/>
    <w:rsid w:val="004A09A7"/>
    <w:rsid w:val="004B28AD"/>
    <w:rsid w:val="004B4CEB"/>
    <w:rsid w:val="004B6532"/>
    <w:rsid w:val="004D6077"/>
    <w:rsid w:val="00513EAB"/>
    <w:rsid w:val="005428AD"/>
    <w:rsid w:val="00566594"/>
    <w:rsid w:val="0058544C"/>
    <w:rsid w:val="0059439E"/>
    <w:rsid w:val="005B13C0"/>
    <w:rsid w:val="005E00D0"/>
    <w:rsid w:val="00632DBB"/>
    <w:rsid w:val="0065643A"/>
    <w:rsid w:val="006A2B46"/>
    <w:rsid w:val="006A57DD"/>
    <w:rsid w:val="006B54B2"/>
    <w:rsid w:val="006B613D"/>
    <w:rsid w:val="006C6AFE"/>
    <w:rsid w:val="006C71E8"/>
    <w:rsid w:val="006E408E"/>
    <w:rsid w:val="00761089"/>
    <w:rsid w:val="007D0AF6"/>
    <w:rsid w:val="007E5E10"/>
    <w:rsid w:val="008367DB"/>
    <w:rsid w:val="008570A8"/>
    <w:rsid w:val="00860362"/>
    <w:rsid w:val="008604C8"/>
    <w:rsid w:val="008A3FE9"/>
    <w:rsid w:val="008D2194"/>
    <w:rsid w:val="008F0EF8"/>
    <w:rsid w:val="0096511B"/>
    <w:rsid w:val="00966D97"/>
    <w:rsid w:val="00970CCA"/>
    <w:rsid w:val="0097524A"/>
    <w:rsid w:val="00985413"/>
    <w:rsid w:val="00995BBF"/>
    <w:rsid w:val="009B42F7"/>
    <w:rsid w:val="009C415A"/>
    <w:rsid w:val="00A57734"/>
    <w:rsid w:val="00A6239C"/>
    <w:rsid w:val="00A74EAB"/>
    <w:rsid w:val="00A942B6"/>
    <w:rsid w:val="00AB1AC2"/>
    <w:rsid w:val="00AB4714"/>
    <w:rsid w:val="00AE5534"/>
    <w:rsid w:val="00B469AB"/>
    <w:rsid w:val="00B71220"/>
    <w:rsid w:val="00B71FB7"/>
    <w:rsid w:val="00C40328"/>
    <w:rsid w:val="00C508A6"/>
    <w:rsid w:val="00C8429E"/>
    <w:rsid w:val="00C95BDA"/>
    <w:rsid w:val="00CB13D2"/>
    <w:rsid w:val="00CF67CC"/>
    <w:rsid w:val="00D1212F"/>
    <w:rsid w:val="00D212BC"/>
    <w:rsid w:val="00D3003E"/>
    <w:rsid w:val="00DA3044"/>
    <w:rsid w:val="00DE5961"/>
    <w:rsid w:val="00DE7624"/>
    <w:rsid w:val="00DE7D55"/>
    <w:rsid w:val="00E155E6"/>
    <w:rsid w:val="00E22FB7"/>
    <w:rsid w:val="00EB7539"/>
    <w:rsid w:val="00EE291B"/>
    <w:rsid w:val="00EF5FE3"/>
    <w:rsid w:val="00FB5E85"/>
    <w:rsid w:val="00FE5B9F"/>
    <w:rsid w:val="00FE6DE6"/>
    <w:rsid w:val="04E2131A"/>
    <w:rsid w:val="072860E9"/>
    <w:rsid w:val="215038E3"/>
    <w:rsid w:val="373C2DB9"/>
    <w:rsid w:val="3A24471E"/>
    <w:rsid w:val="43893DE7"/>
    <w:rsid w:val="4730010C"/>
    <w:rsid w:val="4A221898"/>
    <w:rsid w:val="566A5FBA"/>
    <w:rsid w:val="594F5AD7"/>
    <w:rsid w:val="7577303C"/>
    <w:rsid w:val="7889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3473</Words>
  <Characters>3873</Characters>
  <Lines>30</Lines>
  <Paragraphs>8</Paragraphs>
  <TotalTime>1</TotalTime>
  <ScaleCrop>false</ScaleCrop>
  <LinksUpToDate>false</LinksUpToDate>
  <CharactersWithSpaces>3953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一曰江水</cp:lastModifiedBy>
  <dcterms:modified xsi:type="dcterms:W3CDTF">2024-12-03T01:57:59Z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FE0E2D7CBB5443F7B2B4B9C558902278</vt:lpwstr>
  </property>
</Properties>
</file>