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eastAsia="仿宋_GB2312"/>
          <w:bCs/>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32"/>
          <w:szCs w:val="32"/>
        </w:rPr>
        <w:t>黑</w:t>
      </w:r>
      <w:r>
        <w:rPr>
          <w:rFonts w:hint="eastAsia" w:eastAsia="仿宋_GB2312" w:cs="Times New Roman"/>
          <w:bCs/>
          <w:sz w:val="32"/>
          <w:szCs w:val="32"/>
          <w:lang w:eastAsia="zh-CN"/>
        </w:rPr>
        <w:t>政发</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28</w:t>
      </w:r>
      <w:r>
        <w:rPr>
          <w:rFonts w:hint="default" w:ascii="Times New Roman" w:hAnsi="Times New Roman" w:eastAsia="仿宋_GB2312" w:cs="Times New Roman"/>
          <w:bCs/>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000000"/>
          <w:sz w:val="44"/>
          <w:szCs w:val="44"/>
          <w:shd w:val="clear" w:color="auto" w:fill="FFFFFF"/>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黑里寨镇</w:t>
      </w:r>
      <w:r>
        <w:rPr>
          <w:rFonts w:hint="default" w:ascii="Times New Roman" w:hAnsi="Times New Roman" w:eastAsia="方正小标宋简体" w:cs="Times New Roman"/>
          <w:b w:val="0"/>
          <w:bCs w:val="0"/>
          <w:color w:val="000000"/>
          <w:sz w:val="44"/>
          <w:szCs w:val="44"/>
          <w:shd w:val="clear" w:color="auto" w:fill="FFFFFF"/>
          <w:lang w:eastAsia="zh-CN"/>
        </w:rPr>
        <w:t>2023</w:t>
      </w:r>
      <w:r>
        <w:rPr>
          <w:rFonts w:hint="default" w:ascii="Times New Roman" w:hAnsi="Times New Roman" w:eastAsia="方正小标宋简体" w:cs="Times New Roman"/>
          <w:b w:val="0"/>
          <w:bCs w:val="0"/>
          <w:color w:val="000000"/>
          <w:sz w:val="44"/>
          <w:szCs w:val="44"/>
          <w:shd w:val="clear" w:color="auto" w:fill="FFFFFF"/>
        </w:rPr>
        <w:t>年度安全生产监管执法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b w:val="0"/>
          <w:bCs w:val="0"/>
          <w:color w:val="000000"/>
          <w:sz w:val="44"/>
          <w:szCs w:val="44"/>
          <w:shd w:val="clear" w:color="auto" w:fill="FFFFFF"/>
        </w:rPr>
        <w:t>工作计划</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根据国家安监总局《安全生产监管监察职责和行政执法责任追究的规定》和《安全生产年度监督检查计划编制办法》结合</w:t>
      </w:r>
      <w:r>
        <w:rPr>
          <w:rFonts w:hint="default" w:ascii="Times New Roman" w:hAnsi="Times New Roman" w:eastAsia="仿宋" w:cs="Times New Roman"/>
          <w:sz w:val="32"/>
          <w:szCs w:val="32"/>
          <w:lang w:eastAsia="zh-CN"/>
        </w:rPr>
        <w:t>镇安环办</w:t>
      </w:r>
      <w:r>
        <w:rPr>
          <w:rFonts w:hint="default" w:ascii="Times New Roman" w:hAnsi="Times New Roman" w:eastAsia="仿宋" w:cs="Times New Roman"/>
          <w:sz w:val="32"/>
          <w:szCs w:val="32"/>
        </w:rPr>
        <w:t>执法人员、经费、装备及辖区内企业情况，现制定</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年度安全生产监管执法工作计划。</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一、工作目标和主要任务</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（一）工作目标：</w:t>
      </w:r>
      <w:r>
        <w:rPr>
          <w:rFonts w:hint="default" w:ascii="Times New Roman" w:hAnsi="Times New Roman" w:eastAsia="仿宋" w:cs="Times New Roman"/>
          <w:sz w:val="32"/>
          <w:szCs w:val="32"/>
        </w:rPr>
        <w:t>杜绝重特大事故和有较大影响的事故，遏制较大事故，减少一般事故和事故总量，各项控制指标全面下降。</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（二）主要任务：</w:t>
      </w:r>
      <w:r>
        <w:rPr>
          <w:rFonts w:hint="default" w:ascii="Times New Roman" w:hAnsi="Times New Roman" w:eastAsia="仿宋" w:cs="Times New Roman"/>
          <w:sz w:val="32"/>
          <w:szCs w:val="32"/>
        </w:rPr>
        <w:t>落实</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政府和上级业务部门决策部署，根据我</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安全生产工作实际情况，积极开展执法检查、专项整治、打非治违、宣传培训教育、应急救援和职业健康等工作，突出抓好生产经营单位安全生产主体责任的落实，促进全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安全生产形势持续稳定。</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二、行政执法人员数量和总法定工作日、监督检查工作日、其他执法工作日、非执法工作日</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（一）行政执法人员数量</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镇安环办</w:t>
      </w:r>
      <w:r>
        <w:rPr>
          <w:rFonts w:hint="default" w:ascii="Times New Roman" w:hAnsi="Times New Roman" w:eastAsia="仿宋" w:cs="Times New Roman"/>
          <w:sz w:val="32"/>
          <w:szCs w:val="32"/>
        </w:rPr>
        <w:t>现有在编人员</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人，其中行政人员</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人，安在编在岗执法人员3人。按照安监总局《安全生产年度监督检查计划编制办法》（安监总政法〔2017〕177号）规定,县级安全生产监督管理部门行政执法人员数量的比例不得低于在册人数的80%计算，</w:t>
      </w:r>
      <w:r>
        <w:rPr>
          <w:rFonts w:hint="default" w:ascii="Times New Roman" w:hAnsi="Times New Roman" w:eastAsia="仿宋" w:cs="Times New Roman"/>
          <w:sz w:val="32"/>
          <w:szCs w:val="32"/>
          <w:lang w:eastAsia="zh-CN"/>
        </w:rPr>
        <w:t>我镇</w:t>
      </w:r>
      <w:r>
        <w:rPr>
          <w:rFonts w:hint="default" w:ascii="Times New Roman" w:hAnsi="Times New Roman" w:eastAsia="仿宋" w:cs="Times New Roman"/>
          <w:sz w:val="32"/>
          <w:szCs w:val="32"/>
        </w:rPr>
        <w:t>执法人员数量为3×80%=</w:t>
      </w: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人(实际按</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人算)。</w:t>
      </w:r>
    </w:p>
    <w:p>
      <w:pPr>
        <w:keepNext w:val="0"/>
        <w:keepLines w:val="0"/>
        <w:pageBreakBefore w:val="0"/>
        <w:widowControl w:val="0"/>
        <w:tabs>
          <w:tab w:val="left" w:pos="4050"/>
        </w:tabs>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（二）总法定工作日</w:t>
      </w:r>
      <w:r>
        <w:rPr>
          <w:rFonts w:hint="default" w:ascii="Times New Roman" w:hAnsi="Times New Roman" w:eastAsia="楷体_GB2312" w:cs="Times New Roman"/>
          <w:b/>
          <w:sz w:val="32"/>
          <w:szCs w:val="32"/>
        </w:rPr>
        <w:tab/>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镇安环办</w:t>
      </w:r>
      <w:r>
        <w:rPr>
          <w:rFonts w:hint="default" w:ascii="Times New Roman" w:hAnsi="Times New Roman" w:eastAsia="仿宋" w:cs="Times New Roman"/>
          <w:sz w:val="32"/>
          <w:szCs w:val="32"/>
        </w:rPr>
        <w:t>总法定工作日为</w:t>
      </w:r>
      <w:r>
        <w:rPr>
          <w:rFonts w:hint="default" w:ascii="Times New Roman" w:hAnsi="Times New Roman" w:eastAsia="仿宋" w:cs="Times New Roman"/>
          <w:sz w:val="32"/>
          <w:szCs w:val="32"/>
          <w:lang w:val="en-US" w:eastAsia="zh-CN"/>
        </w:rPr>
        <w:t>750</w:t>
      </w:r>
      <w:r>
        <w:rPr>
          <w:rFonts w:hint="default" w:ascii="Times New Roman" w:hAnsi="Times New Roman" w:eastAsia="仿宋" w:cs="Times New Roman"/>
          <w:sz w:val="32"/>
          <w:szCs w:val="32"/>
        </w:rPr>
        <w:t>个工作日，即（365天-</w:t>
      </w:r>
      <w:r>
        <w:rPr>
          <w:rFonts w:hint="default" w:ascii="Times New Roman" w:hAnsi="Times New Roman" w:eastAsia="仿宋" w:cs="Times New Roman"/>
          <w:sz w:val="32"/>
          <w:szCs w:val="32"/>
          <w:lang w:val="en-US" w:eastAsia="zh-CN"/>
        </w:rPr>
        <w:t>104</w:t>
      </w:r>
      <w:r>
        <w:rPr>
          <w:rFonts w:hint="default" w:ascii="Times New Roman" w:hAnsi="Times New Roman" w:eastAsia="仿宋" w:cs="Times New Roman"/>
          <w:sz w:val="32"/>
          <w:szCs w:val="32"/>
        </w:rPr>
        <w:t>个公休日-</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1个法定节假日）×</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val="en-US" w:eastAsia="zh-CN"/>
        </w:rPr>
        <w:t>750</w:t>
      </w:r>
      <w:r>
        <w:rPr>
          <w:rFonts w:hint="default" w:ascii="Times New Roman" w:hAnsi="Times New Roman" w:eastAsia="仿宋" w:cs="Times New Roman"/>
          <w:sz w:val="32"/>
          <w:szCs w:val="32"/>
        </w:rPr>
        <w:t>个工作日。</w:t>
      </w:r>
    </w:p>
    <w:p>
      <w:pPr>
        <w:keepNext w:val="0"/>
        <w:keepLines w:val="0"/>
        <w:pageBreakBefore w:val="0"/>
        <w:widowControl w:val="0"/>
        <w:tabs>
          <w:tab w:val="left" w:pos="4050"/>
        </w:tabs>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 xml:space="preserve">（三）监督检查工作日为 </w:t>
      </w:r>
      <w:r>
        <w:rPr>
          <w:rFonts w:hint="default" w:ascii="Times New Roman" w:hAnsi="Times New Roman" w:eastAsia="楷体_GB2312" w:cs="Times New Roman"/>
          <w:b/>
          <w:sz w:val="32"/>
          <w:szCs w:val="32"/>
          <w:lang w:val="en-US" w:eastAsia="zh-CN"/>
        </w:rPr>
        <w:t>306</w:t>
      </w:r>
      <w:r>
        <w:rPr>
          <w:rFonts w:hint="default" w:ascii="Times New Roman" w:hAnsi="Times New Roman" w:eastAsia="楷体_GB2312" w:cs="Times New Roman"/>
          <w:b/>
          <w:sz w:val="32"/>
          <w:szCs w:val="32"/>
        </w:rPr>
        <w:t>个工作日。</w:t>
      </w:r>
    </w:p>
    <w:p>
      <w:pPr>
        <w:keepNext w:val="0"/>
        <w:keepLines w:val="0"/>
        <w:pageBreakBefore w:val="0"/>
        <w:widowControl w:val="0"/>
        <w:tabs>
          <w:tab w:val="left" w:pos="4050"/>
        </w:tabs>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（四）其他执法工作日为</w:t>
      </w:r>
      <w:r>
        <w:rPr>
          <w:rFonts w:hint="default" w:ascii="Times New Roman" w:hAnsi="Times New Roman" w:eastAsia="楷体_GB2312" w:cs="Times New Roman"/>
          <w:b/>
          <w:sz w:val="32"/>
          <w:szCs w:val="32"/>
          <w:lang w:val="en-US" w:eastAsia="zh-CN"/>
        </w:rPr>
        <w:t>282</w:t>
      </w:r>
      <w:r>
        <w:rPr>
          <w:rFonts w:hint="default" w:ascii="Times New Roman" w:hAnsi="Times New Roman" w:eastAsia="楷体_GB2312" w:cs="Times New Roman"/>
          <w:b/>
          <w:sz w:val="32"/>
          <w:szCs w:val="32"/>
        </w:rPr>
        <w:t>个工作日，其中：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1、生产安全事故调查和处理:3人×10日×2起=60个工作日；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2、安全生产举报查处:3人×2日×14件=84个工作日；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3、参加上级安监部门组织安排的安全生产执法专项行动：</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人×4日×6次=</w:t>
      </w:r>
      <w:r>
        <w:rPr>
          <w:rFonts w:hint="default" w:ascii="Times New Roman" w:hAnsi="Times New Roman" w:eastAsia="仿宋" w:cs="Times New Roman"/>
          <w:sz w:val="32"/>
          <w:szCs w:val="32"/>
          <w:lang w:val="en-US" w:eastAsia="zh-CN"/>
        </w:rPr>
        <w:t>72</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4、重大安全生产隐患排查治理、登记建档、跟踪监控、督促整改：</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人×1日×10条=</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5、“双随机”和“四不两直”检查及抽查企业:</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人×1日×</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家=</w:t>
      </w: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6、上级安全监管机关</w:t>
      </w:r>
      <w:r>
        <w:rPr>
          <w:rFonts w:hint="default" w:ascii="Times New Roman" w:hAnsi="Times New Roman" w:eastAsia="仿宋" w:cs="Times New Roman"/>
          <w:sz w:val="32"/>
          <w:szCs w:val="32"/>
          <w:lang w:eastAsia="zh-CN"/>
        </w:rPr>
        <w:t>、政府</w:t>
      </w:r>
      <w:r>
        <w:rPr>
          <w:rFonts w:hint="default" w:ascii="Times New Roman" w:hAnsi="Times New Roman" w:eastAsia="仿宋" w:cs="Times New Roman"/>
          <w:sz w:val="32"/>
          <w:szCs w:val="32"/>
        </w:rPr>
        <w:t>安排的统计、报表、调度等工作任务：</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人×15日=</w:t>
      </w:r>
      <w:r>
        <w:rPr>
          <w:rFonts w:hint="default" w:ascii="Times New Roman" w:hAnsi="Times New Roman" w:eastAsia="仿宋" w:cs="Times New Roman"/>
          <w:sz w:val="32"/>
          <w:szCs w:val="32"/>
          <w:lang w:val="en-US" w:eastAsia="zh-CN"/>
        </w:rPr>
        <w:t>45</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（五）非执法工作日为</w:t>
      </w:r>
      <w:r>
        <w:rPr>
          <w:rFonts w:hint="default" w:ascii="Times New Roman" w:hAnsi="Times New Roman" w:eastAsia="楷体" w:cs="Times New Roman"/>
          <w:b/>
          <w:sz w:val="32"/>
          <w:szCs w:val="32"/>
          <w:lang w:val="en-US" w:eastAsia="zh-CN"/>
        </w:rPr>
        <w:t>162</w:t>
      </w:r>
      <w:r>
        <w:rPr>
          <w:rFonts w:hint="default" w:ascii="Times New Roman" w:hAnsi="Times New Roman" w:eastAsia="楷体" w:cs="Times New Roman"/>
          <w:b/>
          <w:sz w:val="32"/>
          <w:szCs w:val="32"/>
        </w:rPr>
        <w:t>个工作日</w:t>
      </w:r>
      <w:r>
        <w:rPr>
          <w:rFonts w:hint="default" w:ascii="Times New Roman" w:hAnsi="Times New Roman" w:eastAsia="楷体_GB2312" w:cs="Times New Roman"/>
          <w:b/>
          <w:sz w:val="32"/>
          <w:szCs w:val="32"/>
        </w:rPr>
        <w:t>，其中：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1、学习、培训、考核、会议：</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人×34日=</w:t>
      </w:r>
      <w:r>
        <w:rPr>
          <w:rFonts w:hint="default" w:ascii="Times New Roman" w:hAnsi="Times New Roman" w:eastAsia="仿宋" w:cs="Times New Roman"/>
          <w:sz w:val="32"/>
          <w:szCs w:val="32"/>
          <w:lang w:val="en-US" w:eastAsia="zh-CN"/>
        </w:rPr>
        <w:t>102</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2、病假、事假:</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人×3日=</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、公务员法定年休假、探亲假、婚（丧）假:</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人×10日=</w:t>
      </w: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、参加党群活动:</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人×7日=</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三、重点检查安排</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1、重点检查单位（</w:t>
      </w: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1</w:t>
      </w:r>
      <w:r>
        <w:rPr>
          <w:rFonts w:hint="default" w:ascii="Times New Roman" w:hAnsi="Times New Roman" w:eastAsia="仿宋" w:cs="Times New Roman"/>
          <w:sz w:val="32"/>
          <w:szCs w:val="32"/>
        </w:rPr>
        <w:t>家）：</w:t>
      </w:r>
      <w:r>
        <w:rPr>
          <w:rFonts w:hint="default" w:ascii="Times New Roman" w:hAnsi="Times New Roman" w:eastAsia="仿宋" w:cs="Times New Roman"/>
          <w:sz w:val="32"/>
          <w:szCs w:val="32"/>
          <w:lang w:eastAsia="zh-CN"/>
        </w:rPr>
        <w:t>加油站</w:t>
      </w:r>
      <w:r>
        <w:rPr>
          <w:rFonts w:hint="default" w:ascii="Times New Roman" w:hAnsi="Times New Roman" w:eastAsia="仿宋" w:cs="Times New Roman"/>
          <w:sz w:val="32"/>
          <w:szCs w:val="32"/>
        </w:rPr>
        <w:t>企业</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家、重点监管一般工</w:t>
      </w:r>
      <w:r>
        <w:rPr>
          <w:rFonts w:hint="default" w:ascii="Times New Roman" w:hAnsi="Times New Roman" w:eastAsia="仿宋" w:cs="Times New Roman"/>
          <w:sz w:val="32"/>
          <w:szCs w:val="32"/>
          <w:lang w:eastAsia="zh-CN"/>
        </w:rPr>
        <w:t>贸</w:t>
      </w:r>
      <w:r>
        <w:rPr>
          <w:rFonts w:hint="default" w:ascii="Times New Roman" w:hAnsi="Times New Roman" w:eastAsia="仿宋" w:cs="Times New Roman"/>
          <w:sz w:val="32"/>
          <w:szCs w:val="32"/>
        </w:rPr>
        <w:t>企业</w:t>
      </w:r>
      <w:r>
        <w:rPr>
          <w:rFonts w:hint="eastAsia" w:eastAsia="仿宋" w:cs="Times New Roman"/>
          <w:sz w:val="32"/>
          <w:szCs w:val="32"/>
          <w:lang w:val="en-US" w:eastAsia="zh-CN"/>
        </w:rPr>
        <w:t>9</w:t>
      </w:r>
      <w:r>
        <w:rPr>
          <w:rFonts w:hint="default" w:ascii="Times New Roman" w:hAnsi="Times New Roman" w:eastAsia="仿宋" w:cs="Times New Roman"/>
          <w:sz w:val="32"/>
          <w:szCs w:val="32"/>
        </w:rPr>
        <w:t>家（详见</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年执法检查计划表）</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2、重点检查企业占年度监督检查计划的</w:t>
      </w:r>
      <w:r>
        <w:rPr>
          <w:rFonts w:hint="default" w:ascii="Times New Roman" w:hAnsi="Times New Roman" w:eastAsia="仿宋" w:cs="Times New Roman"/>
          <w:sz w:val="32"/>
          <w:szCs w:val="32"/>
          <w:lang w:val="en-US" w:eastAsia="zh-CN"/>
        </w:rPr>
        <w:t>4</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7</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3、检查次数：</w:t>
      </w:r>
      <w:r>
        <w:rPr>
          <w:rFonts w:hint="default" w:ascii="Times New Roman" w:hAnsi="Times New Roman" w:eastAsia="仿宋" w:cs="Times New Roman"/>
          <w:sz w:val="32"/>
          <w:szCs w:val="32"/>
          <w:lang w:eastAsia="zh-CN"/>
        </w:rPr>
        <w:t>加油站</w:t>
      </w:r>
      <w:r>
        <w:rPr>
          <w:rFonts w:hint="default" w:ascii="Times New Roman" w:hAnsi="Times New Roman" w:eastAsia="仿宋" w:cs="Times New Roman"/>
          <w:sz w:val="32"/>
          <w:szCs w:val="32"/>
        </w:rPr>
        <w:t>企业全年每家检查复查各4次；重点监管一般工业企业全年每家检查复查各2次</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四、一般检查安排</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1、一般检查企业（</w:t>
      </w:r>
      <w:r>
        <w:rPr>
          <w:rFonts w:hint="eastAsia" w:eastAsia="仿宋" w:cs="Times New Roman"/>
          <w:sz w:val="32"/>
          <w:szCs w:val="32"/>
          <w:lang w:val="en-US" w:eastAsia="zh-CN"/>
        </w:rPr>
        <w:t>16</w:t>
      </w:r>
      <w:r>
        <w:rPr>
          <w:rFonts w:hint="default" w:ascii="Times New Roman" w:hAnsi="Times New Roman" w:eastAsia="仿宋" w:cs="Times New Roman"/>
          <w:sz w:val="32"/>
          <w:szCs w:val="32"/>
        </w:rPr>
        <w:t>家）：社会加油站</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家、一般工</w:t>
      </w:r>
      <w:r>
        <w:rPr>
          <w:rFonts w:hint="default" w:ascii="Times New Roman" w:hAnsi="Times New Roman" w:eastAsia="仿宋" w:cs="Times New Roman"/>
          <w:sz w:val="32"/>
          <w:szCs w:val="32"/>
          <w:lang w:eastAsia="zh-CN"/>
        </w:rPr>
        <w:t>贸</w:t>
      </w:r>
      <w:r>
        <w:rPr>
          <w:rFonts w:hint="default" w:ascii="Times New Roman" w:hAnsi="Times New Roman" w:eastAsia="仿宋" w:cs="Times New Roman"/>
          <w:sz w:val="32"/>
          <w:szCs w:val="32"/>
        </w:rPr>
        <w:t>企业</w:t>
      </w: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2</w:t>
      </w:r>
      <w:r>
        <w:rPr>
          <w:rFonts w:hint="default" w:ascii="Times New Roman" w:hAnsi="Times New Roman" w:eastAsia="仿宋" w:cs="Times New Roman"/>
          <w:sz w:val="32"/>
          <w:szCs w:val="32"/>
        </w:rPr>
        <w:t>家（详见</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年执法检查计划表）</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一般</w:t>
      </w:r>
      <w:r>
        <w:rPr>
          <w:rFonts w:hint="default" w:ascii="Times New Roman" w:hAnsi="Times New Roman" w:eastAsia="仿宋" w:cs="Times New Roman"/>
          <w:sz w:val="32"/>
          <w:szCs w:val="32"/>
        </w:rPr>
        <w:t>检查企业占年度监督检查计划的</w:t>
      </w:r>
      <w:r>
        <w:rPr>
          <w:rFonts w:hint="default" w:ascii="Times New Roman" w:hAnsi="Times New Roman" w:eastAsia="仿宋" w:cs="Times New Roman"/>
          <w:sz w:val="32"/>
          <w:szCs w:val="32"/>
          <w:lang w:val="en-US" w:eastAsia="zh-CN"/>
        </w:rPr>
        <w:t>5</w:t>
      </w:r>
      <w:r>
        <w:rPr>
          <w:rFonts w:hint="eastAsia" w:eastAsia="仿宋" w:cs="Times New Roman"/>
          <w:sz w:val="32"/>
          <w:szCs w:val="32"/>
          <w:lang w:val="en-US" w:eastAsia="zh-CN"/>
        </w:rPr>
        <w:t>9</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3、检查次数：社会加油站</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家全年每家检查复查各2次；一般工</w:t>
      </w:r>
      <w:r>
        <w:rPr>
          <w:rFonts w:hint="default" w:ascii="Times New Roman" w:hAnsi="Times New Roman" w:eastAsia="仿宋" w:cs="Times New Roman"/>
          <w:sz w:val="32"/>
          <w:szCs w:val="32"/>
          <w:lang w:eastAsia="zh-CN"/>
        </w:rPr>
        <w:t>贸</w:t>
      </w:r>
      <w:r>
        <w:rPr>
          <w:rFonts w:hint="default" w:ascii="Times New Roman" w:hAnsi="Times New Roman" w:eastAsia="仿宋" w:cs="Times New Roman"/>
          <w:sz w:val="32"/>
          <w:szCs w:val="32"/>
        </w:rPr>
        <w:t>企业全年每家检查复查各</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次</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年执法检查计划表</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27" w:firstLineChars="196"/>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黑里寨镇安全生产管理委员会</w:t>
      </w:r>
    </w:p>
    <w:p>
      <w:pPr>
        <w:spacing w:line="54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spacing w:line="540" w:lineRule="exact"/>
        <w:rPr>
          <w:rFonts w:hint="default" w:ascii="Times New Roman" w:hAnsi="Times New Roman" w:eastAsia="仿宋_GB2312" w:cs="Times New Roman"/>
          <w:sz w:val="32"/>
          <w:szCs w:val="32"/>
          <w:lang w:val="en-US" w:eastAsia="zh-CN"/>
        </w:rPr>
        <w:sectPr>
          <w:footerReference r:id="rId3" w:type="default"/>
          <w:pgSz w:w="11906" w:h="16838"/>
          <w:pgMar w:top="1701" w:right="1588" w:bottom="1701" w:left="1588" w:header="851" w:footer="992" w:gutter="0"/>
          <w:cols w:space="720" w:num="1"/>
          <w:docGrid w:type="lines" w:linePitch="312" w:charSpace="0"/>
        </w:sectPr>
      </w:pP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lang w:eastAsia="zh-CN"/>
        </w:rPr>
        <w:t>2023</w:t>
      </w:r>
      <w:r>
        <w:rPr>
          <w:rFonts w:hint="default" w:ascii="Times New Roman" w:hAnsi="Times New Roman" w:cs="Times New Roman"/>
          <w:b/>
          <w:bCs/>
          <w:sz w:val="44"/>
          <w:szCs w:val="44"/>
        </w:rPr>
        <w:t>年黑里寨镇</w:t>
      </w:r>
      <w:r>
        <w:rPr>
          <w:rFonts w:hint="default" w:ascii="Times New Roman" w:hAnsi="Times New Roman" w:cs="Times New Roman"/>
          <w:b/>
          <w:bCs/>
          <w:sz w:val="44"/>
          <w:szCs w:val="44"/>
          <w:lang w:eastAsia="zh-CN"/>
        </w:rPr>
        <w:t>安环办</w:t>
      </w:r>
      <w:r>
        <w:rPr>
          <w:rFonts w:hint="default" w:ascii="Times New Roman" w:hAnsi="Times New Roman" w:cs="Times New Roman"/>
          <w:b/>
          <w:bCs/>
          <w:sz w:val="44"/>
          <w:szCs w:val="44"/>
        </w:rPr>
        <w:t>执法</w:t>
      </w:r>
      <w:r>
        <w:rPr>
          <w:rFonts w:hint="default" w:ascii="Times New Roman" w:hAnsi="Times New Roman" w:cs="Times New Roman"/>
          <w:b/>
          <w:bCs/>
          <w:sz w:val="44"/>
          <w:szCs w:val="44"/>
          <w:lang w:eastAsia="zh-CN"/>
        </w:rPr>
        <w:t>检查计划表</w:t>
      </w:r>
    </w:p>
    <w:tbl>
      <w:tblPr>
        <w:tblStyle w:val="8"/>
        <w:tblpPr w:leftFromText="180" w:rightFromText="180" w:vertAnchor="text" w:horzAnchor="page" w:tblpX="1009" w:tblpY="436"/>
        <w:tblOverlap w:val="never"/>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5"/>
        <w:gridCol w:w="643"/>
        <w:gridCol w:w="900"/>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 w:hRule="atLeast"/>
        </w:trPr>
        <w:tc>
          <w:tcPr>
            <w:tcW w:w="966" w:type="dxa"/>
            <w:gridSpan w:val="2"/>
            <w:noWrap w:val="0"/>
            <w:vAlign w:val="center"/>
          </w:tcPr>
          <w:p>
            <w:pPr>
              <w:spacing w:line="54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行业</w:t>
            </w:r>
          </w:p>
          <w:p>
            <w:pPr>
              <w:spacing w:line="54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类型</w:t>
            </w:r>
          </w:p>
        </w:tc>
        <w:tc>
          <w:tcPr>
            <w:tcW w:w="643" w:type="dxa"/>
            <w:noWrap w:val="0"/>
            <w:vAlign w:val="center"/>
          </w:tcPr>
          <w:p>
            <w:pPr>
              <w:spacing w:line="54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数量</w:t>
            </w:r>
          </w:p>
        </w:tc>
        <w:tc>
          <w:tcPr>
            <w:tcW w:w="900" w:type="dxa"/>
            <w:noWrap w:val="0"/>
            <w:vAlign w:val="center"/>
          </w:tcPr>
          <w:p>
            <w:pPr>
              <w:spacing w:line="54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检查</w:t>
            </w:r>
          </w:p>
          <w:p>
            <w:pPr>
              <w:spacing w:line="54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频率</w:t>
            </w:r>
          </w:p>
        </w:tc>
        <w:tc>
          <w:tcPr>
            <w:tcW w:w="7760" w:type="dxa"/>
            <w:noWrap w:val="0"/>
            <w:vAlign w:val="center"/>
          </w:tcPr>
          <w:p>
            <w:pPr>
              <w:spacing w:line="540" w:lineRule="exact"/>
              <w:ind w:firstLine="2560" w:firstLineChars="800"/>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加</w:t>
            </w:r>
          </w:p>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油</w:t>
            </w:r>
          </w:p>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站</w:t>
            </w:r>
          </w:p>
        </w:tc>
        <w:tc>
          <w:tcPr>
            <w:tcW w:w="658" w:type="dxa"/>
            <w:gridSpan w:val="2"/>
            <w:noWrap w:val="0"/>
            <w:vAlign w:val="center"/>
          </w:tcPr>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900" w:type="dxa"/>
            <w:noWrap w:val="0"/>
            <w:vAlign w:val="top"/>
          </w:tcPr>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每年</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4次</w:t>
            </w:r>
          </w:p>
        </w:tc>
        <w:tc>
          <w:tcPr>
            <w:tcW w:w="7760" w:type="dxa"/>
            <w:noWrap w:val="0"/>
            <w:vAlign w:val="top"/>
          </w:tcPr>
          <w:p>
            <w:pPr>
              <w:spacing w:line="540" w:lineRule="exact"/>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山东京博新能源控股发展有限公司第二十九加油站、山东京博新能源控股发展有限公司第一百二十三加油站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top"/>
          </w:tcPr>
          <w:p>
            <w:pPr>
              <w:spacing w:line="540" w:lineRule="exact"/>
              <w:rPr>
                <w:rFonts w:hint="default" w:ascii="Times New Roman" w:hAnsi="Times New Roman" w:eastAsia="仿宋_GB2312" w:cs="Times New Roman"/>
                <w:sz w:val="32"/>
                <w:szCs w:val="32"/>
                <w:vertAlign w:val="baseline"/>
                <w:lang w:val="en-US" w:eastAsia="zh-CN"/>
              </w:rPr>
            </w:pPr>
          </w:p>
        </w:tc>
        <w:tc>
          <w:tcPr>
            <w:tcW w:w="658" w:type="dxa"/>
            <w:gridSpan w:val="2"/>
            <w:noWrap w:val="0"/>
            <w:vAlign w:val="center"/>
          </w:tcPr>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900" w:type="dxa"/>
            <w:noWrap w:val="0"/>
            <w:vAlign w:val="top"/>
          </w:tcPr>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每年</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2次</w:t>
            </w:r>
          </w:p>
        </w:tc>
        <w:tc>
          <w:tcPr>
            <w:tcW w:w="7760" w:type="dxa"/>
            <w:noWrap w:val="0"/>
            <w:vAlign w:val="top"/>
          </w:tcPr>
          <w:p>
            <w:pPr>
              <w:spacing w:line="540" w:lineRule="exact"/>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高青县黑里寨镇胜德加油站、高青县黑里寨镇长青加油站、高青县黑里寨镇振飞加油站、高青恒溢加油站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51" w:type="dxa"/>
            <w:vMerge w:val="restart"/>
            <w:noWrap w:val="0"/>
            <w:vAlign w:val="top"/>
          </w:tcPr>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一般</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工贸</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企业</w:t>
            </w:r>
          </w:p>
        </w:tc>
        <w:tc>
          <w:tcPr>
            <w:tcW w:w="658" w:type="dxa"/>
            <w:gridSpan w:val="2"/>
            <w:noWrap w:val="0"/>
            <w:vAlign w:val="center"/>
          </w:tcPr>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900" w:type="dxa"/>
            <w:noWrap w:val="0"/>
            <w:vAlign w:val="top"/>
          </w:tcPr>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每年</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2次</w:t>
            </w:r>
          </w:p>
        </w:tc>
        <w:tc>
          <w:tcPr>
            <w:tcW w:w="7760" w:type="dxa"/>
            <w:noWrap w:val="0"/>
            <w:vAlign w:val="top"/>
          </w:tcPr>
          <w:p>
            <w:pPr>
              <w:spacing w:line="540" w:lineRule="exact"/>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eastAsia="zh-CN"/>
              </w:rPr>
              <w:t>淄博钰润建筑材料有限公司、高青圣鑫纺织有限公司</w:t>
            </w:r>
            <w:r>
              <w:rPr>
                <w:rFonts w:hint="default" w:ascii="Times New Roman" w:hAnsi="Times New Roman" w:eastAsia="仿宋_GB2312" w:cs="Times New Roman"/>
                <w:color w:val="auto"/>
                <w:sz w:val="32"/>
                <w:szCs w:val="32"/>
                <w:highlight w:val="none"/>
                <w:lang w:val="en-US" w:eastAsia="zh-CN"/>
              </w:rPr>
              <w:t>、淄博锦宇安木业有限公司、</w:t>
            </w:r>
            <w:r>
              <w:rPr>
                <w:rFonts w:hint="default" w:ascii="Times New Roman" w:hAnsi="Times New Roman" w:eastAsia="仿宋_GB2312" w:cs="Times New Roman"/>
                <w:color w:val="auto"/>
                <w:sz w:val="32"/>
                <w:szCs w:val="32"/>
                <w:highlight w:val="none"/>
              </w:rPr>
              <w:t>高青县健强纺织器材厂</w:t>
            </w:r>
            <w:r>
              <w:rPr>
                <w:rFonts w:hint="default" w:ascii="Times New Roman" w:hAnsi="Times New Roman" w:eastAsia="仿宋_GB2312" w:cs="Times New Roman"/>
                <w:color w:val="auto"/>
                <w:sz w:val="32"/>
                <w:szCs w:val="32"/>
                <w:highlight w:val="none"/>
                <w:lang w:eastAsia="zh-CN"/>
              </w:rPr>
              <w:t>、淄博</w:t>
            </w:r>
            <w:r>
              <w:rPr>
                <w:rFonts w:hint="default" w:ascii="Times New Roman" w:hAnsi="Times New Roman" w:eastAsia="仿宋_GB2312" w:cs="Times New Roman"/>
                <w:color w:val="auto"/>
                <w:sz w:val="32"/>
                <w:szCs w:val="32"/>
                <w:highlight w:val="none"/>
                <w:lang w:val="en-US" w:eastAsia="zh-CN"/>
              </w:rPr>
              <w:t>兴福塑料有限公司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高青佳磊木业有限公司、高青宗军木器加工厂、淄博恩卓纺织科技有限公司、</w:t>
            </w:r>
            <w:r>
              <w:rPr>
                <w:rFonts w:hint="default" w:ascii="Times New Roman" w:hAnsi="Times New Roman" w:eastAsia="仿宋_GB2312" w:cs="Times New Roman"/>
                <w:color w:val="auto"/>
                <w:sz w:val="32"/>
                <w:szCs w:val="32"/>
                <w:highlight w:val="none"/>
              </w:rPr>
              <w:t>高青彤宇塑料有限公司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top"/>
          </w:tcPr>
          <w:p>
            <w:pPr>
              <w:spacing w:line="540" w:lineRule="exact"/>
              <w:rPr>
                <w:rFonts w:hint="default" w:ascii="Times New Roman" w:hAnsi="Times New Roman" w:eastAsia="仿宋_GB2312" w:cs="Times New Roman"/>
                <w:sz w:val="32"/>
                <w:szCs w:val="32"/>
                <w:vertAlign w:val="baseline"/>
                <w:lang w:val="en-US" w:eastAsia="zh-CN"/>
              </w:rPr>
            </w:pPr>
          </w:p>
        </w:tc>
        <w:tc>
          <w:tcPr>
            <w:tcW w:w="658" w:type="dxa"/>
            <w:gridSpan w:val="2"/>
            <w:noWrap w:val="0"/>
            <w:vAlign w:val="center"/>
          </w:tcPr>
          <w:p>
            <w:pPr>
              <w:spacing w:line="54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w:t>
            </w:r>
          </w:p>
        </w:tc>
        <w:tc>
          <w:tcPr>
            <w:tcW w:w="900" w:type="dxa"/>
            <w:noWrap w:val="0"/>
            <w:vAlign w:val="top"/>
          </w:tcPr>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每年</w:t>
            </w:r>
          </w:p>
          <w:p>
            <w:pPr>
              <w:spacing w:line="540" w:lineRule="exac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1次</w:t>
            </w:r>
          </w:p>
        </w:tc>
        <w:tc>
          <w:tcPr>
            <w:tcW w:w="7760" w:type="dxa"/>
            <w:noWrap w:val="0"/>
            <w:vAlign w:val="top"/>
          </w:tcPr>
          <w:p>
            <w:pPr>
              <w:spacing w:line="540" w:lineRule="exact"/>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淄博力宝板业有限公司、高青新来木片加工厂、</w:t>
            </w:r>
            <w:r>
              <w:rPr>
                <w:rFonts w:hint="default" w:ascii="Times New Roman" w:hAnsi="Times New Roman" w:eastAsia="仿宋_GB2312" w:cs="Times New Roman"/>
                <w:color w:val="auto"/>
                <w:sz w:val="32"/>
                <w:szCs w:val="32"/>
                <w:highlight w:val="none"/>
              </w:rPr>
              <w:t>淄博黑龙塑料有限公司、</w:t>
            </w:r>
            <w:r>
              <w:rPr>
                <w:rFonts w:hint="default" w:ascii="Times New Roman" w:hAnsi="Times New Roman" w:eastAsia="仿宋_GB2312" w:cs="Times New Roman"/>
                <w:color w:val="auto"/>
                <w:sz w:val="32"/>
                <w:szCs w:val="32"/>
                <w:highlight w:val="none"/>
                <w:lang w:val="en-US" w:eastAsia="zh-CN"/>
              </w:rPr>
              <w:t>淄博禾富</w:t>
            </w:r>
            <w:r>
              <w:rPr>
                <w:rFonts w:hint="default" w:ascii="Times New Roman" w:hAnsi="Times New Roman" w:eastAsia="仿宋_GB2312" w:cs="Times New Roman"/>
                <w:color w:val="auto"/>
                <w:sz w:val="32"/>
                <w:szCs w:val="32"/>
                <w:highlight w:val="none"/>
                <w:lang w:eastAsia="zh-CN"/>
              </w:rPr>
              <w:t>农业有限公司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淄博书华食品有限公司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淄博</w:t>
            </w:r>
            <w:r>
              <w:rPr>
                <w:rFonts w:hint="default" w:ascii="Times New Roman" w:hAnsi="Times New Roman" w:eastAsia="仿宋_GB2312" w:cs="Times New Roman"/>
                <w:color w:val="auto"/>
                <w:sz w:val="32"/>
                <w:szCs w:val="32"/>
                <w:highlight w:val="none"/>
                <w:lang w:val="en-US" w:eastAsia="zh-CN"/>
              </w:rPr>
              <w:t>佳文食品有限公司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淄博老兵工贸有限公司、</w:t>
            </w:r>
            <w:r>
              <w:rPr>
                <w:rFonts w:hint="default" w:ascii="Times New Roman" w:hAnsi="Times New Roman" w:eastAsia="仿宋_GB2312" w:cs="Times New Roman"/>
                <w:color w:val="auto"/>
                <w:sz w:val="32"/>
                <w:szCs w:val="32"/>
                <w:highlight w:val="none"/>
                <w:lang w:val="en-US" w:eastAsia="zh-CN"/>
              </w:rPr>
              <w:t>淄博钰彩包装制品有限公司、</w:t>
            </w:r>
            <w:r>
              <w:rPr>
                <w:rFonts w:hint="default" w:ascii="Times New Roman" w:hAnsi="Times New Roman" w:eastAsia="仿宋_GB2312" w:cs="Times New Roman"/>
                <w:color w:val="auto"/>
                <w:sz w:val="32"/>
                <w:szCs w:val="32"/>
                <w:highlight w:val="none"/>
                <w:lang w:eastAsia="zh-CN"/>
              </w:rPr>
              <w:t>高青民康农业开发有限公司、</w:t>
            </w:r>
            <w:r>
              <w:rPr>
                <w:rFonts w:hint="default" w:ascii="Times New Roman" w:hAnsi="Times New Roman" w:eastAsia="仿宋_GB2312" w:cs="Times New Roman"/>
                <w:color w:val="auto"/>
                <w:sz w:val="32"/>
                <w:szCs w:val="32"/>
                <w:highlight w:val="none"/>
                <w:lang w:val="en-US" w:eastAsia="zh-CN"/>
              </w:rPr>
              <w:t>淄博海天峰冷链设备有限公司、淄博海凯塑料有限公司、淄博亿创塑料制品有限公司</w:t>
            </w:r>
          </w:p>
        </w:tc>
      </w:tr>
    </w:tbl>
    <w:p>
      <w:pPr>
        <w:spacing w:line="560" w:lineRule="exact"/>
        <w:rPr>
          <w:rFonts w:hint="default" w:ascii="Times New Roman" w:hAnsi="Times New Roman" w:eastAsia="仿宋" w:cs="Times New Roman"/>
          <w:b/>
          <w:spacing w:val="-4"/>
          <w:sz w:val="32"/>
          <w:szCs w:val="32"/>
        </w:rPr>
      </w:pPr>
    </w:p>
    <w:sectPr>
      <w:pgSz w:w="11906" w:h="16838"/>
      <w:pgMar w:top="1417" w:right="1588"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5"/>
  <w:drawingGridVerticalSpacing w:val="156"/>
  <w:displayHorizontalDrawingGridEvery w:val="0"/>
  <w:displayVerticalDrawingGridEvery w:val="2"/>
  <w:characterSpacingControl w:val="doNotCompress"/>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FjYjNlMWQwYjY0MzAzYzg0NzEzMDExOWVmNTM5NTgifQ=="/>
  </w:docVars>
  <w:rsids>
    <w:rsidRoot w:val="001B0EA1"/>
    <w:rsid w:val="00006BFF"/>
    <w:rsid w:val="00010F3A"/>
    <w:rsid w:val="00025681"/>
    <w:rsid w:val="000315E1"/>
    <w:rsid w:val="000340BD"/>
    <w:rsid w:val="00040E96"/>
    <w:rsid w:val="0005742E"/>
    <w:rsid w:val="00060912"/>
    <w:rsid w:val="00064FF3"/>
    <w:rsid w:val="00065C5A"/>
    <w:rsid w:val="00074C01"/>
    <w:rsid w:val="00076338"/>
    <w:rsid w:val="00080102"/>
    <w:rsid w:val="00081F9C"/>
    <w:rsid w:val="0009258E"/>
    <w:rsid w:val="00097F72"/>
    <w:rsid w:val="00097F7E"/>
    <w:rsid w:val="000A7FCF"/>
    <w:rsid w:val="000B1A90"/>
    <w:rsid w:val="000C2161"/>
    <w:rsid w:val="000D02AF"/>
    <w:rsid w:val="000E572D"/>
    <w:rsid w:val="000F7AA5"/>
    <w:rsid w:val="001053D0"/>
    <w:rsid w:val="00116E34"/>
    <w:rsid w:val="001240F0"/>
    <w:rsid w:val="00146D56"/>
    <w:rsid w:val="00160783"/>
    <w:rsid w:val="00160EC3"/>
    <w:rsid w:val="00161EFE"/>
    <w:rsid w:val="001647A2"/>
    <w:rsid w:val="00170E95"/>
    <w:rsid w:val="00171C0F"/>
    <w:rsid w:val="0018174F"/>
    <w:rsid w:val="001854D7"/>
    <w:rsid w:val="0018726E"/>
    <w:rsid w:val="001A13C6"/>
    <w:rsid w:val="001A548F"/>
    <w:rsid w:val="001B0EA1"/>
    <w:rsid w:val="001B1C0D"/>
    <w:rsid w:val="001B7584"/>
    <w:rsid w:val="001D3A4D"/>
    <w:rsid w:val="001E2875"/>
    <w:rsid w:val="001E5B67"/>
    <w:rsid w:val="001F1731"/>
    <w:rsid w:val="001F1E67"/>
    <w:rsid w:val="00203254"/>
    <w:rsid w:val="00204DBC"/>
    <w:rsid w:val="00211508"/>
    <w:rsid w:val="0024560C"/>
    <w:rsid w:val="00255BDA"/>
    <w:rsid w:val="002565FE"/>
    <w:rsid w:val="00263A39"/>
    <w:rsid w:val="0026698E"/>
    <w:rsid w:val="002872B0"/>
    <w:rsid w:val="00287B18"/>
    <w:rsid w:val="002B1640"/>
    <w:rsid w:val="002B1E55"/>
    <w:rsid w:val="002B6CA4"/>
    <w:rsid w:val="002E1CC8"/>
    <w:rsid w:val="002F1DCA"/>
    <w:rsid w:val="002F2261"/>
    <w:rsid w:val="002F50E2"/>
    <w:rsid w:val="002F7BF3"/>
    <w:rsid w:val="00302D0C"/>
    <w:rsid w:val="00303FAE"/>
    <w:rsid w:val="003043C2"/>
    <w:rsid w:val="003128DE"/>
    <w:rsid w:val="00323B43"/>
    <w:rsid w:val="003312A0"/>
    <w:rsid w:val="00335720"/>
    <w:rsid w:val="003360AB"/>
    <w:rsid w:val="00345597"/>
    <w:rsid w:val="003526C0"/>
    <w:rsid w:val="00354518"/>
    <w:rsid w:val="00366F9A"/>
    <w:rsid w:val="00381CAD"/>
    <w:rsid w:val="00390F0B"/>
    <w:rsid w:val="003915D0"/>
    <w:rsid w:val="003A290F"/>
    <w:rsid w:val="003B1B1B"/>
    <w:rsid w:val="003B6D5E"/>
    <w:rsid w:val="003D2EB9"/>
    <w:rsid w:val="003D37D8"/>
    <w:rsid w:val="003D6E96"/>
    <w:rsid w:val="003F13B4"/>
    <w:rsid w:val="003F7E48"/>
    <w:rsid w:val="0041282B"/>
    <w:rsid w:val="00417D54"/>
    <w:rsid w:val="0042073D"/>
    <w:rsid w:val="004212F3"/>
    <w:rsid w:val="00425741"/>
    <w:rsid w:val="004358AB"/>
    <w:rsid w:val="00444FE2"/>
    <w:rsid w:val="00454442"/>
    <w:rsid w:val="004577E4"/>
    <w:rsid w:val="00483CB8"/>
    <w:rsid w:val="004A3CE5"/>
    <w:rsid w:val="004C0256"/>
    <w:rsid w:val="004D0BAD"/>
    <w:rsid w:val="004F2C11"/>
    <w:rsid w:val="004F2E79"/>
    <w:rsid w:val="005014A6"/>
    <w:rsid w:val="005034A8"/>
    <w:rsid w:val="00504F4E"/>
    <w:rsid w:val="00512BD9"/>
    <w:rsid w:val="005255F0"/>
    <w:rsid w:val="00534DF9"/>
    <w:rsid w:val="00542253"/>
    <w:rsid w:val="005516B3"/>
    <w:rsid w:val="005526CF"/>
    <w:rsid w:val="00554DC4"/>
    <w:rsid w:val="00555D34"/>
    <w:rsid w:val="0056102B"/>
    <w:rsid w:val="00577A83"/>
    <w:rsid w:val="00583BB7"/>
    <w:rsid w:val="00592FB6"/>
    <w:rsid w:val="005A0E96"/>
    <w:rsid w:val="005A6167"/>
    <w:rsid w:val="005D75B7"/>
    <w:rsid w:val="005F5FAC"/>
    <w:rsid w:val="005F660B"/>
    <w:rsid w:val="00605953"/>
    <w:rsid w:val="00614BD2"/>
    <w:rsid w:val="00621948"/>
    <w:rsid w:val="0062544B"/>
    <w:rsid w:val="00626E75"/>
    <w:rsid w:val="006420D5"/>
    <w:rsid w:val="0064685B"/>
    <w:rsid w:val="006523C8"/>
    <w:rsid w:val="00653DA5"/>
    <w:rsid w:val="006706B4"/>
    <w:rsid w:val="00673818"/>
    <w:rsid w:val="00685259"/>
    <w:rsid w:val="00695A2D"/>
    <w:rsid w:val="006B190A"/>
    <w:rsid w:val="006C288D"/>
    <w:rsid w:val="006C426C"/>
    <w:rsid w:val="006C5513"/>
    <w:rsid w:val="006C58E2"/>
    <w:rsid w:val="006C7872"/>
    <w:rsid w:val="006E032C"/>
    <w:rsid w:val="006F2038"/>
    <w:rsid w:val="00701BBB"/>
    <w:rsid w:val="00702683"/>
    <w:rsid w:val="00705AFB"/>
    <w:rsid w:val="00724C53"/>
    <w:rsid w:val="00732078"/>
    <w:rsid w:val="00735123"/>
    <w:rsid w:val="00747B5F"/>
    <w:rsid w:val="00751366"/>
    <w:rsid w:val="00755FA3"/>
    <w:rsid w:val="007652B4"/>
    <w:rsid w:val="007711A6"/>
    <w:rsid w:val="00782CEF"/>
    <w:rsid w:val="00786355"/>
    <w:rsid w:val="007867CC"/>
    <w:rsid w:val="00792615"/>
    <w:rsid w:val="00793012"/>
    <w:rsid w:val="007A4C76"/>
    <w:rsid w:val="007A79EA"/>
    <w:rsid w:val="007B00D9"/>
    <w:rsid w:val="007B1452"/>
    <w:rsid w:val="007D4B12"/>
    <w:rsid w:val="00800F23"/>
    <w:rsid w:val="0080392B"/>
    <w:rsid w:val="0080553D"/>
    <w:rsid w:val="0080678F"/>
    <w:rsid w:val="00807DEC"/>
    <w:rsid w:val="00810A7C"/>
    <w:rsid w:val="00825F1C"/>
    <w:rsid w:val="008428FF"/>
    <w:rsid w:val="00845CB0"/>
    <w:rsid w:val="00851981"/>
    <w:rsid w:val="008567DD"/>
    <w:rsid w:val="008615AB"/>
    <w:rsid w:val="00861706"/>
    <w:rsid w:val="00863E3F"/>
    <w:rsid w:val="00865B4C"/>
    <w:rsid w:val="00884AF4"/>
    <w:rsid w:val="00885972"/>
    <w:rsid w:val="0089009A"/>
    <w:rsid w:val="008929EB"/>
    <w:rsid w:val="008959A5"/>
    <w:rsid w:val="008A4F57"/>
    <w:rsid w:val="008B2EBA"/>
    <w:rsid w:val="008B7726"/>
    <w:rsid w:val="008C2A9C"/>
    <w:rsid w:val="008C6A95"/>
    <w:rsid w:val="008C6B66"/>
    <w:rsid w:val="008D26DA"/>
    <w:rsid w:val="008E0A3F"/>
    <w:rsid w:val="008E5000"/>
    <w:rsid w:val="008F5090"/>
    <w:rsid w:val="008F5E0A"/>
    <w:rsid w:val="009017D3"/>
    <w:rsid w:val="009040B0"/>
    <w:rsid w:val="00907A9F"/>
    <w:rsid w:val="00921514"/>
    <w:rsid w:val="00927ACA"/>
    <w:rsid w:val="0094098D"/>
    <w:rsid w:val="00940BE4"/>
    <w:rsid w:val="00942DDC"/>
    <w:rsid w:val="00946FDB"/>
    <w:rsid w:val="0095402C"/>
    <w:rsid w:val="0097134A"/>
    <w:rsid w:val="00977EF6"/>
    <w:rsid w:val="00980420"/>
    <w:rsid w:val="00991413"/>
    <w:rsid w:val="0099715A"/>
    <w:rsid w:val="009A20EE"/>
    <w:rsid w:val="009A382B"/>
    <w:rsid w:val="009C1923"/>
    <w:rsid w:val="009C3018"/>
    <w:rsid w:val="009C5FF4"/>
    <w:rsid w:val="009D5DEE"/>
    <w:rsid w:val="009E018C"/>
    <w:rsid w:val="009E16AA"/>
    <w:rsid w:val="009E25AD"/>
    <w:rsid w:val="009E7BC5"/>
    <w:rsid w:val="009F30A3"/>
    <w:rsid w:val="009F54F4"/>
    <w:rsid w:val="009F5D09"/>
    <w:rsid w:val="00A03F95"/>
    <w:rsid w:val="00A0421D"/>
    <w:rsid w:val="00A17B96"/>
    <w:rsid w:val="00A26AF5"/>
    <w:rsid w:val="00A2750A"/>
    <w:rsid w:val="00A3269A"/>
    <w:rsid w:val="00A3324A"/>
    <w:rsid w:val="00A54A0A"/>
    <w:rsid w:val="00A65296"/>
    <w:rsid w:val="00A65DDF"/>
    <w:rsid w:val="00A70120"/>
    <w:rsid w:val="00A81220"/>
    <w:rsid w:val="00A8318E"/>
    <w:rsid w:val="00A8374B"/>
    <w:rsid w:val="00A876C5"/>
    <w:rsid w:val="00A87A11"/>
    <w:rsid w:val="00A9015F"/>
    <w:rsid w:val="00AC4B43"/>
    <w:rsid w:val="00AC6D6B"/>
    <w:rsid w:val="00AE2924"/>
    <w:rsid w:val="00AE668C"/>
    <w:rsid w:val="00AF211D"/>
    <w:rsid w:val="00B01D1B"/>
    <w:rsid w:val="00B06F55"/>
    <w:rsid w:val="00B15526"/>
    <w:rsid w:val="00B1723E"/>
    <w:rsid w:val="00B20435"/>
    <w:rsid w:val="00B24041"/>
    <w:rsid w:val="00B315BC"/>
    <w:rsid w:val="00B40E95"/>
    <w:rsid w:val="00B5241C"/>
    <w:rsid w:val="00B54DA6"/>
    <w:rsid w:val="00B702A8"/>
    <w:rsid w:val="00B709D4"/>
    <w:rsid w:val="00B73D64"/>
    <w:rsid w:val="00B80C02"/>
    <w:rsid w:val="00B815B9"/>
    <w:rsid w:val="00B821F8"/>
    <w:rsid w:val="00B86B30"/>
    <w:rsid w:val="00B90E10"/>
    <w:rsid w:val="00B9453B"/>
    <w:rsid w:val="00BA6990"/>
    <w:rsid w:val="00BB020C"/>
    <w:rsid w:val="00BD5689"/>
    <w:rsid w:val="00BE0EA9"/>
    <w:rsid w:val="00BE3324"/>
    <w:rsid w:val="00BE57AB"/>
    <w:rsid w:val="00C00258"/>
    <w:rsid w:val="00C051ED"/>
    <w:rsid w:val="00C12587"/>
    <w:rsid w:val="00C20414"/>
    <w:rsid w:val="00C21212"/>
    <w:rsid w:val="00C21235"/>
    <w:rsid w:val="00C3456A"/>
    <w:rsid w:val="00C47D72"/>
    <w:rsid w:val="00C540C1"/>
    <w:rsid w:val="00C579E4"/>
    <w:rsid w:val="00C762F7"/>
    <w:rsid w:val="00C90BB0"/>
    <w:rsid w:val="00CA54B4"/>
    <w:rsid w:val="00CB1DBF"/>
    <w:rsid w:val="00CC31ED"/>
    <w:rsid w:val="00CC733A"/>
    <w:rsid w:val="00CD2520"/>
    <w:rsid w:val="00CE6B4B"/>
    <w:rsid w:val="00CE7684"/>
    <w:rsid w:val="00CF0DDF"/>
    <w:rsid w:val="00D13AE9"/>
    <w:rsid w:val="00D230E5"/>
    <w:rsid w:val="00D24AC7"/>
    <w:rsid w:val="00D30FB1"/>
    <w:rsid w:val="00D4099E"/>
    <w:rsid w:val="00D454F7"/>
    <w:rsid w:val="00D462DA"/>
    <w:rsid w:val="00D5079C"/>
    <w:rsid w:val="00D56A58"/>
    <w:rsid w:val="00D622BE"/>
    <w:rsid w:val="00D65A6E"/>
    <w:rsid w:val="00D67011"/>
    <w:rsid w:val="00D714FD"/>
    <w:rsid w:val="00D749AF"/>
    <w:rsid w:val="00D75E23"/>
    <w:rsid w:val="00D85E44"/>
    <w:rsid w:val="00D9156E"/>
    <w:rsid w:val="00DD423E"/>
    <w:rsid w:val="00DD68B2"/>
    <w:rsid w:val="00DF3474"/>
    <w:rsid w:val="00DF4F15"/>
    <w:rsid w:val="00DF56D9"/>
    <w:rsid w:val="00E10EC9"/>
    <w:rsid w:val="00E2322B"/>
    <w:rsid w:val="00E26FB6"/>
    <w:rsid w:val="00E30B3B"/>
    <w:rsid w:val="00E32A10"/>
    <w:rsid w:val="00E41C3A"/>
    <w:rsid w:val="00E72FDB"/>
    <w:rsid w:val="00E76BC5"/>
    <w:rsid w:val="00E76E50"/>
    <w:rsid w:val="00E83817"/>
    <w:rsid w:val="00E86BC5"/>
    <w:rsid w:val="00E93474"/>
    <w:rsid w:val="00E95598"/>
    <w:rsid w:val="00E97AE9"/>
    <w:rsid w:val="00EA0CE4"/>
    <w:rsid w:val="00EB6A1C"/>
    <w:rsid w:val="00EC5A91"/>
    <w:rsid w:val="00EC73E8"/>
    <w:rsid w:val="00EE463A"/>
    <w:rsid w:val="00EE5B3B"/>
    <w:rsid w:val="00EE6FF2"/>
    <w:rsid w:val="00EF0CDF"/>
    <w:rsid w:val="00EF6D5D"/>
    <w:rsid w:val="00EF7867"/>
    <w:rsid w:val="00F00F68"/>
    <w:rsid w:val="00F054EC"/>
    <w:rsid w:val="00F11795"/>
    <w:rsid w:val="00F15B8A"/>
    <w:rsid w:val="00F4311F"/>
    <w:rsid w:val="00F43922"/>
    <w:rsid w:val="00F44513"/>
    <w:rsid w:val="00F47318"/>
    <w:rsid w:val="00F512F2"/>
    <w:rsid w:val="00F6192B"/>
    <w:rsid w:val="00F6557F"/>
    <w:rsid w:val="00F83B3F"/>
    <w:rsid w:val="00F85DEE"/>
    <w:rsid w:val="00F8634F"/>
    <w:rsid w:val="00F96461"/>
    <w:rsid w:val="00FA59C1"/>
    <w:rsid w:val="00FB009F"/>
    <w:rsid w:val="00FB20F8"/>
    <w:rsid w:val="00FB31C3"/>
    <w:rsid w:val="00FB65DB"/>
    <w:rsid w:val="00FC0FDF"/>
    <w:rsid w:val="00FC670D"/>
    <w:rsid w:val="00FC6B54"/>
    <w:rsid w:val="00FD662F"/>
    <w:rsid w:val="00FE1BEF"/>
    <w:rsid w:val="00FF4068"/>
    <w:rsid w:val="01BA51E5"/>
    <w:rsid w:val="01E14A11"/>
    <w:rsid w:val="01FB23CB"/>
    <w:rsid w:val="01FB5C4F"/>
    <w:rsid w:val="02474A49"/>
    <w:rsid w:val="02A837E9"/>
    <w:rsid w:val="02DF1744"/>
    <w:rsid w:val="03A27284"/>
    <w:rsid w:val="04CA3B4E"/>
    <w:rsid w:val="05344197"/>
    <w:rsid w:val="055424CE"/>
    <w:rsid w:val="058A4BA6"/>
    <w:rsid w:val="05CC560F"/>
    <w:rsid w:val="05DB1D34"/>
    <w:rsid w:val="060D18FC"/>
    <w:rsid w:val="06DB57CD"/>
    <w:rsid w:val="079F680F"/>
    <w:rsid w:val="07B42F31"/>
    <w:rsid w:val="07D41268"/>
    <w:rsid w:val="08AE69CD"/>
    <w:rsid w:val="08D4565E"/>
    <w:rsid w:val="08E510A5"/>
    <w:rsid w:val="09043B58"/>
    <w:rsid w:val="095161D6"/>
    <w:rsid w:val="09730510"/>
    <w:rsid w:val="09B94653"/>
    <w:rsid w:val="09F31262"/>
    <w:rsid w:val="0A4B77BA"/>
    <w:rsid w:val="0B2E1EE3"/>
    <w:rsid w:val="0BC302BA"/>
    <w:rsid w:val="0C042AC7"/>
    <w:rsid w:val="0C1D75EE"/>
    <w:rsid w:val="0C224D9A"/>
    <w:rsid w:val="0C3A3C66"/>
    <w:rsid w:val="0C691C6B"/>
    <w:rsid w:val="0C89471E"/>
    <w:rsid w:val="0CA04344"/>
    <w:rsid w:val="0CC339E2"/>
    <w:rsid w:val="0CD577AC"/>
    <w:rsid w:val="0D173089"/>
    <w:rsid w:val="0DA46170"/>
    <w:rsid w:val="0E192BDD"/>
    <w:rsid w:val="0E263246"/>
    <w:rsid w:val="0E5C591E"/>
    <w:rsid w:val="0E937FF7"/>
    <w:rsid w:val="0F4B77A5"/>
    <w:rsid w:val="0F6B5ADC"/>
    <w:rsid w:val="0FAD1DC8"/>
    <w:rsid w:val="0FCE44FB"/>
    <w:rsid w:val="105A7962"/>
    <w:rsid w:val="107058C1"/>
    <w:rsid w:val="10BB6702"/>
    <w:rsid w:val="11044EAD"/>
    <w:rsid w:val="11A021F8"/>
    <w:rsid w:val="12E60311"/>
    <w:rsid w:val="13097490"/>
    <w:rsid w:val="133B3544"/>
    <w:rsid w:val="1363311D"/>
    <w:rsid w:val="13AA5AD0"/>
    <w:rsid w:val="13EB653A"/>
    <w:rsid w:val="14013FB3"/>
    <w:rsid w:val="14200F92"/>
    <w:rsid w:val="14AE78FC"/>
    <w:rsid w:val="14CE645F"/>
    <w:rsid w:val="15191A98"/>
    <w:rsid w:val="15602ABA"/>
    <w:rsid w:val="157B37CD"/>
    <w:rsid w:val="157D344D"/>
    <w:rsid w:val="15D6558C"/>
    <w:rsid w:val="163A2FC4"/>
    <w:rsid w:val="16757268"/>
    <w:rsid w:val="16ED23AA"/>
    <w:rsid w:val="178570A5"/>
    <w:rsid w:val="17E625C2"/>
    <w:rsid w:val="17FF6129"/>
    <w:rsid w:val="18522F76"/>
    <w:rsid w:val="189B0582"/>
    <w:rsid w:val="18CB193B"/>
    <w:rsid w:val="18D5543E"/>
    <w:rsid w:val="194C6A11"/>
    <w:rsid w:val="1A2608F3"/>
    <w:rsid w:val="1A4768A9"/>
    <w:rsid w:val="1A5B78F7"/>
    <w:rsid w:val="1AFF6057"/>
    <w:rsid w:val="1B106F62"/>
    <w:rsid w:val="1B12390D"/>
    <w:rsid w:val="1BC23B97"/>
    <w:rsid w:val="1BD73063"/>
    <w:rsid w:val="1BF402CA"/>
    <w:rsid w:val="1C4F6C7E"/>
    <w:rsid w:val="1C6F4FB4"/>
    <w:rsid w:val="1DA0044D"/>
    <w:rsid w:val="1E6C2A79"/>
    <w:rsid w:val="1E875B63"/>
    <w:rsid w:val="1EB17700"/>
    <w:rsid w:val="1EBB4EBE"/>
    <w:rsid w:val="1EBC1C37"/>
    <w:rsid w:val="1EC70D10"/>
    <w:rsid w:val="1EFB5963"/>
    <w:rsid w:val="1FCA14B3"/>
    <w:rsid w:val="206C4540"/>
    <w:rsid w:val="20A36C18"/>
    <w:rsid w:val="20C4035C"/>
    <w:rsid w:val="20E81616"/>
    <w:rsid w:val="21243CEE"/>
    <w:rsid w:val="21511470"/>
    <w:rsid w:val="21702AE9"/>
    <w:rsid w:val="221413F8"/>
    <w:rsid w:val="224A024D"/>
    <w:rsid w:val="22A10C5C"/>
    <w:rsid w:val="22F8166B"/>
    <w:rsid w:val="23395957"/>
    <w:rsid w:val="234E207A"/>
    <w:rsid w:val="236B5023"/>
    <w:rsid w:val="23906366"/>
    <w:rsid w:val="2411343C"/>
    <w:rsid w:val="243D3F00"/>
    <w:rsid w:val="24910853"/>
    <w:rsid w:val="249F6523"/>
    <w:rsid w:val="24C72A44"/>
    <w:rsid w:val="252516D0"/>
    <w:rsid w:val="25560A6D"/>
    <w:rsid w:val="256E2074"/>
    <w:rsid w:val="258A45EF"/>
    <w:rsid w:val="2598673B"/>
    <w:rsid w:val="25BA46F2"/>
    <w:rsid w:val="25D572C1"/>
    <w:rsid w:val="25D971A5"/>
    <w:rsid w:val="25E40DB9"/>
    <w:rsid w:val="25F6536F"/>
    <w:rsid w:val="26105100"/>
    <w:rsid w:val="26583A6A"/>
    <w:rsid w:val="268705C2"/>
    <w:rsid w:val="26C76E02"/>
    <w:rsid w:val="26F767C6"/>
    <w:rsid w:val="273F35F4"/>
    <w:rsid w:val="276B40B8"/>
    <w:rsid w:val="276B793B"/>
    <w:rsid w:val="277C19CC"/>
    <w:rsid w:val="27A12394"/>
    <w:rsid w:val="28BF5BE4"/>
    <w:rsid w:val="28CB04EC"/>
    <w:rsid w:val="295F3FF8"/>
    <w:rsid w:val="29A04058"/>
    <w:rsid w:val="29D07C2C"/>
    <w:rsid w:val="29D56AB0"/>
    <w:rsid w:val="2A200285"/>
    <w:rsid w:val="2A3854D0"/>
    <w:rsid w:val="2A423861"/>
    <w:rsid w:val="2A4D5475"/>
    <w:rsid w:val="2A6D37AC"/>
    <w:rsid w:val="2ADA171D"/>
    <w:rsid w:val="2AF04C7E"/>
    <w:rsid w:val="2B122C35"/>
    <w:rsid w:val="2B7D563D"/>
    <w:rsid w:val="2BAB18D3"/>
    <w:rsid w:val="2BDF6B05"/>
    <w:rsid w:val="2C1C2C6D"/>
    <w:rsid w:val="2C6F7A0C"/>
    <w:rsid w:val="2CAE5ED9"/>
    <w:rsid w:val="2CBD0633"/>
    <w:rsid w:val="2D703A18"/>
    <w:rsid w:val="2D8639BE"/>
    <w:rsid w:val="2DA61CF4"/>
    <w:rsid w:val="2E953B7B"/>
    <w:rsid w:val="2FA678EC"/>
    <w:rsid w:val="2FBA00DA"/>
    <w:rsid w:val="30336A9F"/>
    <w:rsid w:val="303D4E30"/>
    <w:rsid w:val="309E3BD0"/>
    <w:rsid w:val="30AB5C98"/>
    <w:rsid w:val="30B91F2F"/>
    <w:rsid w:val="30F30943"/>
    <w:rsid w:val="31142A1E"/>
    <w:rsid w:val="31CF1D43"/>
    <w:rsid w:val="31F9640B"/>
    <w:rsid w:val="320D4D17"/>
    <w:rsid w:val="321B43C1"/>
    <w:rsid w:val="32FE0237"/>
    <w:rsid w:val="33084FC3"/>
    <w:rsid w:val="33B2468A"/>
    <w:rsid w:val="34313207"/>
    <w:rsid w:val="351D0231"/>
    <w:rsid w:val="3554290A"/>
    <w:rsid w:val="358677AD"/>
    <w:rsid w:val="35AA241A"/>
    <w:rsid w:val="36184362"/>
    <w:rsid w:val="36A46DB4"/>
    <w:rsid w:val="36FB7438"/>
    <w:rsid w:val="371C513B"/>
    <w:rsid w:val="374765BD"/>
    <w:rsid w:val="375201D1"/>
    <w:rsid w:val="380D38A8"/>
    <w:rsid w:val="38461FFE"/>
    <w:rsid w:val="38AD1941"/>
    <w:rsid w:val="38E31861"/>
    <w:rsid w:val="38EE7BF2"/>
    <w:rsid w:val="39255B4E"/>
    <w:rsid w:val="396665B7"/>
    <w:rsid w:val="39F252A2"/>
    <w:rsid w:val="3A267F4D"/>
    <w:rsid w:val="3A370080"/>
    <w:rsid w:val="3A756774"/>
    <w:rsid w:val="3A7F4B06"/>
    <w:rsid w:val="3B6405FB"/>
    <w:rsid w:val="3B72666C"/>
    <w:rsid w:val="3B846932"/>
    <w:rsid w:val="3BB02C79"/>
    <w:rsid w:val="3BC52C1E"/>
    <w:rsid w:val="3BDA7340"/>
    <w:rsid w:val="3D0038A0"/>
    <w:rsid w:val="3D615EC3"/>
    <w:rsid w:val="3D6632CE"/>
    <w:rsid w:val="3DB47018"/>
    <w:rsid w:val="3DC34C62"/>
    <w:rsid w:val="3E1A5671"/>
    <w:rsid w:val="3E7C4091"/>
    <w:rsid w:val="3EB46A7B"/>
    <w:rsid w:val="3EDF3ACB"/>
    <w:rsid w:val="3EFE1167"/>
    <w:rsid w:val="3F1A2C6A"/>
    <w:rsid w:val="3FF62E35"/>
    <w:rsid w:val="401415F6"/>
    <w:rsid w:val="40BA2742"/>
    <w:rsid w:val="41061FA5"/>
    <w:rsid w:val="41325883"/>
    <w:rsid w:val="41741B70"/>
    <w:rsid w:val="41BC5B75"/>
    <w:rsid w:val="41CA6CFC"/>
    <w:rsid w:val="42212F8E"/>
    <w:rsid w:val="426339F7"/>
    <w:rsid w:val="42EE6E5E"/>
    <w:rsid w:val="42F3592C"/>
    <w:rsid w:val="434774ED"/>
    <w:rsid w:val="43783B12"/>
    <w:rsid w:val="443A1529"/>
    <w:rsid w:val="444D7109"/>
    <w:rsid w:val="44C2005E"/>
    <w:rsid w:val="44EE0B22"/>
    <w:rsid w:val="44F86EB3"/>
    <w:rsid w:val="456320BA"/>
    <w:rsid w:val="45845B9E"/>
    <w:rsid w:val="4586581D"/>
    <w:rsid w:val="46C4514D"/>
    <w:rsid w:val="47220AC2"/>
    <w:rsid w:val="4759319A"/>
    <w:rsid w:val="47BC4A61"/>
    <w:rsid w:val="47C502CB"/>
    <w:rsid w:val="47D46525"/>
    <w:rsid w:val="47DA0270"/>
    <w:rsid w:val="47F00216"/>
    <w:rsid w:val="48581378"/>
    <w:rsid w:val="48591CAE"/>
    <w:rsid w:val="48D43D0B"/>
    <w:rsid w:val="48E9042E"/>
    <w:rsid w:val="48F5643E"/>
    <w:rsid w:val="493237C8"/>
    <w:rsid w:val="49400E3C"/>
    <w:rsid w:val="498118A6"/>
    <w:rsid w:val="49A30B36"/>
    <w:rsid w:val="49B83F7E"/>
    <w:rsid w:val="49D822B4"/>
    <w:rsid w:val="49F759A1"/>
    <w:rsid w:val="4A080708"/>
    <w:rsid w:val="4A6450AD"/>
    <w:rsid w:val="4AFD248A"/>
    <w:rsid w:val="4B1367B9"/>
    <w:rsid w:val="4B7F716D"/>
    <w:rsid w:val="4BCF0BAA"/>
    <w:rsid w:val="4BE25B8D"/>
    <w:rsid w:val="4C020640"/>
    <w:rsid w:val="4C023EC3"/>
    <w:rsid w:val="4C5D059F"/>
    <w:rsid w:val="4C6D5C49"/>
    <w:rsid w:val="4C6E0FF4"/>
    <w:rsid w:val="4C7A7005"/>
    <w:rsid w:val="4C83469F"/>
    <w:rsid w:val="4CAF1A5D"/>
    <w:rsid w:val="4CD56037"/>
    <w:rsid w:val="4D472ED5"/>
    <w:rsid w:val="4D7E0E31"/>
    <w:rsid w:val="4DE07BD1"/>
    <w:rsid w:val="4E201E76"/>
    <w:rsid w:val="4E2C69CB"/>
    <w:rsid w:val="4E4816C2"/>
    <w:rsid w:val="4E9823FF"/>
    <w:rsid w:val="4ED9366C"/>
    <w:rsid w:val="4EED5101"/>
    <w:rsid w:val="4F1B40D5"/>
    <w:rsid w:val="4F5167AE"/>
    <w:rsid w:val="4FA7753C"/>
    <w:rsid w:val="501229A4"/>
    <w:rsid w:val="512344AA"/>
    <w:rsid w:val="512A366A"/>
    <w:rsid w:val="51B12E15"/>
    <w:rsid w:val="5255103F"/>
    <w:rsid w:val="52AA302D"/>
    <w:rsid w:val="52CA1363"/>
    <w:rsid w:val="54267F9B"/>
    <w:rsid w:val="54722618"/>
    <w:rsid w:val="54A85071"/>
    <w:rsid w:val="54C93027"/>
    <w:rsid w:val="54FB3556"/>
    <w:rsid w:val="55304C42"/>
    <w:rsid w:val="554025B6"/>
    <w:rsid w:val="5557610E"/>
    <w:rsid w:val="55D3478A"/>
    <w:rsid w:val="56713AFA"/>
    <w:rsid w:val="568461BA"/>
    <w:rsid w:val="56A949C2"/>
    <w:rsid w:val="576D242E"/>
    <w:rsid w:val="577F481A"/>
    <w:rsid w:val="57B66EF2"/>
    <w:rsid w:val="57E53FD6"/>
    <w:rsid w:val="58171515"/>
    <w:rsid w:val="582C5C37"/>
    <w:rsid w:val="58343ECB"/>
    <w:rsid w:val="58591F7E"/>
    <w:rsid w:val="58BC668F"/>
    <w:rsid w:val="5911172D"/>
    <w:rsid w:val="592918BC"/>
    <w:rsid w:val="5991373A"/>
    <w:rsid w:val="5A006E37"/>
    <w:rsid w:val="5A21156A"/>
    <w:rsid w:val="5A4C5C31"/>
    <w:rsid w:val="5A5D7B2E"/>
    <w:rsid w:val="5A6D3BE8"/>
    <w:rsid w:val="5A9D60D0"/>
    <w:rsid w:val="5AEF0CBE"/>
    <w:rsid w:val="5B033122"/>
    <w:rsid w:val="5B7831AC"/>
    <w:rsid w:val="5B7C7CA2"/>
    <w:rsid w:val="5BB167FD"/>
    <w:rsid w:val="5C343553"/>
    <w:rsid w:val="5C4A34F9"/>
    <w:rsid w:val="5C8C44F1"/>
    <w:rsid w:val="5CAB2299"/>
    <w:rsid w:val="5CD91A5D"/>
    <w:rsid w:val="5D2D376B"/>
    <w:rsid w:val="5D7A166C"/>
    <w:rsid w:val="5E122AE4"/>
    <w:rsid w:val="5E6934F3"/>
    <w:rsid w:val="5EDF7E50"/>
    <w:rsid w:val="5F0B4ACB"/>
    <w:rsid w:val="5F186313"/>
    <w:rsid w:val="5F2E2567"/>
    <w:rsid w:val="5FA34174"/>
    <w:rsid w:val="5FE307E1"/>
    <w:rsid w:val="60104B28"/>
    <w:rsid w:val="601C2B39"/>
    <w:rsid w:val="605B3923"/>
    <w:rsid w:val="60665537"/>
    <w:rsid w:val="60A81824"/>
    <w:rsid w:val="60C842D7"/>
    <w:rsid w:val="60E50041"/>
    <w:rsid w:val="60E9228D"/>
    <w:rsid w:val="61E11335"/>
    <w:rsid w:val="622D551F"/>
    <w:rsid w:val="62444AC8"/>
    <w:rsid w:val="626671FB"/>
    <w:rsid w:val="63191C2D"/>
    <w:rsid w:val="6437077B"/>
    <w:rsid w:val="64383E8D"/>
    <w:rsid w:val="64592EAE"/>
    <w:rsid w:val="64875B06"/>
    <w:rsid w:val="648A0433"/>
    <w:rsid w:val="64BA1C4E"/>
    <w:rsid w:val="64CF1BF3"/>
    <w:rsid w:val="65084AA4"/>
    <w:rsid w:val="66154489"/>
    <w:rsid w:val="66564EF2"/>
    <w:rsid w:val="66D91C48"/>
    <w:rsid w:val="66EF1BEE"/>
    <w:rsid w:val="67EC244A"/>
    <w:rsid w:val="67F33A1A"/>
    <w:rsid w:val="680B73D1"/>
    <w:rsid w:val="68A04E37"/>
    <w:rsid w:val="68E258A1"/>
    <w:rsid w:val="695F5549"/>
    <w:rsid w:val="696E0D08"/>
    <w:rsid w:val="69AF4526"/>
    <w:rsid w:val="69DB133C"/>
    <w:rsid w:val="6ACA793F"/>
    <w:rsid w:val="6ADF78E5"/>
    <w:rsid w:val="6B161FBD"/>
    <w:rsid w:val="6B62463B"/>
    <w:rsid w:val="6C0F21D5"/>
    <w:rsid w:val="6CAE189F"/>
    <w:rsid w:val="6CB25261"/>
    <w:rsid w:val="6D19183E"/>
    <w:rsid w:val="6D6C15A7"/>
    <w:rsid w:val="6D851EEC"/>
    <w:rsid w:val="6D8C39D9"/>
    <w:rsid w:val="6D914F6D"/>
    <w:rsid w:val="6DC67632"/>
    <w:rsid w:val="6DD57762"/>
    <w:rsid w:val="6DD85044"/>
    <w:rsid w:val="6EFC1923"/>
    <w:rsid w:val="6F33787F"/>
    <w:rsid w:val="6F730668"/>
    <w:rsid w:val="700233CF"/>
    <w:rsid w:val="704D5DCD"/>
    <w:rsid w:val="7111358D"/>
    <w:rsid w:val="71A14FC9"/>
    <w:rsid w:val="71A65FF1"/>
    <w:rsid w:val="71AF0C4A"/>
    <w:rsid w:val="71D310CC"/>
    <w:rsid w:val="720A37A4"/>
    <w:rsid w:val="723536EF"/>
    <w:rsid w:val="72B84BC2"/>
    <w:rsid w:val="735B7C4E"/>
    <w:rsid w:val="73E82D35"/>
    <w:rsid w:val="73FD2CDB"/>
    <w:rsid w:val="73FE7FCA"/>
    <w:rsid w:val="748D10C3"/>
    <w:rsid w:val="74B62489"/>
    <w:rsid w:val="759A5F7F"/>
    <w:rsid w:val="75FB4D1F"/>
    <w:rsid w:val="767E1A75"/>
    <w:rsid w:val="76BF7107"/>
    <w:rsid w:val="772B2E92"/>
    <w:rsid w:val="77C41863"/>
    <w:rsid w:val="77C4430A"/>
    <w:rsid w:val="77E61FA3"/>
    <w:rsid w:val="77F96D63"/>
    <w:rsid w:val="78106988"/>
    <w:rsid w:val="781C26C3"/>
    <w:rsid w:val="78667397"/>
    <w:rsid w:val="78C4631E"/>
    <w:rsid w:val="78FC33D7"/>
    <w:rsid w:val="78FF080F"/>
    <w:rsid w:val="79322C8C"/>
    <w:rsid w:val="79345129"/>
    <w:rsid w:val="79352EE7"/>
    <w:rsid w:val="796827D2"/>
    <w:rsid w:val="79C11BD2"/>
    <w:rsid w:val="7A4430A5"/>
    <w:rsid w:val="7A9B7151"/>
    <w:rsid w:val="7AD0650C"/>
    <w:rsid w:val="7AD2618C"/>
    <w:rsid w:val="7B47371D"/>
    <w:rsid w:val="7B484ED1"/>
    <w:rsid w:val="7BB21E6C"/>
    <w:rsid w:val="7BC36955"/>
    <w:rsid w:val="7BF62A6B"/>
    <w:rsid w:val="7C4D6CFD"/>
    <w:rsid w:val="7C62341F"/>
    <w:rsid w:val="7C985AF7"/>
    <w:rsid w:val="7CAE5A9D"/>
    <w:rsid w:val="7CC40829"/>
    <w:rsid w:val="7CE50175"/>
    <w:rsid w:val="7DBE174D"/>
    <w:rsid w:val="7DFF4FFE"/>
    <w:rsid w:val="7E4A0D41"/>
    <w:rsid w:val="7E8B143F"/>
    <w:rsid w:val="7F9035D7"/>
    <w:rsid w:val="7FA01948"/>
    <w:rsid w:val="7FBD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unhideWhenUsed/>
    <w:qFormat/>
    <w:uiPriority w:val="99"/>
  </w:style>
  <w:style w:type="character" w:customStyle="1" w:styleId="12">
    <w:name w:val="纯文本 Char"/>
    <w:basedOn w:val="9"/>
    <w:link w:val="2"/>
    <w:qFormat/>
    <w:uiPriority w:val="0"/>
    <w:rPr>
      <w:rFonts w:ascii="宋体" w:hAnsi="Courier New" w:cs="Courier New"/>
      <w:kern w:val="2"/>
      <w:sz w:val="21"/>
      <w:szCs w:val="21"/>
    </w:rPr>
  </w:style>
  <w:style w:type="character" w:customStyle="1" w:styleId="13">
    <w:name w:val="页眉 Char"/>
    <w:basedOn w:val="9"/>
    <w:link w:val="5"/>
    <w:semiHidden/>
    <w:qFormat/>
    <w:uiPriority w:val="99"/>
    <w:rPr>
      <w:kern w:val="2"/>
      <w:sz w:val="18"/>
      <w:szCs w:val="18"/>
    </w:rPr>
  </w:style>
  <w:style w:type="character" w:customStyle="1" w:styleId="14">
    <w:name w:val="页脚 Char"/>
    <w:basedOn w:val="9"/>
    <w:link w:val="4"/>
    <w:qFormat/>
    <w:uiPriority w:val="99"/>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24CC-139A-4E35-A5DC-D67DC9EAF9C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1537</Words>
  <Characters>1661</Characters>
  <Lines>34</Lines>
  <Paragraphs>9</Paragraphs>
  <TotalTime>35</TotalTime>
  <ScaleCrop>false</ScaleCrop>
  <LinksUpToDate>false</LinksUpToDate>
  <CharactersWithSpaces>1739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2018-02-24T00:42:00Z</dcterms:created>
  <dc:creator>USER</dc:creator>
  <cp:lastModifiedBy>ForVictorRi</cp:lastModifiedBy>
  <cp:lastPrinted>2023-01-28T06:12:00Z</cp:lastPrinted>
  <dcterms:modified xsi:type="dcterms:W3CDTF">2023-03-27T02:26:33Z</dcterms:modified>
  <dc:title>高安监发〔2015〕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420B43F19F474521A0FF6113BC50AAFA</vt:lpwstr>
  </property>
</Properties>
</file>