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b/>
          <w:color w:val="auto"/>
          <w:sz w:val="44"/>
          <w:szCs w:val="44"/>
        </w:rPr>
      </w:pPr>
      <w:r>
        <w:rPr>
          <w:rFonts w:hint="eastAsia" w:ascii="宋体" w:hAnsi="宋体"/>
          <w:b/>
          <w:color w:val="auto"/>
          <w:sz w:val="44"/>
          <w:szCs w:val="44"/>
        </w:rPr>
        <w:t>高青县</w:t>
      </w:r>
      <w:r>
        <w:rPr>
          <w:rFonts w:hint="eastAsia" w:ascii="宋体" w:hAnsi="宋体"/>
          <w:b/>
          <w:color w:val="auto"/>
          <w:sz w:val="44"/>
          <w:szCs w:val="44"/>
          <w:lang w:eastAsia="zh-CN"/>
        </w:rPr>
        <w:t>黑里寨镇</w:t>
      </w:r>
      <w:r>
        <w:rPr>
          <w:rFonts w:ascii="宋体" w:hAnsi="宋体"/>
          <w:b/>
          <w:color w:val="auto"/>
          <w:sz w:val="44"/>
          <w:szCs w:val="44"/>
        </w:rPr>
        <w:t>2017</w:t>
      </w:r>
      <w:r>
        <w:rPr>
          <w:rFonts w:hint="eastAsia" w:ascii="宋体" w:hAnsi="宋体"/>
          <w:b/>
          <w:color w:val="auto"/>
          <w:sz w:val="44"/>
          <w:szCs w:val="44"/>
        </w:rPr>
        <w:t>年政府信息公开工作</w:t>
      </w:r>
    </w:p>
    <w:p>
      <w:pPr>
        <w:spacing w:line="540" w:lineRule="exact"/>
        <w:jc w:val="center"/>
        <w:rPr>
          <w:rFonts w:ascii="宋体"/>
          <w:b/>
          <w:color w:val="auto"/>
          <w:sz w:val="44"/>
          <w:szCs w:val="44"/>
        </w:rPr>
      </w:pPr>
      <w:r>
        <w:rPr>
          <w:rFonts w:hint="eastAsia" w:ascii="宋体" w:hAnsi="宋体"/>
          <w:b/>
          <w:color w:val="auto"/>
          <w:sz w:val="44"/>
          <w:szCs w:val="44"/>
        </w:rPr>
        <w:t>年度报告</w:t>
      </w:r>
    </w:p>
    <w:p>
      <w:pPr>
        <w:spacing w:line="540" w:lineRule="exact"/>
        <w:jc w:val="center"/>
        <w:rPr>
          <w:rFonts w:ascii="仿宋_GB2312" w:eastAsia="仿宋_GB2312"/>
          <w:color w:val="auto"/>
          <w:sz w:val="32"/>
          <w:szCs w:val="32"/>
        </w:rPr>
      </w:pP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 xml:space="preserve"> 根据《中华人民共和国政府信息公开条例》（以下简称《条例》）和《淄博市人民政府办公厅关于做好201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年政府信息公开工作年度报告编制工作的通知》要求，特向社会公布2018年度黑里寨镇政府信息公开工作年度报告。本报告中所列数据的统计期限是201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年1月1日至201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12月31日。本报告的电子版可在“高青县人民政府网”（www.gaoqing.gov.cn）下载。如对本报告有任何疑问，请与黑里寨镇政府信息公开领导小组办公室联系（地址：高青县黑里寨镇政府；邮编：256306；电话：0533- 6765534；传真：0533-6765034；电子邮箱：gqxhlzz@zb.shandong.cn）。</w:t>
      </w:r>
    </w:p>
    <w:p>
      <w:pPr>
        <w:spacing w:line="540" w:lineRule="exact"/>
        <w:ind w:firstLine="643" w:firstLineChars="200"/>
        <w:rPr>
          <w:rFonts w:hint="eastAsia" w:ascii="黑体" w:hAnsi="黑体" w:eastAsia="黑体"/>
          <w:b/>
          <w:color w:val="auto"/>
          <w:sz w:val="32"/>
          <w:szCs w:val="32"/>
        </w:rPr>
      </w:pPr>
    </w:p>
    <w:p>
      <w:pPr>
        <w:numPr>
          <w:ilvl w:val="0"/>
          <w:numId w:val="1"/>
        </w:numPr>
        <w:spacing w:line="540" w:lineRule="exact"/>
        <w:ind w:left="969" w:leftChars="0" w:firstLine="0" w:firstLineChars="0"/>
        <w:rPr>
          <w:rFonts w:hint="eastAsia" w:ascii="黑体" w:hAnsi="黑体" w:eastAsia="黑体"/>
          <w:b/>
          <w:color w:val="auto"/>
          <w:sz w:val="32"/>
          <w:szCs w:val="32"/>
        </w:rPr>
      </w:pPr>
      <w:r>
        <w:rPr>
          <w:rFonts w:hint="eastAsia" w:ascii="黑体" w:hAnsi="黑体" w:eastAsia="黑体"/>
          <w:b/>
          <w:color w:val="auto"/>
          <w:sz w:val="32"/>
          <w:szCs w:val="32"/>
        </w:rPr>
        <w:t>政府信息公开工作概述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b/>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在市、县政府的正确领导下，黑里寨镇政府认真贯彻实施《条例》，层层分解落实省市有关文件精神，周密部署、突出重点、有序推进，及时、准确地向社会公开政府信息，依法保障了人民群众的知情权、参与权和监督权。同时，将推进政府信息公开与服务经济社会发展、转变政府职能、规范行政权力运行、促进依法行政紧密结合，政府信息公开工作取得了新成效。</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（一）组织领导情况</w:t>
      </w: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进一步加强对政府信息公开工作的组织领导，不断完善政府信息公开工作体制机制建设。我镇政府成了信息公开工作领导小组，形成了“主要领导负总责，分管领导具体抓，工作机构抓落实”的组织领导体系，为政府信息公开工作的顺利开展提供了有力的组织保障。镇政府每季度召开一次信息公开负责人会议，研究推进政府信息公开工作措施，协调解决信息公开工作中存在的问题，确保了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年全镇政府信息公开工作的有序进行。</w:t>
      </w: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（二）制度建设情况</w:t>
      </w: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认真贯彻执行政府信息公开工作相关规章制度。严格按照《高青县政府信息主动公开工作制度（试行）》（高政办发〔2009〕51号）、《高青县依申请公开政府信息工作制度（试行）》（高政办发〔2009〕52号）、《高青县政府信息公开保密审查办法（试行）》（高政办发〔2009〕53号）、《高青县政府信息发布协调工作暂行规定》（高政办发〔2009〕54号）、《高青县政府信息公开工作社会评议办法（试行）》（高政办发〔2009〕55号）、《高青县行政机关虚假或不完整政府信息澄清制度（试行）》（高政办发〔2009〕56号）、《高青县政府信息公开工作考核办法（试行）》（高政办发〔2009〕57号）、《高青县政府信息公开责任追究办法（试行）》（高政办发〔2009〕58号）、《高青县行政机关公文类信息公开审核办法（试行）》（高政办发〔2009〕59号）的要求开展政府信息公开工作，全镇政府信息公开工作实现规范化、法制化、常规化管理。</w:t>
      </w:r>
    </w:p>
    <w:p>
      <w:pPr>
        <w:spacing w:line="540" w:lineRule="exact"/>
        <w:rPr>
          <w:rFonts w:hint="eastAsia" w:ascii="黑体" w:hAnsi="黑体" w:eastAsia="黑体"/>
          <w:b/>
          <w:color w:val="auto"/>
          <w:sz w:val="32"/>
          <w:szCs w:val="32"/>
        </w:rPr>
      </w:pP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二、主动公开政府信息以及公开平台建设情况</w:t>
      </w: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（一）主动公开政府信息的数量</w:t>
      </w: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年，我镇主动公开政府信息17条。</w:t>
      </w:r>
    </w:p>
    <w:p>
      <w:pPr>
        <w:spacing w:line="540" w:lineRule="exact"/>
        <w:ind w:firstLine="648"/>
        <w:rPr>
          <w:rFonts w:hint="eastAsia" w:ascii="方正仿宋简体" w:hAnsi="方正仿宋简体" w:eastAsia="方正仿宋简体" w:cs="方正仿宋简体"/>
          <w:b w:val="0"/>
          <w:bCs/>
          <w:color w:val="auto"/>
          <w:sz w:val="32"/>
          <w:szCs w:val="32"/>
        </w:rPr>
      </w:pP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主动公开的政府信息中：</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机构职能类信息2条，占11.8%；</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政策法规类信息2条，占11.8%；</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规划计划类信息1条，占5.9%；</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业务工作类信息2条，占11.8%；</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统计数据类信息3条，占17.6%；</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其它类信息7条，占41.2%。</w:t>
      </w:r>
    </w:p>
    <w:p>
      <w:pPr>
        <w:spacing w:line="240" w:lineRule="auto"/>
        <w:ind w:firstLine="648"/>
        <w:rPr>
          <w:rFonts w:hint="eastAsia" w:ascii="方正仿宋简体" w:hAnsi="方正仿宋简体" w:eastAsia="方正仿宋简体" w:cs="方正仿宋简体"/>
          <w:b w:val="0"/>
          <w:bCs/>
          <w:color w:val="auto"/>
          <w:sz w:val="32"/>
          <w:szCs w:val="32"/>
          <w:lang w:eastAsia="zh-CN"/>
        </w:rPr>
      </w:pPr>
      <w:r>
        <w:rPr>
          <w:rFonts w:hint="eastAsia" w:ascii="方正仿宋简体" w:hAnsi="方正仿宋简体" w:eastAsia="方正仿宋简体" w:cs="方正仿宋简体"/>
          <w:b w:val="0"/>
          <w:bCs/>
          <w:color w:val="auto"/>
          <w:sz w:val="32"/>
          <w:szCs w:val="32"/>
          <w:lang w:eastAsia="zh-CN"/>
        </w:rPr>
        <w:pict>
          <v:shape id="_x0000_i1025" o:spt="75" alt="政府公开信息" type="#_x0000_t75" style="height:270.95pt;width:441.85pt;" filled="f" o:preferrelative="t" stroked="f" coordsize="21600,21600">
            <v:path/>
            <v:fill on="f" focussize="0,0"/>
            <v:stroke on="f"/>
            <v:imagedata r:id="rId5" o:title="政府公开信息"/>
            <o:lock v:ext="edit" aspectratio="t"/>
            <w10:wrap type="none"/>
            <w10:anchorlock/>
          </v:shape>
        </w:pic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（二）建议提案办理结果公开情况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对涉及公共利益、公众权益、社会关切及需要社会广泛知晓的建议、提案办理复文全文公开。对政策性强、社会影响大的建议、提案办理结果，在公开后做好解读、回应和舆论引导工作。201</w:t>
      </w:r>
      <w:r>
        <w:rPr>
          <w:rFonts w:hint="eastAsia" w:ascii="方正仿宋简体" w:hAnsi="方正仿宋简体" w:eastAsia="方正仿宋简体" w:cs="方正仿宋简体"/>
          <w:b w:val="0"/>
          <w:bCs/>
          <w:color w:val="auto"/>
          <w:sz w:val="32"/>
          <w:szCs w:val="32"/>
          <w:lang w:val="en-US" w:eastAsia="zh-CN"/>
        </w:rPr>
        <w:t>7</w:t>
      </w:r>
      <w:bookmarkStart w:id="0" w:name="_GoBack"/>
      <w:bookmarkEnd w:id="0"/>
      <w:r>
        <w:rPr>
          <w:rFonts w:hint="eastAsia" w:ascii="方正仿宋简体" w:hAnsi="方正仿宋简体" w:eastAsia="方正仿宋简体" w:cs="方正仿宋简体"/>
          <w:b w:val="0"/>
          <w:bCs/>
          <w:color w:val="auto"/>
          <w:sz w:val="32"/>
          <w:szCs w:val="32"/>
        </w:rPr>
        <w:t>年，本单位未收到人大代表建议和政协委员提案，因此无法公开办理结果。</w:t>
      </w:r>
    </w:p>
    <w:p>
      <w:pPr>
        <w:spacing w:line="540" w:lineRule="exact"/>
        <w:ind w:firstLine="648"/>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（三）政府信息公开平台建设情况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黑体" w:hAnsi="黑体" w:eastAsia="黑体"/>
          <w:b/>
          <w:color w:val="auto"/>
          <w:sz w:val="32"/>
          <w:szCs w:val="32"/>
        </w:rPr>
        <w:t>1、政务公开专栏</w:t>
      </w:r>
      <w:r>
        <w:rPr>
          <w:rFonts w:hint="eastAsia" w:ascii="黑体" w:hAnsi="黑体" w:eastAsia="黑体"/>
          <w:b/>
          <w:color w:val="auto"/>
          <w:sz w:val="32"/>
          <w:szCs w:val="32"/>
          <w:lang w:eastAsia="zh-CN"/>
        </w:rPr>
        <w:t>。</w:t>
      </w:r>
      <w:r>
        <w:rPr>
          <w:rFonts w:hint="eastAsia" w:ascii="方正仿宋简体" w:hAnsi="方正仿宋简体" w:eastAsia="方正仿宋简体" w:cs="方正仿宋简体"/>
          <w:b w:val="0"/>
          <w:bCs/>
          <w:color w:val="auto"/>
          <w:sz w:val="32"/>
          <w:szCs w:val="32"/>
        </w:rPr>
        <w:t>在镇政府驻地、及村居均已设立政务公开专栏，定期更新专栏政务信息，及时公开与公众生活密切相关的政务动态、经济社会发展情况、政府公报等信息。</w:t>
      </w:r>
    </w:p>
    <w:p>
      <w:pPr>
        <w:spacing w:line="540" w:lineRule="exact"/>
        <w:ind w:firstLine="648"/>
        <w:rPr>
          <w:rFonts w:hint="eastAsia" w:ascii="楷体" w:hAnsi="楷体" w:eastAsia="楷体" w:cs="楷体"/>
          <w:b w:val="0"/>
          <w:bCs/>
          <w:color w:val="auto"/>
          <w:sz w:val="32"/>
          <w:szCs w:val="32"/>
        </w:rPr>
      </w:pP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黑体" w:hAnsi="黑体" w:eastAsia="黑体"/>
          <w:b/>
          <w:color w:val="auto"/>
          <w:sz w:val="32"/>
          <w:szCs w:val="32"/>
        </w:rPr>
        <w:t>2、其他平台。</w:t>
      </w:r>
      <w:r>
        <w:rPr>
          <w:rFonts w:hint="eastAsia" w:ascii="方正仿宋简体" w:hAnsi="方正仿宋简体" w:eastAsia="方正仿宋简体" w:cs="方正仿宋简体"/>
          <w:b w:val="0"/>
          <w:bCs/>
          <w:color w:val="auto"/>
          <w:sz w:val="32"/>
          <w:szCs w:val="32"/>
        </w:rPr>
        <w:t>我镇充分利用《高青工作》、“政风行风热线”、“高青新闻”“高青政务网”等平台，及时公开需要社会公众广泛知晓的信息，拓宽了社会公众获悉政府主动公开信息的渠道，在镇政府驻地还设置了电子信息屏积极向公众公开政府信息。</w:t>
      </w:r>
    </w:p>
    <w:p>
      <w:pPr>
        <w:spacing w:line="540" w:lineRule="exact"/>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三、依申请公开政府信息情况</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（一）依申请公开处理情况</w:t>
      </w:r>
    </w:p>
    <w:p>
      <w:pPr>
        <w:spacing w:line="540" w:lineRule="exact"/>
        <w:ind w:firstLine="648"/>
        <w:rPr>
          <w:rFonts w:hint="eastAsia" w:ascii="黑体" w:hAnsi="黑体" w:eastAsia="黑体"/>
          <w:b/>
          <w:color w:val="auto"/>
          <w:sz w:val="32"/>
          <w:szCs w:val="32"/>
        </w:rPr>
      </w:pPr>
      <w:r>
        <w:rPr>
          <w:rFonts w:hint="eastAsia" w:ascii="方正仿宋简体" w:hAnsi="方正仿宋简体" w:eastAsia="方正仿宋简体" w:cs="方正仿宋简体"/>
          <w:b w:val="0"/>
          <w:bCs/>
          <w:color w:val="auto"/>
          <w:sz w:val="32"/>
          <w:szCs w:val="32"/>
        </w:rPr>
        <w:t>20</w:t>
      </w:r>
      <w:r>
        <w:rPr>
          <w:rFonts w:hint="eastAsia" w:ascii="方正仿宋简体" w:hAnsi="方正仿宋简体" w:eastAsia="方正仿宋简体" w:cs="方正仿宋简体"/>
          <w:b w:val="0"/>
          <w:bCs/>
          <w:color w:val="auto"/>
          <w:sz w:val="32"/>
          <w:szCs w:val="32"/>
          <w:lang w:val="en-US" w:eastAsia="zh-CN"/>
        </w:rPr>
        <w:t>17</w:t>
      </w:r>
      <w:r>
        <w:rPr>
          <w:rFonts w:hint="eastAsia" w:ascii="方正仿宋简体" w:hAnsi="方正仿宋简体" w:eastAsia="方正仿宋简体" w:cs="方正仿宋简体"/>
          <w:b w:val="0"/>
          <w:bCs/>
          <w:color w:val="auto"/>
          <w:sz w:val="32"/>
          <w:szCs w:val="32"/>
        </w:rPr>
        <w:t>年度，未有公民、法人或其他组织提出政府信息公开申请。</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（二）收费及减免情况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本年度，我单位在政府信息公开申请办理过程中，未收取任何费用。</w:t>
      </w:r>
    </w:p>
    <w:p>
      <w:pPr>
        <w:spacing w:line="540" w:lineRule="exact"/>
        <w:rPr>
          <w:rFonts w:hint="eastAsia" w:ascii="黑体" w:hAnsi="黑体" w:eastAsia="黑体"/>
          <w:b/>
          <w:color w:val="auto"/>
          <w:sz w:val="32"/>
          <w:szCs w:val="32"/>
        </w:rPr>
      </w:pP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四、政府信息公开复议诉讼和举报情况</w:t>
      </w:r>
    </w:p>
    <w:p>
      <w:pPr>
        <w:spacing w:line="540" w:lineRule="exact"/>
        <w:ind w:firstLine="648"/>
        <w:rPr>
          <w:rFonts w:hint="eastAsia" w:ascii="黑体" w:hAnsi="黑体" w:eastAsia="黑体"/>
          <w:b/>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年度，全镇没有发生因政府信息公开申请行政复议、提起行政诉讼的情况。</w:t>
      </w:r>
    </w:p>
    <w:p>
      <w:pPr>
        <w:spacing w:line="540" w:lineRule="exact"/>
        <w:ind w:firstLine="648"/>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五、政府信息公开工作机构和人员情况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黑里寨镇党政办公室作为全黑里寨镇人民政府信息公开工作具体科室，统筹负责黑里寨镇政府信息公开组织协调、指导推进、监督检查等工作，其中</w:t>
      </w:r>
      <w:r>
        <w:rPr>
          <w:rFonts w:hint="eastAsia" w:ascii="方正仿宋简体" w:hAnsi="方正仿宋简体" w:eastAsia="方正仿宋简体" w:cs="方正仿宋简体"/>
          <w:b w:val="0"/>
          <w:bCs/>
          <w:color w:val="auto"/>
          <w:sz w:val="32"/>
          <w:szCs w:val="32"/>
          <w:lang w:val="en-US" w:eastAsia="zh-CN"/>
        </w:rPr>
        <w:t>2</w:t>
      </w:r>
      <w:r>
        <w:rPr>
          <w:rFonts w:hint="eastAsia" w:ascii="方正仿宋简体" w:hAnsi="方正仿宋简体" w:eastAsia="方正仿宋简体" w:cs="方正仿宋简体"/>
          <w:b w:val="0"/>
          <w:bCs/>
          <w:color w:val="auto"/>
          <w:sz w:val="32"/>
          <w:szCs w:val="32"/>
        </w:rPr>
        <w:t>人负责政务公开工作，其中1人专职，</w:t>
      </w:r>
      <w:r>
        <w:rPr>
          <w:rFonts w:hint="eastAsia" w:ascii="方正仿宋简体" w:hAnsi="方正仿宋简体" w:eastAsia="方正仿宋简体" w:cs="方正仿宋简体"/>
          <w:b w:val="0"/>
          <w:bCs/>
          <w:color w:val="auto"/>
          <w:sz w:val="32"/>
          <w:szCs w:val="32"/>
          <w:lang w:val="en-US" w:eastAsia="zh-CN"/>
        </w:rPr>
        <w:t>1</w:t>
      </w:r>
      <w:r>
        <w:rPr>
          <w:rFonts w:hint="eastAsia" w:ascii="方正仿宋简体" w:hAnsi="方正仿宋简体" w:eastAsia="方正仿宋简体" w:cs="方正仿宋简体"/>
          <w:b w:val="0"/>
          <w:bCs/>
          <w:color w:val="auto"/>
          <w:sz w:val="32"/>
          <w:szCs w:val="32"/>
        </w:rPr>
        <w:t>人兼职。</w:t>
      </w:r>
    </w:p>
    <w:p>
      <w:pPr>
        <w:spacing w:line="540" w:lineRule="exact"/>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六、政府信息公开工作存在的主要问题及改进措施</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（一）存在问题</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年，我镇政务信息公开工作取得了一定的进展，但同时也存在工作认识有待进一步加强、工作力度有待进一步加大、公开内容有待进一步规范等问题和不足。主要表现在以下两个方面：</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一是少数委办站所对贯彻实施《条例》重要性的认识不深、重视不够，领导机构和工作专班没有切实履行职责，工作进展较为缓慢。</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二是由于对《条例》的学习不够、理解不深，部分委办站所工作人员对哪些信息应该主动公开、哪些可依申请公开、哪些依法不能公开把握不准，对本镇生成的政府信息未进行科学分类，工作较为被动，应主动公开政府信息公开不全，更新不及时，没有在《条例》规定的时限内公开应当公开的政府信息。</w:t>
      </w: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（二）整改措施</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一是加强监督和督办。继续组织专门人员查找政府信息公开的薄弱环节，以行政审批和行政执法的程序和结果为重点，督促不断拓展政府信息公开的深度和广度，不断提高政府工作的透明度，发挥政府信息对人民群众生产、生活和经济社会活动的服务作用。</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二是自觉接受社会监督。把政府信息公开工作纳入社会评议政风、行风的范围，让人民群众对政府信息公开情况进行评议，并根据评议结果完善制度、改进工作；主动接受社会监督，实现行政机关工作的透明、公开、廉洁、高效。</w:t>
      </w:r>
    </w:p>
    <w:p>
      <w:pPr>
        <w:spacing w:line="540" w:lineRule="exact"/>
        <w:ind w:firstLine="648"/>
        <w:rPr>
          <w:rFonts w:hint="eastAsia" w:ascii="方正仿宋简体" w:hAnsi="方正仿宋简体" w:eastAsia="方正仿宋简体" w:cs="方正仿宋简体"/>
          <w:b/>
          <w:color w:val="auto"/>
          <w:sz w:val="32"/>
          <w:szCs w:val="32"/>
        </w:rPr>
      </w:pPr>
    </w:p>
    <w:p>
      <w:pPr>
        <w:spacing w:line="540" w:lineRule="exact"/>
        <w:rPr>
          <w:rFonts w:hint="eastAsia" w:ascii="方正仿宋简体" w:hAnsi="方正仿宋简体" w:eastAsia="方正仿宋简体" w:cs="方正仿宋简体"/>
          <w:color w:val="auto"/>
          <w:sz w:val="32"/>
          <w:szCs w:val="32"/>
        </w:rPr>
      </w:pPr>
    </w:p>
    <w:p>
      <w:pPr>
        <w:spacing w:line="540" w:lineRule="exact"/>
        <w:ind w:firstLine="640" w:firstLineChars="200"/>
        <w:rPr>
          <w:rFonts w:hint="eastAsia" w:ascii="方正仿宋简体" w:hAnsi="方正仿宋简体" w:eastAsia="方正仿宋简体" w:cs="方正仿宋简体"/>
          <w:color w:val="auto"/>
          <w:sz w:val="32"/>
          <w:szCs w:val="32"/>
        </w:rPr>
      </w:pPr>
    </w:p>
    <w:p>
      <w:pPr>
        <w:spacing w:line="54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附：2017年度政府信息公开工作情况统计表</w:t>
      </w:r>
    </w:p>
    <w:p>
      <w:pPr>
        <w:spacing w:line="540" w:lineRule="exact"/>
        <w:ind w:firstLine="640" w:firstLineChars="200"/>
        <w:rPr>
          <w:rFonts w:ascii="仿宋_GB2312" w:hAnsi="Times New Roman" w:eastAsia="仿宋_GB2312"/>
          <w:color w:val="auto"/>
          <w:kern w:val="0"/>
          <w:sz w:val="32"/>
          <w:szCs w:val="32"/>
        </w:rPr>
      </w:pPr>
    </w:p>
    <w:p>
      <w:pPr>
        <w:spacing w:line="540" w:lineRule="exact"/>
        <w:ind w:firstLine="640" w:firstLineChars="200"/>
        <w:rPr>
          <w:rFonts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lang w:eastAsia="zh-CN"/>
        </w:rPr>
      </w:pPr>
      <w:r>
        <w:rPr>
          <w:rFonts w:hint="eastAsia" w:ascii="仿宋_GB2312" w:hAnsi="Times New Roman" w:eastAsia="仿宋_GB2312"/>
          <w:color w:val="auto"/>
          <w:kern w:val="0"/>
          <w:sz w:val="32"/>
          <w:szCs w:val="32"/>
          <w:lang w:eastAsia="zh-CN"/>
        </w:rPr>
        <w:t>黑里寨镇人民政府</w:t>
      </w:r>
    </w:p>
    <w:p>
      <w:pPr>
        <w:spacing w:line="540" w:lineRule="exact"/>
        <w:ind w:firstLine="640" w:firstLineChars="200"/>
        <w:jc w:val="right"/>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2018年2月27日</w:t>
      </w: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rPr>
          <w:rFonts w:hint="eastAsia" w:ascii="黑体" w:hAnsi="宋体" w:eastAsia="黑体"/>
          <w:color w:val="auto"/>
          <w:szCs w:val="32"/>
        </w:rPr>
      </w:pPr>
    </w:p>
    <w:p>
      <w:pPr>
        <w:rPr>
          <w:rFonts w:hint="eastAsia" w:ascii="黑体" w:hAnsi="宋体" w:eastAsia="黑体"/>
          <w:color w:val="auto"/>
          <w:szCs w:val="32"/>
        </w:rPr>
      </w:pPr>
      <w:r>
        <w:rPr>
          <w:rFonts w:hint="eastAsia" w:ascii="黑体" w:hAnsi="宋体" w:eastAsia="黑体"/>
          <w:color w:val="auto"/>
          <w:szCs w:val="32"/>
        </w:rPr>
        <w:t>附件1</w:t>
      </w:r>
    </w:p>
    <w:p>
      <w:pPr>
        <w:jc w:val="center"/>
        <w:rPr>
          <w:rFonts w:hint="eastAsia" w:ascii="宋体" w:hAnsi="宋体"/>
          <w:b/>
          <w:color w:val="auto"/>
        </w:rPr>
      </w:pPr>
      <w:r>
        <w:rPr>
          <w:rFonts w:hint="eastAsia" w:ascii="宋体" w:hAnsi="宋体"/>
          <w:b/>
          <w:color w:val="auto"/>
          <w:sz w:val="36"/>
          <w:szCs w:val="36"/>
        </w:rPr>
        <w:t>2017年度政府信息公开工作情况统计表</w:t>
      </w:r>
    </w:p>
    <w:p>
      <w:pPr>
        <w:jc w:val="center"/>
        <w:rPr>
          <w:rFonts w:hint="eastAsia" w:ascii="宋体" w:hAnsi="宋体"/>
          <w:b/>
          <w:color w:val="auto"/>
          <w:sz w:val="28"/>
          <w:szCs w:val="28"/>
        </w:rPr>
      </w:pPr>
      <w:r>
        <w:rPr>
          <w:rFonts w:hint="eastAsia" w:ascii="宋体" w:hAnsi="宋体"/>
          <w:b/>
          <w:color w:val="auto"/>
          <w:sz w:val="28"/>
          <w:szCs w:val="28"/>
        </w:rPr>
        <w:t>（高青县）</w:t>
      </w:r>
    </w:p>
    <w:tbl>
      <w:tblPr>
        <w:tblStyle w:val="8"/>
        <w:tblW w:w="9458"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02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685"/>
              <w:jc w:val="center"/>
              <w:rPr>
                <w:rFonts w:hint="eastAsia"/>
                <w:color w:val="auto"/>
              </w:rPr>
            </w:pPr>
            <w:r>
              <w:rPr>
                <w:rStyle w:val="10"/>
                <w:rFonts w:hint="eastAsia"/>
                <w:color w:val="auto"/>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Style w:val="10"/>
                <w:rFonts w:hint="eastAsia" w:ascii="宋体" w:hAnsi="宋体"/>
                <w:color w:val="auto"/>
                <w:sz w:val="20"/>
                <w:szCs w:val="20"/>
              </w:rPr>
              <w:t>单位</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Style w:val="10"/>
                <w:rFonts w:hint="eastAsia" w:ascii="宋体" w:hAnsi="宋体"/>
                <w:color w:val="auto"/>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（一）主动公开政府信息数</w:t>
            </w:r>
            <w:r>
              <w:rPr>
                <w:rFonts w:hint="eastAsia" w:ascii="宋体" w:hAnsi="宋体"/>
                <w:color w:val="auto"/>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default" w:ascii="宋体" w:hAnsi="宋体" w:eastAsia="宋体" w:cs="宋体"/>
                <w:color w:val="auto"/>
                <w:sz w:val="24"/>
                <w:lang w:val="en-US" w:eastAsia="zh-CN"/>
              </w:rPr>
            </w:pPr>
            <w:r>
              <w:rPr>
                <w:rFonts w:hint="eastAsia" w:ascii="宋体" w:hAnsi="宋体"/>
                <w:color w:val="auto"/>
                <w:sz w:val="20"/>
                <w:szCs w:val="20"/>
                <w:lang w:val="en-US" w:eastAsia="zh-CN"/>
              </w:rPr>
              <w:t>17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b/>
                <w:color w:val="auto"/>
                <w:sz w:val="24"/>
              </w:rPr>
            </w:pPr>
            <w:r>
              <w:rPr>
                <w:rFonts w:hint="eastAsia" w:ascii="黑体" w:hAnsi="宋体" w:eastAsia="黑体"/>
                <w:color w:val="auto"/>
                <w:sz w:val="20"/>
                <w:szCs w:val="20"/>
              </w:rPr>
              <w:t>二、回应解读情况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auto"/>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400" w:firstLineChars="200"/>
              <w:rPr>
                <w:color w:val="auto"/>
                <w:highlight w:val="yellow"/>
              </w:rPr>
            </w:pPr>
            <w:r>
              <w:rPr>
                <w:rFonts w:cs="Times New Roman"/>
                <w:color w:val="auto"/>
                <w:kern w:val="2"/>
                <w:sz w:val="20"/>
                <w:szCs w:val="20"/>
              </w:rPr>
              <w:t>（一）回应公众关注热点或重大舆情数</w:t>
            </w:r>
            <w:r>
              <w:rPr>
                <w:rFonts w:hint="eastAsia" w:cs="Times New Roman"/>
                <w:color w:val="auto"/>
                <w:kern w:val="2"/>
                <w:sz w:val="20"/>
                <w:szCs w:val="20"/>
              </w:rPr>
              <w:t>（不同方式回应同一热点或舆情计1次）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篇</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default" w:ascii="宋体" w:hAnsi="宋体" w:eastAsia="宋体" w:cs="宋体"/>
                <w:color w:val="auto"/>
                <w:sz w:val="24"/>
                <w:lang w:val="en-US" w:eastAsia="zh-CN"/>
              </w:rPr>
            </w:pPr>
            <w:r>
              <w:rPr>
                <w:rFonts w:hint="eastAsia" w:ascii="宋体" w:hAnsi="宋体" w:cs="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auto"/>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hint="eastAsia" w:ascii="宋体" w:hAnsi="宋体"/>
                <w:color w:val="auto"/>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hint="eastAsia" w:ascii="黑体" w:hAnsi="宋体" w:eastAsia="黑体"/>
                <w:color w:val="auto"/>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黑体" w:hAnsi="宋体" w:eastAsia="黑体"/>
                <w:color w:val="auto"/>
                <w:sz w:val="20"/>
                <w:szCs w:val="20"/>
              </w:rPr>
            </w:pPr>
            <w:r>
              <w:rPr>
                <w:rFonts w:hint="eastAsia" w:ascii="黑体" w:hAnsi="宋体" w:eastAsia="黑体"/>
                <w:color w:val="auto"/>
                <w:sz w:val="20"/>
                <w:szCs w:val="20"/>
              </w:rPr>
              <w:t>七、向图书馆、档案馆等查阅场所报送信息数</w:t>
            </w:r>
          </w:p>
          <w:p>
            <w:pPr>
              <w:spacing w:line="420" w:lineRule="atLeast"/>
              <w:rPr>
                <w:rFonts w:hint="eastAsia" w:ascii="宋体" w:hAnsi="宋体"/>
                <w:color w:val="auto"/>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ascii="宋体" w:hAnsi="宋体"/>
                <w:color w:val="auto"/>
                <w:sz w:val="20"/>
                <w:szCs w:val="20"/>
              </w:rPr>
              <w:t>　　（一）</w:t>
            </w:r>
            <w:r>
              <w:rPr>
                <w:rFonts w:hint="eastAsia" w:ascii="宋体" w:hAnsi="宋体"/>
                <w:color w:val="auto"/>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ascii="宋体" w:hAnsi="宋体"/>
                <w:color w:val="auto"/>
                <w:sz w:val="20"/>
                <w:szCs w:val="20"/>
              </w:rPr>
              <w:t>　　（二）</w:t>
            </w:r>
            <w:r>
              <w:rPr>
                <w:rFonts w:hint="eastAsia" w:ascii="宋体" w:hAnsi="宋体"/>
                <w:color w:val="auto"/>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（一）</w:t>
            </w:r>
            <w:r>
              <w:rPr>
                <w:rFonts w:hint="eastAsia" w:ascii="宋体" w:hAnsi="宋体"/>
                <w:color w:val="auto"/>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w:t>
            </w:r>
            <w:r>
              <w:rPr>
                <w:rFonts w:hint="eastAsia" w:ascii="宋体" w:hAnsi="宋体"/>
                <w:color w:val="auto"/>
                <w:sz w:val="20"/>
                <w:szCs w:val="20"/>
              </w:rPr>
              <w:t>二</w:t>
            </w:r>
            <w:r>
              <w:rPr>
                <w:rFonts w:ascii="宋体" w:hAnsi="宋体"/>
                <w:color w:val="auto"/>
                <w:sz w:val="20"/>
                <w:szCs w:val="20"/>
              </w:rPr>
              <w:t>）</w:t>
            </w:r>
            <w:r>
              <w:rPr>
                <w:rFonts w:hint="eastAsia" w:ascii="宋体" w:hAnsi="宋体"/>
                <w:color w:val="auto"/>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auto"/>
                <w:sz w:val="20"/>
                <w:szCs w:val="20"/>
              </w:rPr>
            </w:pPr>
          </w:p>
        </w:tc>
        <w:tc>
          <w:tcPr>
            <w:tcW w:w="1023"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ind w:firstLine="1000" w:firstLineChars="500"/>
              <w:rPr>
                <w:rFonts w:ascii="黑体" w:hAnsi="宋体" w:eastAsia="黑体"/>
                <w:color w:val="auto"/>
                <w:sz w:val="20"/>
                <w:szCs w:val="20"/>
              </w:rPr>
            </w:pPr>
            <w:r>
              <w:rPr>
                <w:rFonts w:ascii="黑体" w:hAnsi="宋体" w:eastAsia="黑体"/>
                <w:color w:val="auto"/>
                <w:sz w:val="20"/>
                <w:szCs w:val="20"/>
              </w:rPr>
              <w:t xml:space="preserve">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auto"/>
                <w:sz w:val="20"/>
                <w:szCs w:val="20"/>
              </w:rPr>
            </w:pPr>
            <w:r>
              <w:rPr>
                <w:rFonts w:ascii="宋体" w:hAnsi="宋体"/>
                <w:color w:val="auto"/>
                <w:sz w:val="20"/>
                <w:szCs w:val="20"/>
              </w:rPr>
              <w:t>（一）</w:t>
            </w:r>
            <w:r>
              <w:rPr>
                <w:rFonts w:hint="eastAsia" w:ascii="宋体" w:hAnsi="宋体"/>
                <w:color w:val="auto"/>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rPr>
            </w:pPr>
            <w:r>
              <w:rPr>
                <w:rFonts w:hint="eastAsia" w:ascii="黑体" w:hAnsi="宋体" w:eastAsia="黑体"/>
                <w:color w:val="auto"/>
                <w:sz w:val="20"/>
                <w:szCs w:val="20"/>
              </w:rPr>
              <w:t>期</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auto"/>
                <w:sz w:val="20"/>
                <w:szCs w:val="20"/>
              </w:rPr>
            </w:pPr>
            <w:r>
              <w:rPr>
                <w:rFonts w:hint="eastAsia" w:ascii="宋体" w:hAnsi="宋体"/>
                <w:color w:val="auto"/>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rPr>
            </w:pPr>
            <w:r>
              <w:rPr>
                <w:rFonts w:hint="eastAsia" w:ascii="黑体" w:hAnsi="宋体" w:eastAsia="黑体"/>
                <w:color w:val="auto"/>
                <w:sz w:val="20"/>
                <w:szCs w:val="20"/>
              </w:rPr>
              <w:t>份</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（一）</w:t>
            </w:r>
            <w:r>
              <w:rPr>
                <w:rFonts w:hint="eastAsia" w:ascii="宋体" w:hAnsi="宋体"/>
                <w:color w:val="auto"/>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w:t>
            </w:r>
            <w:r>
              <w:rPr>
                <w:rFonts w:hint="eastAsia" w:ascii="宋体" w:hAnsi="宋体"/>
                <w:color w:val="auto"/>
                <w:sz w:val="20"/>
                <w:szCs w:val="20"/>
              </w:rPr>
              <w:t>二</w:t>
            </w:r>
            <w:r>
              <w:rPr>
                <w:rFonts w:ascii="宋体" w:hAnsi="宋体"/>
                <w:color w:val="auto"/>
                <w:sz w:val="20"/>
                <w:szCs w:val="20"/>
              </w:rPr>
              <w:t>）</w:t>
            </w:r>
            <w:r>
              <w:rPr>
                <w:rFonts w:hint="eastAsia" w:ascii="宋体" w:hAnsi="宋体"/>
                <w:color w:val="auto"/>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（一）</w:t>
            </w:r>
            <w:r>
              <w:rPr>
                <w:rFonts w:hint="eastAsia" w:ascii="宋体" w:hAnsi="宋体"/>
                <w:color w:val="auto"/>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w:t>
            </w:r>
            <w:r>
              <w:rPr>
                <w:rFonts w:hint="eastAsia" w:ascii="宋体" w:hAnsi="宋体"/>
                <w:color w:val="auto"/>
                <w:sz w:val="20"/>
                <w:szCs w:val="20"/>
              </w:rPr>
              <w:t>二</w:t>
            </w:r>
            <w:r>
              <w:rPr>
                <w:rFonts w:ascii="宋体" w:hAnsi="宋体"/>
                <w:color w:val="auto"/>
                <w:sz w:val="20"/>
                <w:szCs w:val="20"/>
              </w:rPr>
              <w:t>）</w:t>
            </w:r>
            <w:r>
              <w:rPr>
                <w:rFonts w:hint="eastAsia" w:ascii="宋体" w:hAnsi="宋体"/>
                <w:color w:val="auto"/>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人次</w:t>
            </w:r>
          </w:p>
        </w:tc>
        <w:tc>
          <w:tcPr>
            <w:tcW w:w="1023"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olor w:val="auto"/>
                <w:sz w:val="20"/>
                <w:szCs w:val="20"/>
              </w:rPr>
            </w:pPr>
            <w:r>
              <w:rPr>
                <w:rFonts w:hint="eastAsia" w:ascii="黑体" w:hAnsi="宋体" w:eastAsia="黑体"/>
                <w:color w:val="auto"/>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个</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二</w:t>
            </w:r>
            <w:r>
              <w:rPr>
                <w:rFonts w:ascii="宋体" w:hAnsi="宋体"/>
                <w:color w:val="auto"/>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三</w:t>
            </w:r>
            <w:r>
              <w:rPr>
                <w:rFonts w:ascii="宋体" w:hAnsi="宋体"/>
                <w:color w:val="auto"/>
                <w:sz w:val="20"/>
                <w:szCs w:val="20"/>
              </w:rPr>
              <w:t>）政府信息公开专项经费（不包括政府公报编辑管理及政府网站建设</w:t>
            </w:r>
            <w:r>
              <w:rPr>
                <w:rFonts w:hint="eastAsia" w:ascii="宋体" w:hAnsi="宋体"/>
                <w:color w:val="auto"/>
                <w:sz w:val="20"/>
                <w:szCs w:val="20"/>
              </w:rPr>
              <w:t>）</w:t>
            </w:r>
            <w:r>
              <w:rPr>
                <w:rFonts w:ascii="宋体" w:hAnsi="宋体"/>
                <w:color w:val="auto"/>
                <w:sz w:val="20"/>
                <w:szCs w:val="20"/>
              </w:rPr>
              <w:br w:type="textWrapping"/>
            </w:r>
            <w:r>
              <w:rPr>
                <w:rFonts w:ascii="宋体" w:hAnsi="宋体"/>
                <w:color w:val="auto"/>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万元</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left"/>
              <w:rPr>
                <w:rFonts w:hint="eastAsia" w:ascii="宋体" w:hAnsi="宋体" w:eastAsia="宋体" w:cs="宋体"/>
                <w:color w:val="auto"/>
                <w:sz w:val="24"/>
                <w:lang w:val="en-US" w:eastAsia="zh-CN"/>
              </w:rPr>
            </w:pPr>
            <w:r>
              <w:rPr>
                <w:rFonts w:ascii="宋体" w:hAnsi="宋体"/>
                <w:color w:val="auto"/>
              </w:rPr>
              <w:t>　</w:t>
            </w:r>
            <w:r>
              <w:rPr>
                <w:rFonts w:hint="eastAsia" w:ascii="宋体" w:hAnsi="宋体"/>
                <w:color w:val="auto"/>
                <w:lang w:val="en-US" w:eastAsia="zh-CN"/>
              </w:rPr>
              <w:t>2</w:t>
            </w:r>
          </w:p>
        </w:tc>
      </w:tr>
    </w:tbl>
    <w:p>
      <w:pPr>
        <w:rPr>
          <w:rFonts w:ascii="黑体" w:hAnsi="宋体" w:eastAsia="黑体"/>
          <w:color w:val="auto"/>
          <w:szCs w:val="32"/>
        </w:rPr>
      </w:pPr>
    </w:p>
    <w:p>
      <w:pPr>
        <w:widowControl/>
        <w:jc w:val="left"/>
        <w:rPr>
          <w:rFonts w:hint="eastAsia" w:ascii="黑体" w:hAnsi="宋体" w:eastAsia="黑体"/>
          <w:color w:val="auto"/>
          <w:szCs w:val="32"/>
        </w:rPr>
      </w:pPr>
    </w:p>
    <w:p>
      <w:pPr>
        <w:widowControl/>
        <w:jc w:val="left"/>
        <w:rPr>
          <w:color w:val="auto"/>
        </w:rPr>
      </w:pPr>
      <w:r>
        <w:rPr>
          <w:color w:val="auto"/>
        </w:rPr>
        <w:t xml:space="preserve"> </w:t>
      </w:r>
    </w:p>
    <w:p>
      <w:pPr>
        <w:spacing w:line="540" w:lineRule="exact"/>
        <w:ind w:right="160" w:firstLine="640" w:firstLineChars="200"/>
        <w:jc w:val="left"/>
        <w:rPr>
          <w:rFonts w:hint="eastAsia" w:ascii="仿宋_GB2312" w:hAnsi="Times New Roman" w:eastAsia="仿宋_GB2312"/>
          <w:color w:val="auto"/>
          <w:kern w:val="0"/>
          <w:sz w:val="32"/>
          <w:szCs w:val="32"/>
        </w:rPr>
      </w:pPr>
    </w:p>
    <w:p>
      <w:pPr>
        <w:spacing w:line="540" w:lineRule="exact"/>
        <w:ind w:right="160" w:firstLine="640" w:firstLineChars="200"/>
        <w:jc w:val="left"/>
        <w:rPr>
          <w:rFonts w:hint="eastAsia" w:ascii="仿宋_GB2312" w:hAnsi="Times New Roman" w:eastAsia="仿宋_GB2312"/>
          <w:color w:val="auto"/>
          <w:kern w:val="0"/>
          <w:sz w:val="32"/>
          <w:szCs w:val="32"/>
        </w:rPr>
      </w:pPr>
    </w:p>
    <w:p>
      <w:pPr>
        <w:spacing w:line="540" w:lineRule="exact"/>
        <w:ind w:right="160" w:firstLine="640" w:firstLineChars="200"/>
        <w:jc w:val="left"/>
        <w:rPr>
          <w:rFonts w:ascii="仿宋_GB2312" w:hAnsi="Times New Roman" w:eastAsia="仿宋_GB2312"/>
          <w:color w:val="auto"/>
          <w:kern w:val="0"/>
          <w:sz w:val="32"/>
          <w:szCs w:val="32"/>
        </w:rPr>
      </w:pP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766CB"/>
    <w:multiLevelType w:val="singleLevel"/>
    <w:tmpl w:val="9FE766CB"/>
    <w:lvl w:ilvl="0" w:tentative="0">
      <w:start w:val="1"/>
      <w:numFmt w:val="chineseCounting"/>
      <w:suff w:val="nothing"/>
      <w:lvlText w:val="%1、"/>
      <w:lvlJc w:val="left"/>
      <w:pPr>
        <w:ind w:left="969"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E34"/>
    <w:rsid w:val="000000EA"/>
    <w:rsid w:val="00002DCF"/>
    <w:rsid w:val="0001761C"/>
    <w:rsid w:val="00030987"/>
    <w:rsid w:val="00034201"/>
    <w:rsid w:val="000364D1"/>
    <w:rsid w:val="000378C6"/>
    <w:rsid w:val="00041EE7"/>
    <w:rsid w:val="00045B3C"/>
    <w:rsid w:val="000511D6"/>
    <w:rsid w:val="000537BF"/>
    <w:rsid w:val="00057599"/>
    <w:rsid w:val="00060DC3"/>
    <w:rsid w:val="00066860"/>
    <w:rsid w:val="00085C19"/>
    <w:rsid w:val="00086543"/>
    <w:rsid w:val="00092D07"/>
    <w:rsid w:val="0009560C"/>
    <w:rsid w:val="000B692D"/>
    <w:rsid w:val="000C1080"/>
    <w:rsid w:val="000C74F7"/>
    <w:rsid w:val="000E594E"/>
    <w:rsid w:val="000E6E84"/>
    <w:rsid w:val="00116297"/>
    <w:rsid w:val="00116A31"/>
    <w:rsid w:val="00123040"/>
    <w:rsid w:val="001244DA"/>
    <w:rsid w:val="00132600"/>
    <w:rsid w:val="00143BBA"/>
    <w:rsid w:val="00145D4A"/>
    <w:rsid w:val="00152C78"/>
    <w:rsid w:val="00170F9D"/>
    <w:rsid w:val="001752E7"/>
    <w:rsid w:val="001761FC"/>
    <w:rsid w:val="0019453E"/>
    <w:rsid w:val="00194854"/>
    <w:rsid w:val="001953C6"/>
    <w:rsid w:val="001B0104"/>
    <w:rsid w:val="001C2E5E"/>
    <w:rsid w:val="001C381E"/>
    <w:rsid w:val="001C57C2"/>
    <w:rsid w:val="001D133A"/>
    <w:rsid w:val="001D5CB7"/>
    <w:rsid w:val="001E70CB"/>
    <w:rsid w:val="001E76B5"/>
    <w:rsid w:val="001F0E29"/>
    <w:rsid w:val="0020710E"/>
    <w:rsid w:val="00246AC2"/>
    <w:rsid w:val="00261196"/>
    <w:rsid w:val="00277BF4"/>
    <w:rsid w:val="00285C01"/>
    <w:rsid w:val="00285F45"/>
    <w:rsid w:val="002A3348"/>
    <w:rsid w:val="002A5410"/>
    <w:rsid w:val="002A684D"/>
    <w:rsid w:val="002B47A6"/>
    <w:rsid w:val="002C396D"/>
    <w:rsid w:val="002E66D3"/>
    <w:rsid w:val="002F6167"/>
    <w:rsid w:val="00310D8C"/>
    <w:rsid w:val="00320B3A"/>
    <w:rsid w:val="00326C73"/>
    <w:rsid w:val="003300CC"/>
    <w:rsid w:val="00340EAB"/>
    <w:rsid w:val="00345FC5"/>
    <w:rsid w:val="00351598"/>
    <w:rsid w:val="003920FB"/>
    <w:rsid w:val="003A2AFB"/>
    <w:rsid w:val="003A5889"/>
    <w:rsid w:val="003A7F4A"/>
    <w:rsid w:val="003B758A"/>
    <w:rsid w:val="003C0711"/>
    <w:rsid w:val="003C64BC"/>
    <w:rsid w:val="003E006D"/>
    <w:rsid w:val="003E0193"/>
    <w:rsid w:val="003E5326"/>
    <w:rsid w:val="003F0C17"/>
    <w:rsid w:val="003F125C"/>
    <w:rsid w:val="003F2F4C"/>
    <w:rsid w:val="003F4540"/>
    <w:rsid w:val="003F733F"/>
    <w:rsid w:val="0040462C"/>
    <w:rsid w:val="00411E34"/>
    <w:rsid w:val="00451CA4"/>
    <w:rsid w:val="00464031"/>
    <w:rsid w:val="00467873"/>
    <w:rsid w:val="00484FDB"/>
    <w:rsid w:val="004861D4"/>
    <w:rsid w:val="004877A1"/>
    <w:rsid w:val="00491265"/>
    <w:rsid w:val="00497273"/>
    <w:rsid w:val="004A05B0"/>
    <w:rsid w:val="004A1A7E"/>
    <w:rsid w:val="004A36B9"/>
    <w:rsid w:val="004B180B"/>
    <w:rsid w:val="004B5804"/>
    <w:rsid w:val="004C4687"/>
    <w:rsid w:val="004D0758"/>
    <w:rsid w:val="004D0DF7"/>
    <w:rsid w:val="004D2803"/>
    <w:rsid w:val="004D62ED"/>
    <w:rsid w:val="004F435C"/>
    <w:rsid w:val="004F6D08"/>
    <w:rsid w:val="005053AD"/>
    <w:rsid w:val="0051385C"/>
    <w:rsid w:val="00523E65"/>
    <w:rsid w:val="00525398"/>
    <w:rsid w:val="00527D55"/>
    <w:rsid w:val="0053263F"/>
    <w:rsid w:val="0054196B"/>
    <w:rsid w:val="00545BA3"/>
    <w:rsid w:val="005A2E0C"/>
    <w:rsid w:val="005C0C10"/>
    <w:rsid w:val="005D2406"/>
    <w:rsid w:val="005F1DAF"/>
    <w:rsid w:val="00617C00"/>
    <w:rsid w:val="006219ED"/>
    <w:rsid w:val="006261E6"/>
    <w:rsid w:val="00633CB2"/>
    <w:rsid w:val="00644565"/>
    <w:rsid w:val="00654E06"/>
    <w:rsid w:val="00666572"/>
    <w:rsid w:val="00671E48"/>
    <w:rsid w:val="006902D9"/>
    <w:rsid w:val="00694918"/>
    <w:rsid w:val="006B13D9"/>
    <w:rsid w:val="006C7D31"/>
    <w:rsid w:val="006D095C"/>
    <w:rsid w:val="006D667E"/>
    <w:rsid w:val="00706493"/>
    <w:rsid w:val="00716325"/>
    <w:rsid w:val="0074216E"/>
    <w:rsid w:val="007421A6"/>
    <w:rsid w:val="007504FC"/>
    <w:rsid w:val="00763A91"/>
    <w:rsid w:val="00764FD6"/>
    <w:rsid w:val="007654AB"/>
    <w:rsid w:val="00775FB9"/>
    <w:rsid w:val="00777DB1"/>
    <w:rsid w:val="00797218"/>
    <w:rsid w:val="007A3D0F"/>
    <w:rsid w:val="007A420A"/>
    <w:rsid w:val="007B49E4"/>
    <w:rsid w:val="007C670E"/>
    <w:rsid w:val="007D54D1"/>
    <w:rsid w:val="007D6345"/>
    <w:rsid w:val="007E188B"/>
    <w:rsid w:val="007F1012"/>
    <w:rsid w:val="007F4226"/>
    <w:rsid w:val="007F58B5"/>
    <w:rsid w:val="007F7F19"/>
    <w:rsid w:val="00804D1F"/>
    <w:rsid w:val="008213BF"/>
    <w:rsid w:val="00821EBB"/>
    <w:rsid w:val="00827FFA"/>
    <w:rsid w:val="0083361D"/>
    <w:rsid w:val="0084294E"/>
    <w:rsid w:val="00845967"/>
    <w:rsid w:val="0085079E"/>
    <w:rsid w:val="00863627"/>
    <w:rsid w:val="0088460D"/>
    <w:rsid w:val="008908A8"/>
    <w:rsid w:val="008934F6"/>
    <w:rsid w:val="008A1523"/>
    <w:rsid w:val="008A1FF2"/>
    <w:rsid w:val="008C2DB1"/>
    <w:rsid w:val="008C4A06"/>
    <w:rsid w:val="008E5726"/>
    <w:rsid w:val="008E78DC"/>
    <w:rsid w:val="008F2FBD"/>
    <w:rsid w:val="008F7395"/>
    <w:rsid w:val="00906475"/>
    <w:rsid w:val="009120BF"/>
    <w:rsid w:val="0092232A"/>
    <w:rsid w:val="00937B03"/>
    <w:rsid w:val="009532C4"/>
    <w:rsid w:val="00956891"/>
    <w:rsid w:val="009831D3"/>
    <w:rsid w:val="009840BD"/>
    <w:rsid w:val="0099567F"/>
    <w:rsid w:val="009A35C3"/>
    <w:rsid w:val="009A5EBA"/>
    <w:rsid w:val="009B5062"/>
    <w:rsid w:val="009C0440"/>
    <w:rsid w:val="009E4AB6"/>
    <w:rsid w:val="009F2682"/>
    <w:rsid w:val="009F2E90"/>
    <w:rsid w:val="00A01FE2"/>
    <w:rsid w:val="00A17AAE"/>
    <w:rsid w:val="00A42055"/>
    <w:rsid w:val="00A4303E"/>
    <w:rsid w:val="00A635B9"/>
    <w:rsid w:val="00A65AE4"/>
    <w:rsid w:val="00A67831"/>
    <w:rsid w:val="00A853F1"/>
    <w:rsid w:val="00A85A88"/>
    <w:rsid w:val="00A91AF8"/>
    <w:rsid w:val="00A91D59"/>
    <w:rsid w:val="00A921E0"/>
    <w:rsid w:val="00A93522"/>
    <w:rsid w:val="00A96714"/>
    <w:rsid w:val="00AA19B2"/>
    <w:rsid w:val="00AA68D1"/>
    <w:rsid w:val="00AC783F"/>
    <w:rsid w:val="00AD182F"/>
    <w:rsid w:val="00AD379A"/>
    <w:rsid w:val="00AD54A9"/>
    <w:rsid w:val="00AD6543"/>
    <w:rsid w:val="00AD6BCD"/>
    <w:rsid w:val="00AD76D8"/>
    <w:rsid w:val="00AE010F"/>
    <w:rsid w:val="00AE0545"/>
    <w:rsid w:val="00AF0FF1"/>
    <w:rsid w:val="00AF3A05"/>
    <w:rsid w:val="00B02501"/>
    <w:rsid w:val="00B025FB"/>
    <w:rsid w:val="00B0742B"/>
    <w:rsid w:val="00B34F9D"/>
    <w:rsid w:val="00B43042"/>
    <w:rsid w:val="00B46E2B"/>
    <w:rsid w:val="00B5405C"/>
    <w:rsid w:val="00B571E7"/>
    <w:rsid w:val="00B60A0C"/>
    <w:rsid w:val="00B6616E"/>
    <w:rsid w:val="00B86D0C"/>
    <w:rsid w:val="00B90FB0"/>
    <w:rsid w:val="00B911BF"/>
    <w:rsid w:val="00B92EE8"/>
    <w:rsid w:val="00B94CE1"/>
    <w:rsid w:val="00B95991"/>
    <w:rsid w:val="00B96DB8"/>
    <w:rsid w:val="00BA4E15"/>
    <w:rsid w:val="00BC5174"/>
    <w:rsid w:val="00BC57CB"/>
    <w:rsid w:val="00BE37C6"/>
    <w:rsid w:val="00BF48E2"/>
    <w:rsid w:val="00C10648"/>
    <w:rsid w:val="00C178DA"/>
    <w:rsid w:val="00C37EDA"/>
    <w:rsid w:val="00C53D16"/>
    <w:rsid w:val="00C75D0E"/>
    <w:rsid w:val="00CB311F"/>
    <w:rsid w:val="00CC0157"/>
    <w:rsid w:val="00CD77B9"/>
    <w:rsid w:val="00CF1312"/>
    <w:rsid w:val="00CF4319"/>
    <w:rsid w:val="00CF4B6A"/>
    <w:rsid w:val="00CF5FCF"/>
    <w:rsid w:val="00CF6FA1"/>
    <w:rsid w:val="00CF78F4"/>
    <w:rsid w:val="00CF7B25"/>
    <w:rsid w:val="00D05772"/>
    <w:rsid w:val="00D05B04"/>
    <w:rsid w:val="00D064C5"/>
    <w:rsid w:val="00D23EE1"/>
    <w:rsid w:val="00D24114"/>
    <w:rsid w:val="00D40B64"/>
    <w:rsid w:val="00D40F19"/>
    <w:rsid w:val="00D41385"/>
    <w:rsid w:val="00D43F24"/>
    <w:rsid w:val="00D52DF1"/>
    <w:rsid w:val="00D54303"/>
    <w:rsid w:val="00D64989"/>
    <w:rsid w:val="00D76BA6"/>
    <w:rsid w:val="00D81113"/>
    <w:rsid w:val="00D9678A"/>
    <w:rsid w:val="00DA1C80"/>
    <w:rsid w:val="00DA59CE"/>
    <w:rsid w:val="00DB03B2"/>
    <w:rsid w:val="00DB4B65"/>
    <w:rsid w:val="00DB5360"/>
    <w:rsid w:val="00DC0058"/>
    <w:rsid w:val="00DC0BC1"/>
    <w:rsid w:val="00DC453E"/>
    <w:rsid w:val="00DD0161"/>
    <w:rsid w:val="00DD663A"/>
    <w:rsid w:val="00DE2878"/>
    <w:rsid w:val="00DE7F0F"/>
    <w:rsid w:val="00DF156D"/>
    <w:rsid w:val="00DF6987"/>
    <w:rsid w:val="00E045B9"/>
    <w:rsid w:val="00E07267"/>
    <w:rsid w:val="00E10F65"/>
    <w:rsid w:val="00E114AF"/>
    <w:rsid w:val="00E17298"/>
    <w:rsid w:val="00E227B7"/>
    <w:rsid w:val="00E274F4"/>
    <w:rsid w:val="00E303B2"/>
    <w:rsid w:val="00E51514"/>
    <w:rsid w:val="00E57D4A"/>
    <w:rsid w:val="00E83C31"/>
    <w:rsid w:val="00EA1DF7"/>
    <w:rsid w:val="00ED294A"/>
    <w:rsid w:val="00ED5ED4"/>
    <w:rsid w:val="00EE7283"/>
    <w:rsid w:val="00F035B6"/>
    <w:rsid w:val="00F27F46"/>
    <w:rsid w:val="00F3037E"/>
    <w:rsid w:val="00F3146D"/>
    <w:rsid w:val="00F31908"/>
    <w:rsid w:val="00F42521"/>
    <w:rsid w:val="00F61DFB"/>
    <w:rsid w:val="00F63275"/>
    <w:rsid w:val="00F65CD9"/>
    <w:rsid w:val="00F65E3D"/>
    <w:rsid w:val="00F73683"/>
    <w:rsid w:val="00F73F65"/>
    <w:rsid w:val="00F811EC"/>
    <w:rsid w:val="00F90738"/>
    <w:rsid w:val="00F96A41"/>
    <w:rsid w:val="00FA2083"/>
    <w:rsid w:val="00FA45F6"/>
    <w:rsid w:val="00FB67B4"/>
    <w:rsid w:val="00FC4D87"/>
    <w:rsid w:val="00FC5817"/>
    <w:rsid w:val="00FC65B9"/>
    <w:rsid w:val="00FC748E"/>
    <w:rsid w:val="00FD4F5E"/>
    <w:rsid w:val="00FD6EC3"/>
    <w:rsid w:val="00FE2F7E"/>
    <w:rsid w:val="00FE5B87"/>
    <w:rsid w:val="00FE71EA"/>
    <w:rsid w:val="00FF3BAA"/>
    <w:rsid w:val="00FF5B66"/>
    <w:rsid w:val="07BB13B9"/>
    <w:rsid w:val="180C60E6"/>
    <w:rsid w:val="2675207E"/>
    <w:rsid w:val="28231E5C"/>
    <w:rsid w:val="4ECD6C62"/>
    <w:rsid w:val="6BF04D23"/>
    <w:rsid w:val="71B56C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99"/>
    <w:rPr>
      <w:rFonts w:ascii="宋体" w:hAnsi="Courier New" w:cs="楷体_GB2312"/>
      <w:szCs w:val="21"/>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2"/>
    <w:uiPriority w:val="99"/>
    <w:pPr>
      <w:tabs>
        <w:tab w:val="center" w:pos="4153"/>
        <w:tab w:val="right" w:pos="8306"/>
      </w:tabs>
      <w:snapToGrid w:val="0"/>
      <w:jc w:val="left"/>
    </w:pPr>
    <w:rPr>
      <w:kern w:val="0"/>
      <w:sz w:val="18"/>
      <w:szCs w:val="18"/>
    </w:rPr>
  </w:style>
  <w:style w:type="paragraph" w:styleId="6">
    <w:name w:val="header"/>
    <w:basedOn w:val="1"/>
    <w:link w:val="11"/>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iPriority w:val="0"/>
    <w:pPr>
      <w:jc w:val="left"/>
    </w:pPr>
    <w:rPr>
      <w:kern w:val="0"/>
      <w:sz w:val="24"/>
    </w:rPr>
  </w:style>
  <w:style w:type="character" w:styleId="10">
    <w:name w:val="Strong"/>
    <w:qFormat/>
    <w:uiPriority w:val="0"/>
    <w:rPr>
      <w:rFonts w:cs="Times New Roman"/>
      <w:b/>
    </w:rPr>
  </w:style>
  <w:style w:type="character" w:customStyle="1" w:styleId="11">
    <w:name w:val="页眉 Char"/>
    <w:link w:val="6"/>
    <w:qFormat/>
    <w:locked/>
    <w:uiPriority w:val="99"/>
    <w:rPr>
      <w:sz w:val="18"/>
    </w:rPr>
  </w:style>
  <w:style w:type="character" w:customStyle="1" w:styleId="12">
    <w:name w:val="页脚 Char"/>
    <w:link w:val="5"/>
    <w:locked/>
    <w:uiPriority w:val="99"/>
    <w:rPr>
      <w:sz w:val="18"/>
    </w:rPr>
  </w:style>
  <w:style w:type="character" w:customStyle="1" w:styleId="13">
    <w:name w:val="批注框文本 Char"/>
    <w:link w:val="4"/>
    <w:semiHidden/>
    <w:qFormat/>
    <w:locked/>
    <w:uiPriority w:val="99"/>
    <w:rPr>
      <w:sz w:val="18"/>
    </w:rPr>
  </w:style>
  <w:style w:type="character" w:customStyle="1" w:styleId="14">
    <w:name w:val="纯文本 Char"/>
    <w:link w:val="2"/>
    <w:qFormat/>
    <w:locked/>
    <w:uiPriority w:val="99"/>
    <w:rPr>
      <w:rFonts w:ascii="宋体" w:hAnsi="Courier New" w:eastAsia="宋体"/>
      <w:kern w:val="2"/>
      <w:sz w:val="21"/>
      <w:lang w:val="en-US" w:eastAsia="zh-CN"/>
    </w:rPr>
  </w:style>
  <w:style w:type="paragraph" w:customStyle="1" w:styleId="15">
    <w:name w:val="List Paragraph1"/>
    <w:basedOn w:val="1"/>
    <w:qFormat/>
    <w:uiPriority w:val="99"/>
    <w:pPr>
      <w:ind w:firstLine="420" w:firstLineChars="200"/>
    </w:pPr>
    <w:rPr>
      <w:rFonts w:ascii="Times New Roman" w:hAnsi="Times New Roman"/>
      <w:szCs w:val="24"/>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日期 Char"/>
    <w:link w:val="3"/>
    <w:semiHidden/>
    <w:qFormat/>
    <w:uiPriority w:val="99"/>
    <w:rPr>
      <w:kern w:val="2"/>
      <w:sz w:val="21"/>
      <w:szCs w:val="22"/>
    </w:rPr>
  </w:style>
  <w:style w:type="paragraph" w:customStyle="1"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3466</Words>
  <Characters>3667</Characters>
  <Lines>22</Lines>
  <Paragraphs>6</Paragraphs>
  <TotalTime>1048</TotalTime>
  <ScaleCrop>false</ScaleCrop>
  <LinksUpToDate>false</LinksUpToDate>
  <CharactersWithSpaces>4017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ForVictorRi</cp:lastModifiedBy>
  <cp:lastPrinted>2017-03-24T01:56:00Z</cp:lastPrinted>
  <dcterms:modified xsi:type="dcterms:W3CDTF">2020-06-26T06:46:23Z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