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高青县</w:t>
      </w:r>
      <w:r>
        <w:rPr>
          <w:rFonts w:hint="eastAsia" w:asciiTheme="majorEastAsia" w:hAnsiTheme="majorEastAsia" w:eastAsiaTheme="majorEastAsia"/>
          <w:b/>
          <w:sz w:val="44"/>
          <w:szCs w:val="44"/>
          <w:lang w:eastAsia="zh-CN"/>
        </w:rPr>
        <w:t>黑里寨镇</w:t>
      </w:r>
      <w:r>
        <w:rPr>
          <w:rFonts w:hint="eastAsia" w:asciiTheme="majorEastAsia" w:hAnsiTheme="majorEastAsia" w:eastAsiaTheme="majorEastAsia"/>
          <w:b/>
          <w:sz w:val="44"/>
          <w:szCs w:val="44"/>
        </w:rPr>
        <w:t>2016年政府信息公开工作</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年度报告</w:t>
      </w:r>
    </w:p>
    <w:p>
      <w:pPr>
        <w:spacing w:line="560" w:lineRule="exact"/>
        <w:jc w:val="center"/>
        <w:rPr>
          <w:rFonts w:ascii="仿宋_GB2312" w:eastAsia="仿宋_GB2312"/>
          <w:sz w:val="32"/>
          <w:szCs w:val="32"/>
        </w:rPr>
      </w:pPr>
    </w:p>
    <w:p>
      <w:pPr>
        <w:spacing w:line="540" w:lineRule="exact"/>
        <w:ind w:firstLine="640" w:firstLineChars="200"/>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 xml:space="preserve"> 根据《中华人民共和国政府信息公开条例》（以下简称《条例》）和《淄博市人民政府办公厅关于做好201</w:t>
      </w:r>
      <w:r>
        <w:rPr>
          <w:rFonts w:hint="eastAsia" w:ascii="方正仿宋简体" w:hAnsi="方正仿宋简体" w:eastAsia="方正仿宋简体" w:cs="方正仿宋简体"/>
          <w:b w:val="0"/>
          <w:bCs/>
          <w:color w:val="auto"/>
          <w:sz w:val="32"/>
          <w:szCs w:val="32"/>
          <w:lang w:val="en-US" w:eastAsia="zh-CN"/>
        </w:rPr>
        <w:t>7</w:t>
      </w:r>
      <w:r>
        <w:rPr>
          <w:rFonts w:hint="eastAsia" w:ascii="方正仿宋简体" w:hAnsi="方正仿宋简体" w:eastAsia="方正仿宋简体" w:cs="方正仿宋简体"/>
          <w:b w:val="0"/>
          <w:bCs/>
          <w:color w:val="auto"/>
          <w:sz w:val="32"/>
          <w:szCs w:val="32"/>
        </w:rPr>
        <w:t>年政府信息公开工作年度报告编制工作的通知》要求，特向社会公布2018年度黑里寨镇政府信息公开工作年度报告。本报告中所列数据的统计期限是201</w:t>
      </w:r>
      <w:r>
        <w:rPr>
          <w:rFonts w:hint="eastAsia" w:ascii="方正仿宋简体" w:hAnsi="方正仿宋简体" w:eastAsia="方正仿宋简体" w:cs="方正仿宋简体"/>
          <w:b w:val="0"/>
          <w:bCs/>
          <w:color w:val="auto"/>
          <w:sz w:val="32"/>
          <w:szCs w:val="32"/>
          <w:lang w:val="en-US" w:eastAsia="zh-CN"/>
        </w:rPr>
        <w:t>6</w:t>
      </w:r>
      <w:r>
        <w:rPr>
          <w:rFonts w:hint="eastAsia" w:ascii="方正仿宋简体" w:hAnsi="方正仿宋简体" w:eastAsia="方正仿宋简体" w:cs="方正仿宋简体"/>
          <w:b w:val="0"/>
          <w:bCs/>
          <w:color w:val="auto"/>
          <w:sz w:val="32"/>
          <w:szCs w:val="32"/>
        </w:rPr>
        <w:t>年1月1日至201</w:t>
      </w:r>
      <w:r>
        <w:rPr>
          <w:rFonts w:hint="eastAsia" w:ascii="方正仿宋简体" w:hAnsi="方正仿宋简体" w:eastAsia="方正仿宋简体" w:cs="方正仿宋简体"/>
          <w:b w:val="0"/>
          <w:bCs/>
          <w:color w:val="auto"/>
          <w:sz w:val="32"/>
          <w:szCs w:val="32"/>
          <w:lang w:val="en-US" w:eastAsia="zh-CN"/>
        </w:rPr>
        <w:t>6</w:t>
      </w:r>
      <w:r>
        <w:rPr>
          <w:rFonts w:hint="eastAsia" w:ascii="方正仿宋简体" w:hAnsi="方正仿宋简体" w:eastAsia="方正仿宋简体" w:cs="方正仿宋简体"/>
          <w:b w:val="0"/>
          <w:bCs/>
          <w:color w:val="auto"/>
          <w:sz w:val="32"/>
          <w:szCs w:val="32"/>
        </w:rPr>
        <w:t>年12月31日。本报告的电子版可在“高青县人民政府网”（www.gaoqing.gov.cn）下载。如对本报告有任何疑问，请与黑里寨镇政府信息公开领导小组办公室联系（地址：高青县黑里寨镇政府；邮编：256306；电话：0533- 6765534；传真：0533-6765034；电子邮箱：gqxhlzz@zb.shandong.cn）。</w:t>
      </w:r>
    </w:p>
    <w:p>
      <w:pPr>
        <w:spacing w:line="540" w:lineRule="exact"/>
        <w:ind w:firstLine="643" w:firstLineChars="200"/>
        <w:rPr>
          <w:rFonts w:hint="eastAsia" w:ascii="黑体" w:hAnsi="黑体" w:eastAsia="黑体"/>
          <w:b/>
          <w:color w:val="auto"/>
          <w:sz w:val="32"/>
          <w:szCs w:val="32"/>
        </w:rPr>
      </w:pPr>
    </w:p>
    <w:p>
      <w:pPr>
        <w:numPr>
          <w:ilvl w:val="0"/>
          <w:numId w:val="1"/>
        </w:numPr>
        <w:spacing w:line="540" w:lineRule="exact"/>
        <w:ind w:left="969" w:leftChars="0" w:firstLine="0" w:firstLineChars="0"/>
        <w:rPr>
          <w:rFonts w:hint="eastAsia" w:ascii="黑体" w:hAnsi="黑体" w:eastAsia="黑体"/>
          <w:b/>
          <w:color w:val="auto"/>
          <w:sz w:val="32"/>
          <w:szCs w:val="32"/>
        </w:rPr>
      </w:pPr>
      <w:r>
        <w:rPr>
          <w:rFonts w:hint="eastAsia" w:ascii="黑体" w:hAnsi="黑体" w:eastAsia="黑体"/>
          <w:b/>
          <w:color w:val="auto"/>
          <w:sz w:val="32"/>
          <w:szCs w:val="32"/>
        </w:rPr>
        <w:t>政府信息公开工作概述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b/>
          <w:color w:val="auto"/>
          <w:sz w:val="32"/>
          <w:szCs w:val="32"/>
        </w:rPr>
      </w:pPr>
      <w:r>
        <w:rPr>
          <w:rFonts w:hint="eastAsia" w:ascii="方正仿宋简体" w:hAnsi="方正仿宋简体" w:eastAsia="方正仿宋简体" w:cs="方正仿宋简体"/>
          <w:b w:val="0"/>
          <w:bCs/>
          <w:color w:val="auto"/>
          <w:sz w:val="32"/>
          <w:szCs w:val="32"/>
        </w:rPr>
        <w:t>201</w:t>
      </w:r>
      <w:r>
        <w:rPr>
          <w:rFonts w:hint="eastAsia" w:ascii="方正仿宋简体" w:hAnsi="方正仿宋简体" w:eastAsia="方正仿宋简体" w:cs="方正仿宋简体"/>
          <w:b w:val="0"/>
          <w:bCs/>
          <w:color w:val="auto"/>
          <w:sz w:val="32"/>
          <w:szCs w:val="32"/>
          <w:lang w:val="en-US" w:eastAsia="zh-CN"/>
        </w:rPr>
        <w:t>6</w:t>
      </w:r>
      <w:r>
        <w:rPr>
          <w:rFonts w:hint="eastAsia" w:ascii="方正仿宋简体" w:hAnsi="方正仿宋简体" w:eastAsia="方正仿宋简体" w:cs="方正仿宋简体"/>
          <w:b w:val="0"/>
          <w:bCs/>
          <w:color w:val="auto"/>
          <w:sz w:val="32"/>
          <w:szCs w:val="32"/>
        </w:rPr>
        <w:t>年，在市、县政府的正确领导下，黑里寨镇政府认真贯彻实施《条例》，层层分解落实省市有关文件精神，周密部署、突出重点、有序推进，及时、准确地向社会公开政府信息，依法保障了人民群众的知情权、参与权和监督权。同时，将推进政府信息公开与服务经济社会发展、转变政府职能、规范行政权力运行、促进依法行政紧密结合，政府信息公开工作取得了新成效。</w:t>
      </w:r>
    </w:p>
    <w:p>
      <w:pPr>
        <w:spacing w:line="540" w:lineRule="exact"/>
        <w:ind w:firstLine="648"/>
        <w:rPr>
          <w:rFonts w:hint="eastAsia" w:ascii="黑体" w:hAnsi="黑体" w:eastAsia="黑体"/>
          <w:b/>
          <w:color w:val="auto"/>
          <w:sz w:val="32"/>
          <w:szCs w:val="32"/>
        </w:rPr>
      </w:pPr>
      <w:r>
        <w:rPr>
          <w:rFonts w:hint="eastAsia" w:ascii="黑体" w:hAnsi="黑体" w:eastAsia="黑体"/>
          <w:b/>
          <w:color w:val="auto"/>
          <w:sz w:val="32"/>
          <w:szCs w:val="32"/>
        </w:rPr>
        <w:t>（一）组织领导情况</w:t>
      </w:r>
    </w:p>
    <w:p>
      <w:pPr>
        <w:spacing w:line="540" w:lineRule="exact"/>
        <w:ind w:firstLine="640" w:firstLineChars="200"/>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进一步加强对政府信息公开工作的组织领导，不断完善政府信息公开工作体制机制建设。我镇政府成了信息公开工作领导小组，形成了“主要领导负总责，分管领导具体抓，工作机构抓落实”的组织领导体系，为政府信息公开工作的顺利开展提供了有力的组织保障。镇政府每季度召开一次信息公开负责人会议，研究推进政府信息公开工作措施，协调解决信息公开工作中存在的问题，确保了201</w:t>
      </w:r>
      <w:r>
        <w:rPr>
          <w:rFonts w:hint="eastAsia" w:ascii="方正仿宋简体" w:hAnsi="方正仿宋简体" w:eastAsia="方正仿宋简体" w:cs="方正仿宋简体"/>
          <w:b w:val="0"/>
          <w:bCs/>
          <w:color w:val="auto"/>
          <w:sz w:val="32"/>
          <w:szCs w:val="32"/>
          <w:lang w:val="en-US" w:eastAsia="zh-CN"/>
        </w:rPr>
        <w:t>7</w:t>
      </w:r>
      <w:r>
        <w:rPr>
          <w:rFonts w:hint="eastAsia" w:ascii="方正仿宋简体" w:hAnsi="方正仿宋简体" w:eastAsia="方正仿宋简体" w:cs="方正仿宋简体"/>
          <w:b w:val="0"/>
          <w:bCs/>
          <w:color w:val="auto"/>
          <w:sz w:val="32"/>
          <w:szCs w:val="32"/>
        </w:rPr>
        <w:t>年全镇政府信息公开工作的有序进行。</w:t>
      </w:r>
    </w:p>
    <w:p>
      <w:pPr>
        <w:spacing w:line="540" w:lineRule="exact"/>
        <w:ind w:firstLine="643" w:firstLineChars="200"/>
        <w:rPr>
          <w:rFonts w:hint="eastAsia" w:ascii="黑体" w:hAnsi="黑体" w:eastAsia="黑体"/>
          <w:b/>
          <w:color w:val="auto"/>
          <w:sz w:val="32"/>
          <w:szCs w:val="32"/>
        </w:rPr>
      </w:pPr>
      <w:r>
        <w:rPr>
          <w:rFonts w:hint="eastAsia" w:ascii="黑体" w:hAnsi="黑体" w:eastAsia="黑体"/>
          <w:b/>
          <w:color w:val="auto"/>
          <w:sz w:val="32"/>
          <w:szCs w:val="32"/>
        </w:rPr>
        <w:t>（二）制度建设情况</w:t>
      </w:r>
    </w:p>
    <w:p>
      <w:pPr>
        <w:spacing w:line="540" w:lineRule="exact"/>
        <w:ind w:firstLine="640" w:firstLineChars="200"/>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认真贯彻执行政府信息公开工作相关规章制度。严格按照《高青县政府信息主动公开工作制度（试行）》（高政办发〔2009〕51号）、《高青县依申请公开政府信息工作制度（试行）》（高政办发〔2009〕52号）、《高青县政府信息公开保密审查办法（试行）》（高政办发〔2009〕53号）、《高青县政府信息发布协调工作暂行规定》（高政办发〔2009〕54号）、《高青县政府信息公开工作社会评议办法（试行）》（高政办发〔2009〕55号）、《高青县行政机关虚假或不完整政府信息澄清制度（试行）》（高政办发〔2009〕56号）、《高青县政府信息公开工作考核办法（试行）》（高政办发〔2009〕57号）、《高青县政府信息公开责任追究办法（试行）》（高政办发〔2009〕58号）、《高青县行政机关公文类信息公开审核办法（试行）》（高政办发〔2009〕59号）的要求开展政府信息公开工作，全镇政府信息公开工作实现规范化、法制化、常规化管理。</w:t>
      </w:r>
    </w:p>
    <w:p>
      <w:pPr>
        <w:spacing w:line="540" w:lineRule="exact"/>
        <w:rPr>
          <w:rFonts w:hint="eastAsia" w:ascii="黑体" w:hAnsi="黑体" w:eastAsia="黑体"/>
          <w:b/>
          <w:color w:val="auto"/>
          <w:sz w:val="32"/>
          <w:szCs w:val="32"/>
        </w:rPr>
      </w:pPr>
    </w:p>
    <w:p>
      <w:pPr>
        <w:spacing w:line="540" w:lineRule="exact"/>
        <w:ind w:firstLine="643" w:firstLineChars="200"/>
        <w:rPr>
          <w:rFonts w:hint="eastAsia" w:ascii="黑体" w:hAnsi="黑体" w:eastAsia="黑体"/>
          <w:b/>
          <w:color w:val="auto"/>
          <w:sz w:val="32"/>
          <w:szCs w:val="32"/>
        </w:rPr>
      </w:pPr>
      <w:r>
        <w:rPr>
          <w:rFonts w:hint="eastAsia" w:ascii="黑体" w:hAnsi="黑体" w:eastAsia="黑体"/>
          <w:b/>
          <w:color w:val="auto"/>
          <w:sz w:val="32"/>
          <w:szCs w:val="32"/>
        </w:rPr>
        <w:t>二、主动公开政府信息以及公开平台建设情况</w:t>
      </w:r>
    </w:p>
    <w:p>
      <w:pPr>
        <w:spacing w:line="540" w:lineRule="exact"/>
        <w:ind w:firstLine="643" w:firstLineChars="200"/>
        <w:rPr>
          <w:rFonts w:hint="eastAsia" w:ascii="黑体" w:hAnsi="黑体" w:eastAsia="黑体"/>
          <w:b/>
          <w:color w:val="auto"/>
          <w:sz w:val="32"/>
          <w:szCs w:val="32"/>
        </w:rPr>
      </w:pPr>
      <w:r>
        <w:rPr>
          <w:rFonts w:hint="eastAsia" w:ascii="黑体" w:hAnsi="黑体" w:eastAsia="黑体"/>
          <w:b/>
          <w:color w:val="auto"/>
          <w:sz w:val="32"/>
          <w:szCs w:val="32"/>
        </w:rPr>
        <w:t>（一）主动公开政府信息的数量</w:t>
      </w:r>
    </w:p>
    <w:p>
      <w:pPr>
        <w:spacing w:line="540" w:lineRule="exact"/>
        <w:ind w:firstLine="640" w:firstLineChars="200"/>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201</w:t>
      </w:r>
      <w:r>
        <w:rPr>
          <w:rFonts w:hint="eastAsia" w:ascii="方正仿宋简体" w:hAnsi="方正仿宋简体" w:eastAsia="方正仿宋简体" w:cs="方正仿宋简体"/>
          <w:b w:val="0"/>
          <w:bCs/>
          <w:color w:val="auto"/>
          <w:sz w:val="32"/>
          <w:szCs w:val="32"/>
          <w:lang w:val="en-US" w:eastAsia="zh-CN"/>
        </w:rPr>
        <w:t>6</w:t>
      </w:r>
      <w:r>
        <w:rPr>
          <w:rFonts w:hint="eastAsia" w:ascii="方正仿宋简体" w:hAnsi="方正仿宋简体" w:eastAsia="方正仿宋简体" w:cs="方正仿宋简体"/>
          <w:b w:val="0"/>
          <w:bCs/>
          <w:color w:val="auto"/>
          <w:sz w:val="32"/>
          <w:szCs w:val="32"/>
        </w:rPr>
        <w:t>年，我镇主动公开政府信息</w:t>
      </w:r>
      <w:r>
        <w:rPr>
          <w:rFonts w:hint="eastAsia" w:ascii="方正仿宋简体" w:hAnsi="方正仿宋简体" w:eastAsia="方正仿宋简体" w:cs="方正仿宋简体"/>
          <w:b w:val="0"/>
          <w:bCs/>
          <w:color w:val="auto"/>
          <w:sz w:val="32"/>
          <w:szCs w:val="32"/>
          <w:lang w:val="en-US" w:eastAsia="zh-CN"/>
        </w:rPr>
        <w:t>10</w:t>
      </w:r>
      <w:r>
        <w:rPr>
          <w:rFonts w:hint="eastAsia" w:ascii="方正仿宋简体" w:hAnsi="方正仿宋简体" w:eastAsia="方正仿宋简体" w:cs="方正仿宋简体"/>
          <w:b w:val="0"/>
          <w:bCs/>
          <w:color w:val="auto"/>
          <w:sz w:val="32"/>
          <w:szCs w:val="32"/>
        </w:rPr>
        <w:t>条。</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主动公开的政府信息中：</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机构职能类信息</w:t>
      </w:r>
      <w:r>
        <w:rPr>
          <w:rFonts w:hint="eastAsia" w:ascii="方正仿宋简体" w:hAnsi="方正仿宋简体" w:eastAsia="方正仿宋简体" w:cs="方正仿宋简体"/>
          <w:b w:val="0"/>
          <w:bCs/>
          <w:color w:val="auto"/>
          <w:sz w:val="32"/>
          <w:szCs w:val="32"/>
          <w:lang w:val="en-US" w:eastAsia="zh-CN"/>
        </w:rPr>
        <w:t>1</w:t>
      </w:r>
      <w:r>
        <w:rPr>
          <w:rFonts w:hint="eastAsia" w:ascii="方正仿宋简体" w:hAnsi="方正仿宋简体" w:eastAsia="方正仿宋简体" w:cs="方正仿宋简体"/>
          <w:b w:val="0"/>
          <w:bCs/>
          <w:color w:val="auto"/>
          <w:sz w:val="32"/>
          <w:szCs w:val="32"/>
        </w:rPr>
        <w:t>条，占1</w:t>
      </w:r>
      <w:r>
        <w:rPr>
          <w:rFonts w:hint="eastAsia" w:ascii="方正仿宋简体" w:hAnsi="方正仿宋简体" w:eastAsia="方正仿宋简体" w:cs="方正仿宋简体"/>
          <w:b w:val="0"/>
          <w:bCs/>
          <w:color w:val="auto"/>
          <w:sz w:val="32"/>
          <w:szCs w:val="32"/>
          <w:lang w:val="en-US" w:eastAsia="zh-CN"/>
        </w:rPr>
        <w:t>0</w:t>
      </w:r>
      <w:r>
        <w:rPr>
          <w:rFonts w:hint="eastAsia" w:ascii="方正仿宋简体" w:hAnsi="方正仿宋简体" w:eastAsia="方正仿宋简体" w:cs="方正仿宋简体"/>
          <w:b w:val="0"/>
          <w:bCs/>
          <w:color w:val="auto"/>
          <w:sz w:val="32"/>
          <w:szCs w:val="32"/>
        </w:rPr>
        <w:t>%；</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政策法规类信息2条，占</w:t>
      </w:r>
      <w:r>
        <w:rPr>
          <w:rFonts w:hint="eastAsia" w:ascii="方正仿宋简体" w:hAnsi="方正仿宋简体" w:eastAsia="方正仿宋简体" w:cs="方正仿宋简体"/>
          <w:b w:val="0"/>
          <w:bCs/>
          <w:color w:val="auto"/>
          <w:sz w:val="32"/>
          <w:szCs w:val="32"/>
          <w:lang w:val="en-US" w:eastAsia="zh-CN"/>
        </w:rPr>
        <w:t>20</w:t>
      </w:r>
      <w:r>
        <w:rPr>
          <w:rFonts w:hint="eastAsia" w:ascii="方正仿宋简体" w:hAnsi="方正仿宋简体" w:eastAsia="方正仿宋简体" w:cs="方正仿宋简体"/>
          <w:b w:val="0"/>
          <w:bCs/>
          <w:color w:val="auto"/>
          <w:sz w:val="32"/>
          <w:szCs w:val="32"/>
        </w:rPr>
        <w:t>%；</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规划计划类信息1条，占</w:t>
      </w:r>
      <w:r>
        <w:rPr>
          <w:rFonts w:hint="eastAsia" w:ascii="方正仿宋简体" w:hAnsi="方正仿宋简体" w:eastAsia="方正仿宋简体" w:cs="方正仿宋简体"/>
          <w:b w:val="0"/>
          <w:bCs/>
          <w:color w:val="auto"/>
          <w:sz w:val="32"/>
          <w:szCs w:val="32"/>
          <w:lang w:val="en-US" w:eastAsia="zh-CN"/>
        </w:rPr>
        <w:t>10</w:t>
      </w:r>
      <w:r>
        <w:rPr>
          <w:rFonts w:hint="eastAsia" w:ascii="方正仿宋简体" w:hAnsi="方正仿宋简体" w:eastAsia="方正仿宋简体" w:cs="方正仿宋简体"/>
          <w:b w:val="0"/>
          <w:bCs/>
          <w:color w:val="auto"/>
          <w:sz w:val="32"/>
          <w:szCs w:val="32"/>
        </w:rPr>
        <w:t>%；</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业务工作类信息</w:t>
      </w:r>
      <w:r>
        <w:rPr>
          <w:rFonts w:hint="eastAsia" w:ascii="方正仿宋简体" w:hAnsi="方正仿宋简体" w:eastAsia="方正仿宋简体" w:cs="方正仿宋简体"/>
          <w:b w:val="0"/>
          <w:bCs/>
          <w:color w:val="auto"/>
          <w:sz w:val="32"/>
          <w:szCs w:val="32"/>
          <w:lang w:val="en-US" w:eastAsia="zh-CN"/>
        </w:rPr>
        <w:t>1</w:t>
      </w:r>
      <w:r>
        <w:rPr>
          <w:rFonts w:hint="eastAsia" w:ascii="方正仿宋简体" w:hAnsi="方正仿宋简体" w:eastAsia="方正仿宋简体" w:cs="方正仿宋简体"/>
          <w:b w:val="0"/>
          <w:bCs/>
          <w:color w:val="auto"/>
          <w:sz w:val="32"/>
          <w:szCs w:val="32"/>
        </w:rPr>
        <w:t>条，占</w:t>
      </w:r>
      <w:r>
        <w:rPr>
          <w:rFonts w:hint="eastAsia" w:ascii="方正仿宋简体" w:hAnsi="方正仿宋简体" w:eastAsia="方正仿宋简体" w:cs="方正仿宋简体"/>
          <w:b w:val="0"/>
          <w:bCs/>
          <w:color w:val="auto"/>
          <w:sz w:val="32"/>
          <w:szCs w:val="32"/>
          <w:lang w:val="en-US" w:eastAsia="zh-CN"/>
        </w:rPr>
        <w:t>10</w:t>
      </w:r>
      <w:r>
        <w:rPr>
          <w:rFonts w:hint="eastAsia" w:ascii="方正仿宋简体" w:hAnsi="方正仿宋简体" w:eastAsia="方正仿宋简体" w:cs="方正仿宋简体"/>
          <w:b w:val="0"/>
          <w:bCs/>
          <w:color w:val="auto"/>
          <w:sz w:val="32"/>
          <w:szCs w:val="32"/>
        </w:rPr>
        <w:t>%；</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统计数据类信息</w:t>
      </w:r>
      <w:r>
        <w:rPr>
          <w:rFonts w:hint="eastAsia" w:ascii="方正仿宋简体" w:hAnsi="方正仿宋简体" w:eastAsia="方正仿宋简体" w:cs="方正仿宋简体"/>
          <w:b w:val="0"/>
          <w:bCs/>
          <w:color w:val="auto"/>
          <w:sz w:val="32"/>
          <w:szCs w:val="32"/>
          <w:lang w:val="en-US" w:eastAsia="zh-CN"/>
        </w:rPr>
        <w:t>2</w:t>
      </w:r>
      <w:r>
        <w:rPr>
          <w:rFonts w:hint="eastAsia" w:ascii="方正仿宋简体" w:hAnsi="方正仿宋简体" w:eastAsia="方正仿宋简体" w:cs="方正仿宋简体"/>
          <w:b w:val="0"/>
          <w:bCs/>
          <w:color w:val="auto"/>
          <w:sz w:val="32"/>
          <w:szCs w:val="32"/>
        </w:rPr>
        <w:t>条，占</w:t>
      </w:r>
      <w:r>
        <w:rPr>
          <w:rFonts w:hint="eastAsia" w:ascii="方正仿宋简体" w:hAnsi="方正仿宋简体" w:eastAsia="方正仿宋简体" w:cs="方正仿宋简体"/>
          <w:b w:val="0"/>
          <w:bCs/>
          <w:color w:val="auto"/>
          <w:sz w:val="32"/>
          <w:szCs w:val="32"/>
          <w:lang w:val="en-US" w:eastAsia="zh-CN"/>
        </w:rPr>
        <w:t>20</w:t>
      </w:r>
      <w:r>
        <w:rPr>
          <w:rFonts w:hint="eastAsia" w:ascii="方正仿宋简体" w:hAnsi="方正仿宋简体" w:eastAsia="方正仿宋简体" w:cs="方正仿宋简体"/>
          <w:b w:val="0"/>
          <w:bCs/>
          <w:color w:val="auto"/>
          <w:sz w:val="32"/>
          <w:szCs w:val="32"/>
        </w:rPr>
        <w:t>%；</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其它类信息</w:t>
      </w:r>
      <w:r>
        <w:rPr>
          <w:rFonts w:hint="eastAsia" w:ascii="方正仿宋简体" w:hAnsi="方正仿宋简体" w:eastAsia="方正仿宋简体" w:cs="方正仿宋简体"/>
          <w:b w:val="0"/>
          <w:bCs/>
          <w:color w:val="auto"/>
          <w:sz w:val="32"/>
          <w:szCs w:val="32"/>
          <w:lang w:val="en-US" w:eastAsia="zh-CN"/>
        </w:rPr>
        <w:t>3</w:t>
      </w:r>
      <w:r>
        <w:rPr>
          <w:rFonts w:hint="eastAsia" w:ascii="方正仿宋简体" w:hAnsi="方正仿宋简体" w:eastAsia="方正仿宋简体" w:cs="方正仿宋简体"/>
          <w:b w:val="0"/>
          <w:bCs/>
          <w:color w:val="auto"/>
          <w:sz w:val="32"/>
          <w:szCs w:val="32"/>
        </w:rPr>
        <w:t>条，占</w:t>
      </w:r>
      <w:r>
        <w:rPr>
          <w:rFonts w:hint="eastAsia" w:ascii="方正仿宋简体" w:hAnsi="方正仿宋简体" w:eastAsia="方正仿宋简体" w:cs="方正仿宋简体"/>
          <w:b w:val="0"/>
          <w:bCs/>
          <w:color w:val="auto"/>
          <w:sz w:val="32"/>
          <w:szCs w:val="32"/>
          <w:lang w:val="en-US" w:eastAsia="zh-CN"/>
        </w:rPr>
        <w:t>30</w:t>
      </w:r>
      <w:r>
        <w:rPr>
          <w:rFonts w:hint="eastAsia" w:ascii="方正仿宋简体" w:hAnsi="方正仿宋简体" w:eastAsia="方正仿宋简体" w:cs="方正仿宋简体"/>
          <w:b w:val="0"/>
          <w:bCs/>
          <w:color w:val="auto"/>
          <w:sz w:val="32"/>
          <w:szCs w:val="32"/>
        </w:rPr>
        <w:t>%。</w:t>
      </w:r>
    </w:p>
    <w:p>
      <w:pPr>
        <w:spacing w:line="240" w:lineRule="auto"/>
        <w:ind w:firstLine="648"/>
        <w:rPr>
          <w:rFonts w:hint="eastAsia" w:ascii="方正仿宋简体" w:hAnsi="方正仿宋简体" w:eastAsia="方正仿宋简体" w:cs="方正仿宋简体"/>
          <w:b w:val="0"/>
          <w:bCs/>
          <w:color w:val="auto"/>
          <w:sz w:val="32"/>
          <w:szCs w:val="32"/>
          <w:lang w:eastAsia="zh-CN"/>
        </w:rPr>
      </w:pPr>
    </w:p>
    <w:p>
      <w:pPr>
        <w:spacing w:line="540" w:lineRule="exact"/>
        <w:ind w:firstLine="648"/>
        <w:rPr>
          <w:rFonts w:hint="eastAsia" w:ascii="黑体" w:hAnsi="黑体" w:eastAsia="黑体"/>
          <w:b/>
          <w:color w:val="auto"/>
          <w:sz w:val="32"/>
          <w:szCs w:val="32"/>
        </w:rPr>
      </w:pPr>
      <w:r>
        <w:rPr>
          <w:rFonts w:hint="eastAsia" w:ascii="黑体" w:hAnsi="黑体" w:eastAsia="黑体"/>
          <w:b/>
          <w:color w:val="auto"/>
          <w:sz w:val="32"/>
          <w:szCs w:val="32"/>
        </w:rPr>
        <w:t>（二）建议提案办理结果公开情况</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对涉及公共利益、公众权益、社会关切及需要社会广泛知晓的建议、提案办理复文全文公开。对政策性强、社会影响大的建议、提案办理结果，在公开后做好解读、回应和舆论引导工作。201</w:t>
      </w:r>
      <w:r>
        <w:rPr>
          <w:rFonts w:hint="eastAsia" w:ascii="方正仿宋简体" w:hAnsi="方正仿宋简体" w:eastAsia="方正仿宋简体" w:cs="方正仿宋简体"/>
          <w:b w:val="0"/>
          <w:bCs/>
          <w:color w:val="auto"/>
          <w:sz w:val="32"/>
          <w:szCs w:val="32"/>
          <w:lang w:val="en-US" w:eastAsia="zh-CN"/>
        </w:rPr>
        <w:t>6</w:t>
      </w:r>
      <w:r>
        <w:rPr>
          <w:rFonts w:hint="eastAsia" w:ascii="方正仿宋简体" w:hAnsi="方正仿宋简体" w:eastAsia="方正仿宋简体" w:cs="方正仿宋简体"/>
          <w:b w:val="0"/>
          <w:bCs/>
          <w:color w:val="auto"/>
          <w:sz w:val="32"/>
          <w:szCs w:val="32"/>
        </w:rPr>
        <w:t>年，本单位未收到人大代表建议和政协委员提案，因此无法公开办理结果。</w:t>
      </w:r>
    </w:p>
    <w:p>
      <w:pPr>
        <w:spacing w:line="540" w:lineRule="exact"/>
        <w:ind w:firstLine="648"/>
        <w:rPr>
          <w:rFonts w:hint="eastAsia" w:ascii="黑体" w:hAnsi="黑体" w:eastAsia="黑体"/>
          <w:b/>
          <w:color w:val="auto"/>
          <w:sz w:val="32"/>
          <w:szCs w:val="32"/>
        </w:rPr>
      </w:pPr>
    </w:p>
    <w:p>
      <w:pPr>
        <w:spacing w:line="540" w:lineRule="exact"/>
        <w:ind w:firstLine="648"/>
        <w:rPr>
          <w:rFonts w:hint="eastAsia" w:ascii="黑体" w:hAnsi="黑体" w:eastAsia="黑体"/>
          <w:b/>
          <w:color w:val="auto"/>
          <w:sz w:val="32"/>
          <w:szCs w:val="32"/>
        </w:rPr>
      </w:pPr>
      <w:r>
        <w:rPr>
          <w:rFonts w:hint="eastAsia" w:ascii="黑体" w:hAnsi="黑体" w:eastAsia="黑体"/>
          <w:b/>
          <w:color w:val="auto"/>
          <w:sz w:val="32"/>
          <w:szCs w:val="32"/>
        </w:rPr>
        <w:t>（三）政府信息公开平台建设情况</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黑体" w:hAnsi="黑体" w:eastAsia="黑体"/>
          <w:b/>
          <w:color w:val="auto"/>
          <w:sz w:val="32"/>
          <w:szCs w:val="32"/>
        </w:rPr>
        <w:t>1、政务公开专栏</w:t>
      </w:r>
      <w:r>
        <w:rPr>
          <w:rFonts w:hint="eastAsia" w:ascii="黑体" w:hAnsi="黑体" w:eastAsia="黑体"/>
          <w:b/>
          <w:color w:val="auto"/>
          <w:sz w:val="32"/>
          <w:szCs w:val="32"/>
          <w:lang w:eastAsia="zh-CN"/>
        </w:rPr>
        <w:t>。</w:t>
      </w:r>
      <w:r>
        <w:rPr>
          <w:rFonts w:hint="eastAsia" w:ascii="方正仿宋简体" w:hAnsi="方正仿宋简体" w:eastAsia="方正仿宋简体" w:cs="方正仿宋简体"/>
          <w:b w:val="0"/>
          <w:bCs/>
          <w:color w:val="auto"/>
          <w:sz w:val="32"/>
          <w:szCs w:val="32"/>
        </w:rPr>
        <w:t>在镇政府驻地、及村居均已设立政务公开专栏，定期更新专栏政务信息，及时公开与公众生活密切相关的政务动态、经济社会发展情况、政府公报等信息。</w:t>
      </w:r>
    </w:p>
    <w:p>
      <w:pPr>
        <w:spacing w:line="540" w:lineRule="exact"/>
        <w:ind w:firstLine="648"/>
        <w:rPr>
          <w:rFonts w:hint="eastAsia" w:ascii="楷体" w:hAnsi="楷体" w:eastAsia="楷体" w:cs="楷体"/>
          <w:b w:val="0"/>
          <w:bCs/>
          <w:color w:val="auto"/>
          <w:sz w:val="32"/>
          <w:szCs w:val="32"/>
        </w:rPr>
      </w:pP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黑体" w:hAnsi="黑体" w:eastAsia="黑体"/>
          <w:b/>
          <w:color w:val="auto"/>
          <w:sz w:val="32"/>
          <w:szCs w:val="32"/>
        </w:rPr>
        <w:t>2、其他平台。</w:t>
      </w:r>
      <w:r>
        <w:rPr>
          <w:rFonts w:hint="eastAsia" w:ascii="方正仿宋简体" w:hAnsi="方正仿宋简体" w:eastAsia="方正仿宋简体" w:cs="方正仿宋简体"/>
          <w:b w:val="0"/>
          <w:bCs/>
          <w:color w:val="auto"/>
          <w:sz w:val="32"/>
          <w:szCs w:val="32"/>
        </w:rPr>
        <w:t>我镇充分利用《高青工作》、“政风行风热线”、“高青新闻”“高青政务网”等平台，及时公开需要社会公众广泛知晓的信息，拓宽了社会公众获悉政府主动公开信息的渠道，在镇政府驻地还设置了电子信息屏积极向公众公开政府信息。</w:t>
      </w:r>
    </w:p>
    <w:p>
      <w:pPr>
        <w:spacing w:line="540" w:lineRule="exact"/>
        <w:rPr>
          <w:rFonts w:hint="eastAsia" w:ascii="黑体" w:hAnsi="黑体" w:eastAsia="黑体"/>
          <w:b/>
          <w:color w:val="auto"/>
          <w:sz w:val="32"/>
          <w:szCs w:val="32"/>
        </w:rPr>
      </w:pPr>
    </w:p>
    <w:p>
      <w:pPr>
        <w:spacing w:line="540" w:lineRule="exact"/>
        <w:ind w:firstLine="648"/>
        <w:rPr>
          <w:rFonts w:hint="eastAsia" w:ascii="黑体" w:hAnsi="黑体" w:eastAsia="黑体"/>
          <w:b/>
          <w:color w:val="auto"/>
          <w:sz w:val="32"/>
          <w:szCs w:val="32"/>
        </w:rPr>
      </w:pPr>
      <w:r>
        <w:rPr>
          <w:rFonts w:hint="eastAsia" w:ascii="黑体" w:hAnsi="黑体" w:eastAsia="黑体"/>
          <w:b/>
          <w:color w:val="auto"/>
          <w:sz w:val="32"/>
          <w:szCs w:val="32"/>
        </w:rPr>
        <w:t>三、依申请公开政府信息情况</w:t>
      </w:r>
    </w:p>
    <w:p>
      <w:pPr>
        <w:spacing w:line="540" w:lineRule="exact"/>
        <w:ind w:firstLine="648"/>
        <w:rPr>
          <w:rFonts w:hint="eastAsia" w:ascii="黑体" w:hAnsi="黑体" w:eastAsia="黑体"/>
          <w:b/>
          <w:color w:val="auto"/>
          <w:sz w:val="32"/>
          <w:szCs w:val="32"/>
        </w:rPr>
      </w:pPr>
      <w:r>
        <w:rPr>
          <w:rFonts w:hint="eastAsia" w:ascii="黑体" w:hAnsi="黑体" w:eastAsia="黑体"/>
          <w:b/>
          <w:color w:val="auto"/>
          <w:sz w:val="32"/>
          <w:szCs w:val="32"/>
        </w:rPr>
        <w:t>（一）依申请公开处理情况</w:t>
      </w:r>
    </w:p>
    <w:p>
      <w:pPr>
        <w:spacing w:line="540" w:lineRule="exact"/>
        <w:ind w:firstLine="648"/>
        <w:rPr>
          <w:rFonts w:hint="eastAsia" w:ascii="黑体" w:hAnsi="黑体" w:eastAsia="黑体"/>
          <w:b/>
          <w:color w:val="auto"/>
          <w:sz w:val="32"/>
          <w:szCs w:val="32"/>
        </w:rPr>
      </w:pPr>
      <w:r>
        <w:rPr>
          <w:rFonts w:hint="eastAsia" w:ascii="方正仿宋简体" w:hAnsi="方正仿宋简体" w:eastAsia="方正仿宋简体" w:cs="方正仿宋简体"/>
          <w:b w:val="0"/>
          <w:bCs/>
          <w:color w:val="auto"/>
          <w:sz w:val="32"/>
          <w:szCs w:val="32"/>
        </w:rPr>
        <w:t>20</w:t>
      </w:r>
      <w:r>
        <w:rPr>
          <w:rFonts w:hint="eastAsia" w:ascii="方正仿宋简体" w:hAnsi="方正仿宋简体" w:eastAsia="方正仿宋简体" w:cs="方正仿宋简体"/>
          <w:b w:val="0"/>
          <w:bCs/>
          <w:color w:val="auto"/>
          <w:sz w:val="32"/>
          <w:szCs w:val="32"/>
          <w:lang w:val="en-US" w:eastAsia="zh-CN"/>
        </w:rPr>
        <w:t>16</w:t>
      </w:r>
      <w:r>
        <w:rPr>
          <w:rFonts w:hint="eastAsia" w:ascii="方正仿宋简体" w:hAnsi="方正仿宋简体" w:eastAsia="方正仿宋简体" w:cs="方正仿宋简体"/>
          <w:b w:val="0"/>
          <w:bCs/>
          <w:color w:val="auto"/>
          <w:sz w:val="32"/>
          <w:szCs w:val="32"/>
        </w:rPr>
        <w:t>年度，未有公民、法人或其他组织提出政府信息公开申请。</w:t>
      </w:r>
    </w:p>
    <w:p>
      <w:pPr>
        <w:spacing w:line="540" w:lineRule="exact"/>
        <w:ind w:firstLine="648"/>
        <w:rPr>
          <w:rFonts w:hint="eastAsia" w:ascii="黑体" w:hAnsi="黑体" w:eastAsia="黑体"/>
          <w:b/>
          <w:color w:val="auto"/>
          <w:sz w:val="32"/>
          <w:szCs w:val="32"/>
        </w:rPr>
      </w:pPr>
      <w:r>
        <w:rPr>
          <w:rFonts w:hint="eastAsia" w:ascii="黑体" w:hAnsi="黑体" w:eastAsia="黑体"/>
          <w:b/>
          <w:color w:val="auto"/>
          <w:sz w:val="32"/>
          <w:szCs w:val="32"/>
        </w:rPr>
        <w:t>（二）收费及减免情况</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本年度，我单位在政府信息公开申请办理过程中，未收取任何费用。</w:t>
      </w:r>
    </w:p>
    <w:p>
      <w:pPr>
        <w:spacing w:line="540" w:lineRule="exact"/>
        <w:rPr>
          <w:rFonts w:hint="eastAsia" w:ascii="黑体" w:hAnsi="黑体" w:eastAsia="黑体"/>
          <w:b/>
          <w:color w:val="auto"/>
          <w:sz w:val="32"/>
          <w:szCs w:val="32"/>
        </w:rPr>
      </w:pPr>
    </w:p>
    <w:p>
      <w:pPr>
        <w:spacing w:line="540" w:lineRule="exact"/>
        <w:ind w:firstLine="643" w:firstLineChars="200"/>
        <w:rPr>
          <w:rFonts w:hint="eastAsia" w:ascii="黑体" w:hAnsi="黑体" w:eastAsia="黑体"/>
          <w:b/>
          <w:color w:val="auto"/>
          <w:sz w:val="32"/>
          <w:szCs w:val="32"/>
        </w:rPr>
      </w:pPr>
      <w:r>
        <w:rPr>
          <w:rFonts w:hint="eastAsia" w:ascii="黑体" w:hAnsi="黑体" w:eastAsia="黑体"/>
          <w:b/>
          <w:color w:val="auto"/>
          <w:sz w:val="32"/>
          <w:szCs w:val="32"/>
        </w:rPr>
        <w:t>四、政府信息公开复议诉讼和举报情况</w:t>
      </w:r>
    </w:p>
    <w:p>
      <w:pPr>
        <w:spacing w:line="540" w:lineRule="exact"/>
        <w:ind w:firstLine="648"/>
        <w:rPr>
          <w:rFonts w:hint="eastAsia" w:ascii="黑体" w:hAnsi="黑体" w:eastAsia="黑体"/>
          <w:b/>
          <w:color w:val="auto"/>
          <w:sz w:val="32"/>
          <w:szCs w:val="32"/>
        </w:rPr>
      </w:pPr>
      <w:r>
        <w:rPr>
          <w:rFonts w:hint="eastAsia" w:ascii="方正仿宋简体" w:hAnsi="方正仿宋简体" w:eastAsia="方正仿宋简体" w:cs="方正仿宋简体"/>
          <w:b w:val="0"/>
          <w:bCs/>
          <w:color w:val="auto"/>
          <w:sz w:val="32"/>
          <w:szCs w:val="32"/>
        </w:rPr>
        <w:t>201</w:t>
      </w:r>
      <w:r>
        <w:rPr>
          <w:rFonts w:hint="eastAsia" w:ascii="方正仿宋简体" w:hAnsi="方正仿宋简体" w:eastAsia="方正仿宋简体" w:cs="方正仿宋简体"/>
          <w:b w:val="0"/>
          <w:bCs/>
          <w:color w:val="auto"/>
          <w:sz w:val="32"/>
          <w:szCs w:val="32"/>
          <w:lang w:val="en-US" w:eastAsia="zh-CN"/>
        </w:rPr>
        <w:t>6</w:t>
      </w:r>
      <w:r>
        <w:rPr>
          <w:rFonts w:hint="eastAsia" w:ascii="方正仿宋简体" w:hAnsi="方正仿宋简体" w:eastAsia="方正仿宋简体" w:cs="方正仿宋简体"/>
          <w:b w:val="0"/>
          <w:bCs/>
          <w:color w:val="auto"/>
          <w:sz w:val="32"/>
          <w:szCs w:val="32"/>
        </w:rPr>
        <w:t>年度，全镇没有发生因政府信息公开申请行政复议、提起行政诉讼的情况。</w:t>
      </w:r>
    </w:p>
    <w:p>
      <w:pPr>
        <w:spacing w:line="540" w:lineRule="exact"/>
        <w:ind w:firstLine="648"/>
        <w:rPr>
          <w:rFonts w:hint="eastAsia" w:ascii="黑体" w:hAnsi="黑体" w:eastAsia="黑体"/>
          <w:b/>
          <w:color w:val="auto"/>
          <w:sz w:val="32"/>
          <w:szCs w:val="32"/>
        </w:rPr>
      </w:pPr>
    </w:p>
    <w:p>
      <w:pPr>
        <w:spacing w:line="540" w:lineRule="exact"/>
        <w:ind w:firstLine="648"/>
        <w:rPr>
          <w:rFonts w:hint="eastAsia" w:ascii="黑体" w:hAnsi="黑体" w:eastAsia="黑体"/>
          <w:b/>
          <w:color w:val="auto"/>
          <w:sz w:val="32"/>
          <w:szCs w:val="32"/>
        </w:rPr>
      </w:pPr>
      <w:r>
        <w:rPr>
          <w:rFonts w:hint="eastAsia" w:ascii="黑体" w:hAnsi="黑体" w:eastAsia="黑体"/>
          <w:b/>
          <w:color w:val="auto"/>
          <w:sz w:val="32"/>
          <w:szCs w:val="32"/>
        </w:rPr>
        <w:t>五、政府信息公开工作机构和人员情况</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黑里寨镇党政办公室作为全黑里寨镇人民政府信息公开工作具体科室，统筹负责黑里寨镇政府信息公开组织协调、指导推进、监督检查等工作，其中</w:t>
      </w:r>
      <w:r>
        <w:rPr>
          <w:rFonts w:hint="eastAsia" w:ascii="方正仿宋简体" w:hAnsi="方正仿宋简体" w:eastAsia="方正仿宋简体" w:cs="方正仿宋简体"/>
          <w:b w:val="0"/>
          <w:bCs/>
          <w:color w:val="auto"/>
          <w:sz w:val="32"/>
          <w:szCs w:val="32"/>
          <w:lang w:val="en-US" w:eastAsia="zh-CN"/>
        </w:rPr>
        <w:t>2</w:t>
      </w:r>
      <w:r>
        <w:rPr>
          <w:rFonts w:hint="eastAsia" w:ascii="方正仿宋简体" w:hAnsi="方正仿宋简体" w:eastAsia="方正仿宋简体" w:cs="方正仿宋简体"/>
          <w:b w:val="0"/>
          <w:bCs/>
          <w:color w:val="auto"/>
          <w:sz w:val="32"/>
          <w:szCs w:val="32"/>
        </w:rPr>
        <w:t>人负责政务公开工作，其中1人专职，</w:t>
      </w:r>
      <w:r>
        <w:rPr>
          <w:rFonts w:hint="eastAsia" w:ascii="方正仿宋简体" w:hAnsi="方正仿宋简体" w:eastAsia="方正仿宋简体" w:cs="方正仿宋简体"/>
          <w:b w:val="0"/>
          <w:bCs/>
          <w:color w:val="auto"/>
          <w:sz w:val="32"/>
          <w:szCs w:val="32"/>
          <w:lang w:val="en-US" w:eastAsia="zh-CN"/>
        </w:rPr>
        <w:t>1</w:t>
      </w:r>
      <w:r>
        <w:rPr>
          <w:rFonts w:hint="eastAsia" w:ascii="方正仿宋简体" w:hAnsi="方正仿宋简体" w:eastAsia="方正仿宋简体" w:cs="方正仿宋简体"/>
          <w:b w:val="0"/>
          <w:bCs/>
          <w:color w:val="auto"/>
          <w:sz w:val="32"/>
          <w:szCs w:val="32"/>
        </w:rPr>
        <w:t>人兼职。</w:t>
      </w:r>
    </w:p>
    <w:p>
      <w:pPr>
        <w:spacing w:line="540" w:lineRule="exact"/>
        <w:rPr>
          <w:rFonts w:hint="eastAsia" w:ascii="黑体" w:hAnsi="黑体" w:eastAsia="黑体"/>
          <w:b/>
          <w:color w:val="auto"/>
          <w:sz w:val="32"/>
          <w:szCs w:val="32"/>
        </w:rPr>
      </w:pPr>
    </w:p>
    <w:p>
      <w:pPr>
        <w:spacing w:line="540" w:lineRule="exact"/>
        <w:ind w:firstLine="648"/>
        <w:rPr>
          <w:rFonts w:hint="eastAsia" w:ascii="黑体" w:hAnsi="黑体" w:eastAsia="黑体"/>
          <w:b/>
          <w:color w:val="auto"/>
          <w:sz w:val="32"/>
          <w:szCs w:val="32"/>
        </w:rPr>
      </w:pPr>
      <w:r>
        <w:rPr>
          <w:rFonts w:hint="eastAsia" w:ascii="黑体" w:hAnsi="黑体" w:eastAsia="黑体"/>
          <w:b/>
          <w:color w:val="auto"/>
          <w:sz w:val="32"/>
          <w:szCs w:val="32"/>
        </w:rPr>
        <w:t>六、政府信息公开工作存在的主要问题及改进措施</w:t>
      </w:r>
    </w:p>
    <w:p>
      <w:pPr>
        <w:spacing w:line="540" w:lineRule="exact"/>
        <w:ind w:firstLine="648"/>
        <w:rPr>
          <w:rFonts w:hint="eastAsia" w:ascii="黑体" w:hAnsi="黑体" w:eastAsia="黑体"/>
          <w:b/>
          <w:color w:val="auto"/>
          <w:sz w:val="32"/>
          <w:szCs w:val="32"/>
        </w:rPr>
      </w:pPr>
      <w:r>
        <w:rPr>
          <w:rFonts w:hint="eastAsia" w:ascii="黑体" w:hAnsi="黑体" w:eastAsia="黑体"/>
          <w:b/>
          <w:color w:val="auto"/>
          <w:sz w:val="32"/>
          <w:szCs w:val="32"/>
        </w:rPr>
        <w:t>（一）存在问题</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201</w:t>
      </w:r>
      <w:r>
        <w:rPr>
          <w:rFonts w:hint="eastAsia" w:ascii="方正仿宋简体" w:hAnsi="方正仿宋简体" w:eastAsia="方正仿宋简体" w:cs="方正仿宋简体"/>
          <w:b w:val="0"/>
          <w:bCs/>
          <w:color w:val="auto"/>
          <w:sz w:val="32"/>
          <w:szCs w:val="32"/>
          <w:lang w:val="en-US" w:eastAsia="zh-CN"/>
        </w:rPr>
        <w:t>6</w:t>
      </w:r>
      <w:r>
        <w:rPr>
          <w:rFonts w:hint="eastAsia" w:ascii="方正仿宋简体" w:hAnsi="方正仿宋简体" w:eastAsia="方正仿宋简体" w:cs="方正仿宋简体"/>
          <w:b w:val="0"/>
          <w:bCs/>
          <w:color w:val="auto"/>
          <w:sz w:val="32"/>
          <w:szCs w:val="32"/>
        </w:rPr>
        <w:t>年，我镇政务信息公开工作取得了一定的进展，但同时也存在工作认识有待进一步加强、工作力度有待进一步加大、公开内容有待进一步规范等问题和不足。主要表现在以下两个方面：</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一是少数委办站所对贯彻实施《条例》重要性的认识不深、重视不够，领导机构和工作专班没有切实履行职责，工作进展较为缓慢。</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二是由于对《条例》的学习不够、理解不深，部分委办站所工作人员对哪些信息应该主动公开、哪些可依申请公开、哪些依法不能公开把握不准，对本镇生成的政府信息未进行科学分类，工作较为被动，应主动公开政府信息公开不全，更新不及时，没有在《条例》规定的时限内公开应当公开的政府信息。</w:t>
      </w:r>
    </w:p>
    <w:p>
      <w:pPr>
        <w:spacing w:line="540" w:lineRule="exact"/>
        <w:ind w:firstLine="643" w:firstLineChars="200"/>
        <w:rPr>
          <w:rFonts w:hint="eastAsia" w:ascii="黑体" w:hAnsi="黑体" w:eastAsia="黑体"/>
          <w:b/>
          <w:color w:val="auto"/>
          <w:sz w:val="32"/>
          <w:szCs w:val="32"/>
        </w:rPr>
      </w:pPr>
      <w:r>
        <w:rPr>
          <w:rFonts w:hint="eastAsia" w:ascii="黑体" w:hAnsi="黑体" w:eastAsia="黑体"/>
          <w:b/>
          <w:color w:val="auto"/>
          <w:sz w:val="32"/>
          <w:szCs w:val="32"/>
        </w:rPr>
        <w:t>（二）整改措施</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一是加强监督和督办。继续组织专门人员查找政府信息公开的薄弱环节，以行政审批和行政执法的程序和结果为重点，督促不断拓展政府信息公开的深度和广度，不断提高政府工作的透明度，发挥政府信息对人民群众生产、生活和经济社会活动的服务作用。</w:t>
      </w:r>
    </w:p>
    <w:p>
      <w:pPr>
        <w:spacing w:line="540" w:lineRule="exact"/>
        <w:ind w:firstLine="648"/>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二是自觉接受社会监督。把政府信息公开工作纳入社会评议政风、行风的范围，让人民群众对政府信息公开情况进行评议，并根据评议结果完善制度、改进工作；主动接受社会监督，实现行政机关工作的透明、公开、廉洁、高效。</w:t>
      </w:r>
    </w:p>
    <w:p>
      <w:pPr>
        <w:spacing w:line="540" w:lineRule="exact"/>
        <w:ind w:firstLine="648"/>
        <w:rPr>
          <w:rFonts w:hint="eastAsia" w:ascii="方正仿宋简体" w:hAnsi="方正仿宋简体" w:eastAsia="方正仿宋简体" w:cs="方正仿宋简体"/>
          <w:b/>
          <w:color w:val="auto"/>
          <w:sz w:val="32"/>
          <w:szCs w:val="32"/>
        </w:rPr>
      </w:pPr>
    </w:p>
    <w:p>
      <w:pPr>
        <w:spacing w:line="540" w:lineRule="exact"/>
        <w:rPr>
          <w:rFonts w:hint="eastAsia" w:ascii="方正仿宋简体" w:hAnsi="方正仿宋简体" w:eastAsia="方正仿宋简体" w:cs="方正仿宋简体"/>
          <w:color w:val="auto"/>
          <w:sz w:val="32"/>
          <w:szCs w:val="32"/>
        </w:rPr>
      </w:pPr>
    </w:p>
    <w:p>
      <w:pPr>
        <w:spacing w:line="540" w:lineRule="exact"/>
        <w:ind w:firstLine="640" w:firstLineChars="200"/>
        <w:rPr>
          <w:rFonts w:hint="eastAsia" w:ascii="方正仿宋简体" w:hAnsi="方正仿宋简体" w:eastAsia="方正仿宋简体" w:cs="方正仿宋简体"/>
          <w:color w:val="auto"/>
          <w:sz w:val="32"/>
          <w:szCs w:val="32"/>
        </w:rPr>
      </w:pPr>
    </w:p>
    <w:p>
      <w:pPr>
        <w:spacing w:line="54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附：201</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年度政府信息公开工作情况统计表</w:t>
      </w:r>
    </w:p>
    <w:p>
      <w:pPr>
        <w:spacing w:line="540" w:lineRule="exact"/>
        <w:ind w:firstLine="640" w:firstLineChars="200"/>
        <w:rPr>
          <w:rFonts w:ascii="仿宋_GB2312" w:hAnsi="Times New Roman" w:eastAsia="仿宋_GB2312"/>
          <w:color w:val="auto"/>
          <w:kern w:val="0"/>
          <w:sz w:val="32"/>
          <w:szCs w:val="32"/>
        </w:rPr>
      </w:pPr>
    </w:p>
    <w:p>
      <w:pPr>
        <w:spacing w:line="540" w:lineRule="exact"/>
        <w:ind w:firstLine="640" w:firstLineChars="200"/>
        <w:rPr>
          <w:rFonts w:ascii="仿宋_GB2312" w:hAnsi="Times New Roman" w:eastAsia="仿宋_GB2312"/>
          <w:color w:val="auto"/>
          <w:kern w:val="0"/>
          <w:sz w:val="32"/>
          <w:szCs w:val="32"/>
        </w:rPr>
      </w:pPr>
    </w:p>
    <w:p>
      <w:pPr>
        <w:spacing w:line="540" w:lineRule="exact"/>
        <w:ind w:firstLine="640" w:firstLineChars="200"/>
        <w:jc w:val="right"/>
        <w:rPr>
          <w:rFonts w:hint="eastAsia" w:ascii="仿宋_GB2312" w:hAnsi="Times New Roman" w:eastAsia="仿宋_GB2312"/>
          <w:color w:val="auto"/>
          <w:kern w:val="0"/>
          <w:sz w:val="32"/>
          <w:szCs w:val="32"/>
          <w:lang w:eastAsia="zh-CN"/>
        </w:rPr>
      </w:pPr>
      <w:r>
        <w:rPr>
          <w:rFonts w:hint="eastAsia" w:ascii="仿宋_GB2312" w:hAnsi="Times New Roman" w:eastAsia="仿宋_GB2312"/>
          <w:color w:val="auto"/>
          <w:kern w:val="0"/>
          <w:sz w:val="32"/>
          <w:szCs w:val="32"/>
          <w:lang w:eastAsia="zh-CN"/>
        </w:rPr>
        <w:t>黑里寨镇人民政府</w:t>
      </w:r>
    </w:p>
    <w:p>
      <w:pPr>
        <w:spacing w:line="540" w:lineRule="exact"/>
        <w:ind w:firstLine="640" w:firstLineChars="200"/>
        <w:jc w:val="right"/>
        <w:rPr>
          <w:rFonts w:hint="eastAsia" w:ascii="仿宋_GB2312" w:hAnsi="Times New Roman" w:eastAsia="仿宋_GB2312"/>
          <w:color w:val="auto"/>
          <w:kern w:val="0"/>
          <w:sz w:val="32"/>
          <w:szCs w:val="32"/>
        </w:rPr>
      </w:pPr>
      <w:r>
        <w:rPr>
          <w:rFonts w:hint="eastAsia" w:ascii="仿宋_GB2312" w:hAnsi="Times New Roman" w:eastAsia="仿宋_GB2312"/>
          <w:color w:val="auto"/>
          <w:kern w:val="0"/>
          <w:sz w:val="32"/>
          <w:szCs w:val="32"/>
        </w:rPr>
        <w:t>201</w:t>
      </w:r>
      <w:r>
        <w:rPr>
          <w:rFonts w:hint="eastAsia" w:ascii="仿宋_GB2312" w:hAnsi="Times New Roman" w:eastAsia="仿宋_GB2312"/>
          <w:color w:val="auto"/>
          <w:kern w:val="0"/>
          <w:sz w:val="32"/>
          <w:szCs w:val="32"/>
          <w:lang w:val="en-US" w:eastAsia="zh-CN"/>
        </w:rPr>
        <w:t>7</w:t>
      </w:r>
      <w:r>
        <w:rPr>
          <w:rFonts w:hint="eastAsia" w:ascii="仿宋_GB2312" w:hAnsi="Times New Roman" w:eastAsia="仿宋_GB2312"/>
          <w:color w:val="auto"/>
          <w:kern w:val="0"/>
          <w:sz w:val="32"/>
          <w:szCs w:val="32"/>
        </w:rPr>
        <w:t>年</w:t>
      </w:r>
      <w:r>
        <w:rPr>
          <w:rFonts w:hint="eastAsia" w:ascii="仿宋_GB2312" w:hAnsi="Times New Roman" w:eastAsia="仿宋_GB2312"/>
          <w:color w:val="auto"/>
          <w:kern w:val="0"/>
          <w:sz w:val="32"/>
          <w:szCs w:val="32"/>
          <w:lang w:val="en-US" w:eastAsia="zh-CN"/>
        </w:rPr>
        <w:t>3</w:t>
      </w:r>
      <w:r>
        <w:rPr>
          <w:rFonts w:hint="eastAsia" w:ascii="仿宋_GB2312" w:hAnsi="Times New Roman" w:eastAsia="仿宋_GB2312"/>
          <w:color w:val="auto"/>
          <w:kern w:val="0"/>
          <w:sz w:val="32"/>
          <w:szCs w:val="32"/>
        </w:rPr>
        <w:t>月</w:t>
      </w:r>
      <w:r>
        <w:rPr>
          <w:rFonts w:hint="eastAsia" w:ascii="仿宋_GB2312" w:hAnsi="Times New Roman" w:eastAsia="仿宋_GB2312"/>
          <w:color w:val="auto"/>
          <w:kern w:val="0"/>
          <w:sz w:val="32"/>
          <w:szCs w:val="32"/>
          <w:lang w:val="en-US" w:eastAsia="zh-CN"/>
        </w:rPr>
        <w:t>27</w:t>
      </w:r>
      <w:r>
        <w:rPr>
          <w:rFonts w:hint="eastAsia" w:ascii="仿宋_GB2312" w:hAnsi="Times New Roman" w:eastAsia="仿宋_GB2312"/>
          <w:color w:val="auto"/>
          <w:kern w:val="0"/>
          <w:sz w:val="32"/>
          <w:szCs w:val="32"/>
        </w:rPr>
        <w:t>日</w:t>
      </w:r>
    </w:p>
    <w:p>
      <w:pPr>
        <w:spacing w:line="540" w:lineRule="exact"/>
        <w:ind w:firstLine="640" w:firstLineChars="200"/>
        <w:jc w:val="right"/>
        <w:rPr>
          <w:rFonts w:hint="eastAsia" w:ascii="仿宋_GB2312" w:hAnsi="Times New Roman" w:eastAsia="仿宋_GB2312"/>
          <w:color w:val="auto"/>
          <w:kern w:val="0"/>
          <w:sz w:val="32"/>
          <w:szCs w:val="32"/>
        </w:rPr>
      </w:pPr>
    </w:p>
    <w:p>
      <w:pPr>
        <w:spacing w:line="540" w:lineRule="exact"/>
        <w:jc w:val="both"/>
        <w:rPr>
          <w:rFonts w:hint="eastAsia" w:ascii="仿宋_GB2312" w:hAnsi="Times New Roman" w:eastAsia="仿宋_GB2312"/>
          <w:color w:val="auto"/>
          <w:kern w:val="0"/>
          <w:sz w:val="32"/>
          <w:szCs w:val="32"/>
        </w:rPr>
      </w:pPr>
    </w:p>
    <w:p>
      <w:pPr>
        <w:spacing w:line="540" w:lineRule="exact"/>
        <w:jc w:val="both"/>
        <w:rPr>
          <w:rFonts w:hint="eastAsia" w:ascii="仿宋_GB2312" w:hAnsi="Times New Roman" w:eastAsia="仿宋_GB2312"/>
          <w:color w:val="auto"/>
          <w:kern w:val="0"/>
          <w:sz w:val="32"/>
          <w:szCs w:val="32"/>
        </w:rPr>
      </w:pPr>
    </w:p>
    <w:p>
      <w:pPr>
        <w:spacing w:line="540" w:lineRule="exact"/>
        <w:jc w:val="both"/>
        <w:rPr>
          <w:rFonts w:hint="eastAsia" w:ascii="仿宋_GB2312" w:hAnsi="Times New Roman" w:eastAsia="仿宋_GB2312"/>
          <w:color w:val="auto"/>
          <w:kern w:val="0"/>
          <w:sz w:val="32"/>
          <w:szCs w:val="32"/>
        </w:rPr>
      </w:pPr>
    </w:p>
    <w:p>
      <w:pPr>
        <w:spacing w:line="540" w:lineRule="exact"/>
        <w:jc w:val="both"/>
        <w:rPr>
          <w:rFonts w:hint="eastAsia" w:ascii="仿宋_GB2312" w:hAnsi="Times New Roman" w:eastAsia="仿宋_GB2312"/>
          <w:color w:val="auto"/>
          <w:kern w:val="0"/>
          <w:sz w:val="32"/>
          <w:szCs w:val="32"/>
        </w:rPr>
      </w:pPr>
    </w:p>
    <w:p>
      <w:pPr>
        <w:spacing w:line="540" w:lineRule="exact"/>
        <w:jc w:val="both"/>
        <w:rPr>
          <w:rFonts w:hint="eastAsia" w:ascii="仿宋_GB2312" w:hAnsi="Times New Roman" w:eastAsia="仿宋_GB2312"/>
          <w:color w:val="auto"/>
          <w:kern w:val="0"/>
          <w:sz w:val="32"/>
          <w:szCs w:val="32"/>
        </w:rPr>
      </w:pPr>
    </w:p>
    <w:p>
      <w:pPr>
        <w:spacing w:line="540" w:lineRule="exact"/>
        <w:jc w:val="both"/>
        <w:rPr>
          <w:rFonts w:hint="eastAsia" w:ascii="仿宋_GB2312" w:hAnsi="Times New Roman" w:eastAsia="仿宋_GB2312"/>
          <w:color w:val="auto"/>
          <w:kern w:val="0"/>
          <w:sz w:val="32"/>
          <w:szCs w:val="32"/>
        </w:rPr>
      </w:pPr>
    </w:p>
    <w:p>
      <w:pPr>
        <w:spacing w:line="540" w:lineRule="exact"/>
        <w:jc w:val="both"/>
        <w:rPr>
          <w:rFonts w:hint="eastAsia" w:ascii="仿宋_GB2312" w:hAnsi="Times New Roman" w:eastAsia="仿宋_GB2312"/>
          <w:color w:val="auto"/>
          <w:kern w:val="0"/>
          <w:sz w:val="32"/>
          <w:szCs w:val="32"/>
        </w:rPr>
      </w:pPr>
    </w:p>
    <w:p>
      <w:pPr>
        <w:spacing w:line="540" w:lineRule="exact"/>
        <w:jc w:val="both"/>
        <w:rPr>
          <w:rFonts w:hint="eastAsia" w:ascii="仿宋_GB2312" w:hAnsi="Times New Roman" w:eastAsia="仿宋_GB2312"/>
          <w:color w:val="auto"/>
          <w:kern w:val="0"/>
          <w:sz w:val="32"/>
          <w:szCs w:val="32"/>
        </w:rPr>
      </w:pPr>
    </w:p>
    <w:p>
      <w:pPr>
        <w:spacing w:line="540" w:lineRule="exact"/>
        <w:jc w:val="both"/>
        <w:rPr>
          <w:rFonts w:hint="eastAsia" w:ascii="仿宋_GB2312" w:hAnsi="Times New Roman" w:eastAsia="仿宋_GB2312"/>
          <w:color w:val="auto"/>
          <w:kern w:val="0"/>
          <w:sz w:val="32"/>
          <w:szCs w:val="32"/>
        </w:rPr>
      </w:pPr>
    </w:p>
    <w:p>
      <w:pPr>
        <w:spacing w:line="540" w:lineRule="exact"/>
        <w:jc w:val="both"/>
        <w:rPr>
          <w:rFonts w:hint="eastAsia" w:ascii="仿宋_GB2312" w:hAnsi="Times New Roman" w:eastAsia="仿宋_GB2312"/>
          <w:color w:val="auto"/>
          <w:kern w:val="0"/>
          <w:sz w:val="32"/>
          <w:szCs w:val="32"/>
        </w:rPr>
      </w:pPr>
    </w:p>
    <w:p>
      <w:pPr>
        <w:spacing w:line="540" w:lineRule="exact"/>
        <w:jc w:val="both"/>
        <w:rPr>
          <w:rFonts w:hint="eastAsia" w:ascii="仿宋_GB2312" w:hAnsi="Times New Roman" w:eastAsia="仿宋_GB2312"/>
          <w:color w:val="auto"/>
          <w:kern w:val="0"/>
          <w:sz w:val="32"/>
          <w:szCs w:val="32"/>
        </w:rPr>
      </w:pPr>
    </w:p>
    <w:p>
      <w:pPr>
        <w:spacing w:line="540" w:lineRule="exact"/>
        <w:jc w:val="both"/>
        <w:rPr>
          <w:rFonts w:hint="eastAsia" w:ascii="仿宋_GB2312" w:hAnsi="Times New Roman" w:eastAsia="仿宋_GB2312"/>
          <w:color w:val="auto"/>
          <w:kern w:val="0"/>
          <w:sz w:val="32"/>
          <w:szCs w:val="32"/>
        </w:rPr>
      </w:pPr>
    </w:p>
    <w:p>
      <w:pPr>
        <w:spacing w:line="540" w:lineRule="exact"/>
        <w:jc w:val="both"/>
        <w:rPr>
          <w:rFonts w:hint="eastAsia" w:ascii="仿宋_GB2312" w:hAnsi="Times New Roman" w:eastAsia="仿宋_GB2312"/>
          <w:color w:val="auto"/>
          <w:kern w:val="0"/>
          <w:sz w:val="32"/>
          <w:szCs w:val="32"/>
        </w:rPr>
      </w:pPr>
    </w:p>
    <w:p>
      <w:pPr>
        <w:rPr>
          <w:rFonts w:hint="eastAsia" w:ascii="黑体" w:hAnsi="宋体" w:eastAsia="黑体"/>
          <w:color w:val="auto"/>
          <w:szCs w:val="32"/>
        </w:rPr>
      </w:pPr>
    </w:p>
    <w:p>
      <w:pPr>
        <w:rPr>
          <w:rFonts w:hint="eastAsia" w:ascii="黑体" w:hAnsi="宋体" w:eastAsia="黑体"/>
          <w:color w:val="auto"/>
          <w:szCs w:val="32"/>
        </w:rPr>
      </w:pPr>
      <w:r>
        <w:rPr>
          <w:rFonts w:hint="eastAsia" w:ascii="黑体" w:hAnsi="宋体" w:eastAsia="黑体"/>
          <w:color w:val="auto"/>
          <w:szCs w:val="32"/>
        </w:rPr>
        <w:t>附件1</w:t>
      </w:r>
    </w:p>
    <w:p>
      <w:pPr>
        <w:jc w:val="center"/>
        <w:rPr>
          <w:rFonts w:hint="eastAsia" w:ascii="宋体" w:hAnsi="宋体"/>
          <w:b/>
          <w:color w:val="auto"/>
        </w:rPr>
      </w:pPr>
      <w:r>
        <w:rPr>
          <w:rFonts w:hint="eastAsia" w:ascii="宋体" w:hAnsi="宋体"/>
          <w:b/>
          <w:color w:val="auto"/>
          <w:sz w:val="36"/>
          <w:szCs w:val="36"/>
        </w:rPr>
        <w:t>2017年度政府信息公开工作情况统计表</w:t>
      </w:r>
    </w:p>
    <w:p>
      <w:pPr>
        <w:jc w:val="center"/>
        <w:rPr>
          <w:rFonts w:hint="eastAsia" w:ascii="宋体" w:hAnsi="宋体"/>
          <w:b/>
          <w:color w:val="auto"/>
          <w:sz w:val="28"/>
          <w:szCs w:val="28"/>
        </w:rPr>
      </w:pPr>
      <w:r>
        <w:rPr>
          <w:rFonts w:hint="eastAsia" w:ascii="宋体" w:hAnsi="宋体"/>
          <w:b/>
          <w:color w:val="auto"/>
          <w:sz w:val="28"/>
          <w:szCs w:val="28"/>
        </w:rPr>
        <w:t>（高青县）</w:t>
      </w:r>
    </w:p>
    <w:tbl>
      <w:tblPr>
        <w:tblStyle w:val="6"/>
        <w:tblW w:w="9458"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433"/>
        <w:gridCol w:w="1002"/>
        <w:gridCol w:w="1023"/>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2"/>
              <w:spacing w:before="0" w:beforeAutospacing="0" w:after="0" w:afterAutospacing="0" w:line="420" w:lineRule="atLeast"/>
              <w:ind w:firstLine="685"/>
              <w:jc w:val="center"/>
              <w:rPr>
                <w:rFonts w:hint="eastAsia"/>
                <w:color w:val="auto"/>
              </w:rPr>
            </w:pPr>
            <w:r>
              <w:rPr>
                <w:rStyle w:val="8"/>
                <w:rFonts w:hint="eastAsia"/>
                <w:color w:val="auto"/>
                <w:sz w:val="20"/>
                <w:szCs w:val="20"/>
              </w:rPr>
              <w:t>统　计　指　标</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Style w:val="8"/>
                <w:rFonts w:hint="eastAsia" w:ascii="宋体" w:hAnsi="宋体"/>
                <w:color w:val="auto"/>
                <w:sz w:val="20"/>
                <w:szCs w:val="20"/>
              </w:rPr>
              <w:t>单位</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Style w:val="8"/>
                <w:rFonts w:hint="eastAsia" w:ascii="宋体" w:hAnsi="宋体"/>
                <w:color w:val="auto"/>
                <w:sz w:val="20"/>
                <w:szCs w:val="20"/>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color w:val="auto"/>
                <w:sz w:val="24"/>
              </w:rPr>
            </w:pPr>
            <w:r>
              <w:rPr>
                <w:rFonts w:hint="eastAsia" w:ascii="黑体" w:hAnsi="宋体" w:eastAsia="黑体"/>
                <w:color w:val="auto"/>
                <w:sz w:val="20"/>
                <w:szCs w:val="20"/>
              </w:rPr>
              <w:t>一、主动公开情况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eastAsia" w:ascii="宋体" w:hAnsi="宋体" w:cs="宋体"/>
                <w:color w:val="auto"/>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（一）主动公开政府信息数</w:t>
            </w:r>
            <w:r>
              <w:rPr>
                <w:rFonts w:hint="eastAsia" w:ascii="宋体" w:hAnsi="宋体"/>
                <w:color w:val="auto"/>
                <w:sz w:val="20"/>
                <w:szCs w:val="20"/>
              </w:rPr>
              <w:t>（不同渠道和方式公开相同信息计1条）</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ind w:firstLine="200" w:firstLineChars="100"/>
              <w:rPr>
                <w:rFonts w:hint="default" w:ascii="宋体" w:hAnsi="宋体" w:eastAsia="宋体" w:cs="宋体"/>
                <w:color w:val="auto"/>
                <w:sz w:val="24"/>
                <w:lang w:val="en-US" w:eastAsia="zh-CN"/>
              </w:rPr>
            </w:pPr>
            <w:r>
              <w:rPr>
                <w:rFonts w:hint="eastAsia" w:ascii="宋体" w:hAnsi="宋体"/>
                <w:color w:val="auto"/>
                <w:sz w:val="20"/>
                <w:szCs w:val="20"/>
                <w:lang w:val="en-US" w:eastAsia="zh-CN"/>
              </w:rPr>
              <w:t>10</w:t>
            </w:r>
            <w:bookmarkStart w:id="0" w:name="_GoBack"/>
            <w:bookmarkEnd w:id="0"/>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其中：主动公开规范性文件数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制发规范性文件总数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（二）通过不同渠道和方式公开政府信息的情况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eastAsia" w:ascii="宋体" w:hAnsi="宋体" w:cs="宋体"/>
                <w:color w:val="auto"/>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1.政府公报公开政府信息数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2.政府网站公开政府信息数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10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3.政务微博公开政府信息数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4.政务微信公开政府信息数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5.其他方式公开政府信息数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b/>
                <w:color w:val="auto"/>
                <w:sz w:val="24"/>
              </w:rPr>
            </w:pPr>
            <w:r>
              <w:rPr>
                <w:rFonts w:hint="eastAsia" w:ascii="黑体" w:hAnsi="宋体" w:eastAsia="黑体"/>
                <w:color w:val="auto"/>
                <w:sz w:val="20"/>
                <w:szCs w:val="20"/>
              </w:rPr>
              <w:t>二、回应解读情况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pStyle w:val="12"/>
              <w:spacing w:before="0" w:beforeAutospacing="0" w:after="0" w:afterAutospacing="0" w:line="420" w:lineRule="atLeast"/>
              <w:ind w:firstLine="685"/>
              <w:jc w:val="center"/>
              <w:rPr>
                <w:rFonts w:hint="eastAsia"/>
                <w:color w:val="auto"/>
              </w:rPr>
            </w:pPr>
          </w:p>
        </w:tc>
        <w:tc>
          <w:tcPr>
            <w:tcW w:w="1023" w:type="dxa"/>
            <w:tcBorders>
              <w:top w:val="single" w:color="auto" w:sz="0" w:space="0"/>
              <w:left w:val="single" w:color="auto" w:sz="0" w:space="0"/>
              <w:bottom w:val="single" w:color="auto" w:sz="0" w:space="0"/>
              <w:tr2bl w:val="single" w:color="auto" w:sz="4" w:space="0"/>
            </w:tcBorders>
            <w:shd w:val="clear" w:color="auto" w:fill="FFFFFF"/>
            <w:vAlign w:val="center"/>
          </w:tcPr>
          <w:p>
            <w:pPr>
              <w:rPr>
                <w:color w:val="auto"/>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2"/>
              <w:spacing w:before="0" w:beforeAutospacing="0" w:after="0" w:afterAutospacing="0" w:line="420" w:lineRule="atLeast"/>
              <w:ind w:firstLine="400" w:firstLineChars="200"/>
              <w:rPr>
                <w:color w:val="auto"/>
                <w:highlight w:val="yellow"/>
              </w:rPr>
            </w:pPr>
            <w:r>
              <w:rPr>
                <w:rFonts w:cs="Times New Roman"/>
                <w:color w:val="auto"/>
                <w:kern w:val="2"/>
                <w:sz w:val="20"/>
                <w:szCs w:val="20"/>
              </w:rPr>
              <w:t>（一）回应公众关注热点或重大舆情数</w:t>
            </w:r>
            <w:r>
              <w:rPr>
                <w:rFonts w:hint="eastAsia" w:cs="Times New Roman"/>
                <w:color w:val="auto"/>
                <w:kern w:val="2"/>
                <w:sz w:val="20"/>
                <w:szCs w:val="20"/>
              </w:rPr>
              <w:t>（不同方式回应同一热点或舆情计1次）</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（二）通过不同渠道和方式回应解读的情况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eastAsia" w:ascii="宋体" w:hAnsi="宋体" w:cs="宋体"/>
                <w:color w:val="auto"/>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1.参加或举办新闻发布会总次数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其中：主要负责同志参加新闻发布会次数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2.政府网站在线访谈次数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其中：主要负责同志参加政府网站在线访谈次数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3.政策解读稿件发布数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篇</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4.微博微信回应事件数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ind w:firstLine="200" w:firstLineChars="100"/>
              <w:rPr>
                <w:rFonts w:hint="default" w:ascii="宋体" w:hAnsi="宋体" w:eastAsia="宋体" w:cs="宋体"/>
                <w:color w:val="auto"/>
                <w:sz w:val="24"/>
                <w:lang w:val="en-US" w:eastAsia="zh-CN"/>
              </w:rPr>
            </w:pPr>
            <w:r>
              <w:rPr>
                <w:rFonts w:hint="eastAsia" w:ascii="宋体" w:hAnsi="宋体" w:cs="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5.其他方式回应事件数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color w:val="auto"/>
                <w:sz w:val="24"/>
              </w:rPr>
            </w:pPr>
            <w:r>
              <w:rPr>
                <w:rFonts w:hint="eastAsia" w:ascii="黑体" w:hAnsi="宋体" w:eastAsia="黑体"/>
                <w:color w:val="auto"/>
                <w:sz w:val="20"/>
                <w:szCs w:val="20"/>
              </w:rPr>
              <w:t>三、依申请公开情况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pStyle w:val="12"/>
              <w:spacing w:before="0" w:beforeAutospacing="0" w:after="0" w:afterAutospacing="0" w:line="420" w:lineRule="atLeast"/>
              <w:ind w:firstLine="685"/>
              <w:jc w:val="center"/>
              <w:rPr>
                <w:rFonts w:hint="eastAsia"/>
                <w:color w:val="auto"/>
              </w:rPr>
            </w:pPr>
          </w:p>
        </w:tc>
        <w:tc>
          <w:tcPr>
            <w:tcW w:w="1023" w:type="dxa"/>
            <w:tcBorders>
              <w:top w:val="single" w:color="auto" w:sz="0" w:space="0"/>
              <w:left w:val="single" w:color="auto" w:sz="0" w:space="0"/>
              <w:bottom w:val="single" w:color="auto" w:sz="0" w:space="0"/>
              <w:tr2bl w:val="single" w:color="auto" w:sz="4" w:space="0"/>
            </w:tcBorders>
            <w:shd w:val="clear" w:color="auto" w:fill="FFFFFF"/>
            <w:vAlign w:val="center"/>
          </w:tcPr>
          <w:p>
            <w:pPr>
              <w:rPr>
                <w:color w:val="auto"/>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（一）收到申请数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1.当面申请数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2.传真申请数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3.网络申请数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single" w:color="auto" w:sz="4" w:space="0"/>
              <w:bottom w:val="single" w:color="auto" w:sz="4"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4.信函申请数</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single" w:color="auto" w:sz="4" w:space="0"/>
              <w:bottom w:val="outset" w:color="000000" w:sz="6" w:space="0"/>
              <w:right w:val="outset" w:color="000000" w:sz="6" w:space="0"/>
            </w:tcBorders>
            <w:shd w:val="clear" w:color="auto" w:fill="FFFFFF"/>
            <w:vAlign w:val="center"/>
          </w:tcPr>
          <w:p>
            <w:pPr>
              <w:spacing w:line="420" w:lineRule="atLeast"/>
              <w:rPr>
                <w:rFonts w:hint="eastAsia" w:ascii="宋体" w:hAnsi="宋体"/>
                <w:color w:val="auto"/>
                <w:sz w:val="20"/>
                <w:szCs w:val="20"/>
              </w:rPr>
            </w:pPr>
            <w:r>
              <w:rPr>
                <w:rFonts w:hint="eastAsia" w:ascii="宋体" w:hAnsi="宋体"/>
                <w:color w:val="auto"/>
                <w:sz w:val="20"/>
                <w:szCs w:val="20"/>
              </w:rPr>
              <w:t xml:space="preserve">          5.其他形式</w:t>
            </w:r>
          </w:p>
        </w:tc>
        <w:tc>
          <w:tcPr>
            <w:tcW w:w="1002"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olor w:val="auto"/>
                <w:sz w:val="20"/>
                <w:szCs w:val="20"/>
              </w:rPr>
            </w:pPr>
            <w:r>
              <w:rPr>
                <w:rFonts w:hint="eastAsia" w:ascii="宋体" w:hAnsi="宋体"/>
                <w:color w:val="auto"/>
                <w:sz w:val="20"/>
                <w:szCs w:val="20"/>
              </w:rPr>
              <w:t>件</w:t>
            </w:r>
          </w:p>
        </w:tc>
        <w:tc>
          <w:tcPr>
            <w:tcW w:w="1023"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ind w:firstLine="200" w:firstLineChars="100"/>
              <w:rPr>
                <w:rFonts w:ascii="宋体" w:hAnsi="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（二）申请办结数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1.按时办结数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2.延期办结数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（三）申请答复数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1.属于已主动公开范围数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2.同意公开答复数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3.同意部分公开答复数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4.不同意公开答复数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其中：涉及国家秘密</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涉及商业秘密</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涉及个人隐私</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危及国家安全、公共安全、经济安全和社会稳定</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不是《条例》所指政府信息</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法律法规规定的其他情形</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5.不属于本行政机关公开数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6.申请信息不存在数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7.告知作出更改补充数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8.告知通过其他途径办理数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color w:val="auto"/>
                <w:sz w:val="24"/>
              </w:rPr>
            </w:pPr>
            <w:r>
              <w:rPr>
                <w:rFonts w:hint="eastAsia" w:ascii="黑体" w:hAnsi="宋体" w:eastAsia="黑体"/>
                <w:color w:val="auto"/>
                <w:sz w:val="20"/>
                <w:szCs w:val="20"/>
              </w:rPr>
              <w:t>四、行政复议数量</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（一）维持具体行政行为数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ind w:firstLine="200" w:firstLineChars="100"/>
              <w:rPr>
                <w:rFonts w:hint="eastAsia" w:ascii="宋体" w:hAnsi="宋体" w:eastAsia="宋体"/>
                <w:color w:val="auto"/>
                <w:sz w:val="20"/>
                <w:szCs w:val="20"/>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ind w:firstLine="200" w:firstLineChars="100"/>
              <w:rPr>
                <w:rFonts w:hint="eastAsia" w:ascii="宋体" w:hAnsi="宋体" w:eastAsia="宋体"/>
                <w:color w:val="auto"/>
                <w:sz w:val="20"/>
                <w:szCs w:val="20"/>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color w:val="auto"/>
                <w:sz w:val="24"/>
              </w:rPr>
            </w:pPr>
            <w:r>
              <w:rPr>
                <w:rFonts w:hint="eastAsia" w:ascii="黑体" w:hAnsi="宋体" w:eastAsia="黑体"/>
                <w:color w:val="auto"/>
                <w:sz w:val="20"/>
                <w:szCs w:val="20"/>
              </w:rPr>
              <w:t>五、行政诉讼数量</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（一）维持具体行政行为或者驳回原告诉讼请求数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hint="eastAsia" w:ascii="宋体" w:hAnsi="宋体"/>
                <w:color w:val="auto"/>
                <w:sz w:val="20"/>
                <w:szCs w:val="20"/>
              </w:rPr>
            </w:pPr>
            <w:r>
              <w:rPr>
                <w:rFonts w:hint="eastAsia" w:ascii="黑体" w:hAnsi="宋体" w:eastAsia="黑体"/>
                <w:color w:val="auto"/>
                <w:sz w:val="20"/>
                <w:szCs w:val="20"/>
              </w:rPr>
              <w:t>六、被举报投诉数量</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件</w:t>
            </w:r>
          </w:p>
        </w:tc>
        <w:tc>
          <w:tcPr>
            <w:tcW w:w="102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auto"/>
                <w:sz w:val="20"/>
                <w:szCs w:val="20"/>
              </w:rPr>
            </w:pPr>
            <w:r>
              <w:rPr>
                <w:rFonts w:ascii="宋体" w:hAnsi="宋体"/>
                <w:color w:val="auto"/>
                <w:sz w:val="20"/>
                <w:szCs w:val="20"/>
              </w:rPr>
              <w:t>　　（一）维持具体行政行为数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auto"/>
                <w:sz w:val="20"/>
                <w:szCs w:val="20"/>
              </w:rPr>
            </w:pPr>
            <w:r>
              <w:rPr>
                <w:rFonts w:hint="eastAsia" w:ascii="宋体" w:hAnsi="宋体"/>
                <w:color w:val="auto"/>
                <w:sz w:val="20"/>
                <w:szCs w:val="20"/>
              </w:rPr>
              <w:t>件</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auto"/>
                <w:sz w:val="20"/>
                <w:szCs w:val="20"/>
              </w:rPr>
            </w:pPr>
            <w:r>
              <w:rPr>
                <w:rFonts w:ascii="宋体" w:hAnsi="宋体"/>
                <w:color w:val="auto"/>
                <w:sz w:val="20"/>
                <w:szCs w:val="20"/>
              </w:rPr>
              <w:t>　　（二）被纠错数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auto"/>
                <w:sz w:val="20"/>
                <w:szCs w:val="20"/>
              </w:rPr>
            </w:pPr>
            <w:r>
              <w:rPr>
                <w:rFonts w:hint="eastAsia" w:ascii="宋体" w:hAnsi="宋体"/>
                <w:color w:val="auto"/>
                <w:sz w:val="20"/>
                <w:szCs w:val="20"/>
              </w:rPr>
              <w:t>件</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auto"/>
                <w:sz w:val="20"/>
                <w:szCs w:val="20"/>
              </w:rPr>
            </w:pPr>
            <w:r>
              <w:rPr>
                <w:rFonts w:ascii="宋体" w:hAnsi="宋体"/>
                <w:color w:val="auto"/>
                <w:sz w:val="20"/>
                <w:szCs w:val="20"/>
              </w:rPr>
              <w:t>　　（三）其他情形数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auto"/>
                <w:sz w:val="20"/>
                <w:szCs w:val="20"/>
              </w:rPr>
            </w:pPr>
            <w:r>
              <w:rPr>
                <w:rFonts w:hint="eastAsia" w:ascii="宋体" w:hAnsi="宋体"/>
                <w:color w:val="auto"/>
                <w:sz w:val="20"/>
                <w:szCs w:val="20"/>
              </w:rPr>
              <w:t>件</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hint="eastAsia" w:ascii="黑体" w:hAnsi="宋体" w:eastAsia="黑体"/>
                <w:color w:val="auto"/>
                <w:sz w:val="20"/>
                <w:szCs w:val="20"/>
              </w:rPr>
            </w:pPr>
            <w:r>
              <w:rPr>
                <w:rFonts w:hint="eastAsia" w:ascii="黑体" w:hAnsi="宋体" w:eastAsia="黑体"/>
                <w:color w:val="auto"/>
                <w:sz w:val="20"/>
                <w:szCs w:val="20"/>
              </w:rPr>
              <w:t>七、向图书馆、档案馆等查阅场所报送信息数</w:t>
            </w:r>
          </w:p>
          <w:p>
            <w:pPr>
              <w:spacing w:line="420" w:lineRule="atLeast"/>
              <w:rPr>
                <w:rFonts w:hint="eastAsia" w:ascii="宋体" w:hAnsi="宋体"/>
                <w:color w:val="auto"/>
                <w:sz w:val="20"/>
                <w:szCs w:val="20"/>
              </w:rPr>
            </w:pP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auto"/>
                <w:sz w:val="20"/>
                <w:szCs w:val="20"/>
              </w:rPr>
            </w:pPr>
            <w:r>
              <w:rPr>
                <w:rFonts w:hint="eastAsia" w:ascii="宋体" w:hAnsi="宋体"/>
                <w:color w:val="auto"/>
                <w:sz w:val="20"/>
                <w:szCs w:val="20"/>
              </w:rPr>
              <w:t>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宋体"/>
                <w:color w:val="auto"/>
                <w:sz w:val="20"/>
                <w:szCs w:val="20"/>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hint="eastAsia" w:ascii="宋体" w:hAnsi="宋体"/>
                <w:color w:val="auto"/>
                <w:sz w:val="20"/>
                <w:szCs w:val="20"/>
              </w:rPr>
            </w:pPr>
            <w:r>
              <w:rPr>
                <w:rFonts w:ascii="宋体" w:hAnsi="宋体"/>
                <w:color w:val="auto"/>
                <w:sz w:val="20"/>
                <w:szCs w:val="20"/>
              </w:rPr>
              <w:t>　　（一）</w:t>
            </w:r>
            <w:r>
              <w:rPr>
                <w:rFonts w:hint="eastAsia" w:ascii="宋体" w:hAnsi="宋体"/>
                <w:color w:val="auto"/>
                <w:sz w:val="20"/>
                <w:szCs w:val="20"/>
              </w:rPr>
              <w:t>纸质文件数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auto"/>
                <w:sz w:val="20"/>
                <w:szCs w:val="20"/>
              </w:rPr>
            </w:pPr>
            <w:r>
              <w:rPr>
                <w:rFonts w:hint="eastAsia" w:ascii="宋体" w:hAnsi="宋体"/>
                <w:color w:val="auto"/>
                <w:sz w:val="20"/>
                <w:szCs w:val="20"/>
              </w:rPr>
              <w:t>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宋体"/>
                <w:color w:val="auto"/>
                <w:sz w:val="20"/>
                <w:szCs w:val="20"/>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hint="eastAsia" w:ascii="宋体" w:hAnsi="宋体"/>
                <w:color w:val="auto"/>
                <w:sz w:val="20"/>
                <w:szCs w:val="20"/>
              </w:rPr>
            </w:pPr>
            <w:r>
              <w:rPr>
                <w:rFonts w:ascii="宋体" w:hAnsi="宋体"/>
                <w:color w:val="auto"/>
                <w:sz w:val="20"/>
                <w:szCs w:val="20"/>
              </w:rPr>
              <w:t>　　（二）</w:t>
            </w:r>
            <w:r>
              <w:rPr>
                <w:rFonts w:hint="eastAsia" w:ascii="宋体" w:hAnsi="宋体"/>
                <w:color w:val="auto"/>
                <w:sz w:val="20"/>
                <w:szCs w:val="20"/>
              </w:rPr>
              <w:t>电子文件数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auto"/>
                <w:sz w:val="20"/>
                <w:szCs w:val="20"/>
              </w:rPr>
            </w:pPr>
            <w:r>
              <w:rPr>
                <w:rFonts w:hint="eastAsia" w:ascii="宋体" w:hAnsi="宋体"/>
                <w:color w:val="auto"/>
                <w:sz w:val="20"/>
                <w:szCs w:val="20"/>
              </w:rPr>
              <w:t>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宋体"/>
                <w:color w:val="auto"/>
                <w:sz w:val="20"/>
                <w:szCs w:val="20"/>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auto"/>
                <w:sz w:val="20"/>
                <w:szCs w:val="20"/>
              </w:rPr>
            </w:pPr>
            <w:r>
              <w:rPr>
                <w:rFonts w:hint="eastAsia" w:ascii="黑体" w:hAnsi="宋体" w:eastAsia="黑体"/>
                <w:color w:val="auto"/>
                <w:sz w:val="20"/>
                <w:szCs w:val="20"/>
              </w:rPr>
              <w:t>八、开通政府信息公开网站（或设立门户网站信息公开专栏）数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ascii="黑体" w:hAnsi="宋体" w:eastAsia="黑体"/>
                <w:color w:val="auto"/>
                <w:sz w:val="20"/>
                <w:szCs w:val="20"/>
              </w:rPr>
            </w:pPr>
            <w:r>
              <w:rPr>
                <w:rFonts w:hint="eastAsia" w:ascii="黑体" w:hAnsi="宋体" w:eastAsia="黑体"/>
                <w:color w:val="auto"/>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hint="eastAsia" w:ascii="黑体" w:hAnsi="宋体" w:eastAsia="黑体"/>
                <w:color w:val="auto"/>
                <w:sz w:val="20"/>
                <w:szCs w:val="20"/>
                <w:lang w:eastAsia="zh-CN"/>
              </w:rPr>
            </w:pPr>
            <w:r>
              <w:rPr>
                <w:rFonts w:hint="eastAsia" w:ascii="黑体" w:hAnsi="宋体" w:eastAsia="黑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auto"/>
                <w:sz w:val="20"/>
                <w:szCs w:val="20"/>
              </w:rPr>
            </w:pPr>
            <w:r>
              <w:rPr>
                <w:rFonts w:ascii="宋体" w:hAnsi="宋体"/>
                <w:color w:val="auto"/>
                <w:sz w:val="20"/>
                <w:szCs w:val="20"/>
              </w:rPr>
              <w:t>　　（一）</w:t>
            </w:r>
            <w:r>
              <w:rPr>
                <w:rFonts w:hint="eastAsia" w:ascii="宋体" w:hAnsi="宋体"/>
                <w:color w:val="auto"/>
                <w:sz w:val="20"/>
                <w:szCs w:val="20"/>
              </w:rPr>
              <w:t>区县政府及其部门门户网站</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auto"/>
                <w:sz w:val="20"/>
                <w:szCs w:val="20"/>
              </w:rPr>
            </w:pPr>
            <w:r>
              <w:rPr>
                <w:rFonts w:hint="eastAsia" w:ascii="黑体" w:hAnsi="宋体" w:eastAsia="黑体"/>
                <w:color w:val="auto"/>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黑体" w:hAnsi="宋体" w:eastAsia="黑体"/>
                <w:color w:val="auto"/>
                <w:sz w:val="20"/>
                <w:szCs w:val="20"/>
                <w:lang w:eastAsia="zh-CN"/>
              </w:rPr>
            </w:pPr>
            <w:r>
              <w:rPr>
                <w:rFonts w:hint="eastAsia" w:ascii="黑体" w:hAnsi="宋体" w:eastAsia="黑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color w:val="auto"/>
                <w:sz w:val="20"/>
                <w:szCs w:val="20"/>
              </w:rPr>
            </w:pPr>
            <w:r>
              <w:rPr>
                <w:rFonts w:ascii="宋体" w:hAnsi="宋体"/>
                <w:color w:val="auto"/>
                <w:sz w:val="20"/>
                <w:szCs w:val="20"/>
              </w:rPr>
              <w:t>（</w:t>
            </w:r>
            <w:r>
              <w:rPr>
                <w:rFonts w:hint="eastAsia" w:ascii="宋体" w:hAnsi="宋体"/>
                <w:color w:val="auto"/>
                <w:sz w:val="20"/>
                <w:szCs w:val="20"/>
              </w:rPr>
              <w:t>二</w:t>
            </w:r>
            <w:r>
              <w:rPr>
                <w:rFonts w:ascii="宋体" w:hAnsi="宋体"/>
                <w:color w:val="auto"/>
                <w:sz w:val="20"/>
                <w:szCs w:val="20"/>
              </w:rPr>
              <w:t>）</w:t>
            </w:r>
            <w:r>
              <w:rPr>
                <w:rFonts w:hint="eastAsia" w:ascii="宋体" w:hAnsi="宋体"/>
                <w:color w:val="auto"/>
                <w:sz w:val="20"/>
                <w:szCs w:val="20"/>
              </w:rPr>
              <w:t>乡镇政府（街道办事处）门户网站</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auto"/>
                <w:sz w:val="20"/>
                <w:szCs w:val="20"/>
              </w:rPr>
            </w:pPr>
            <w:r>
              <w:rPr>
                <w:rFonts w:hint="eastAsia" w:ascii="黑体" w:hAnsi="宋体" w:eastAsia="黑体"/>
                <w:color w:val="auto"/>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auto"/>
                <w:sz w:val="20"/>
                <w:szCs w:val="20"/>
              </w:rPr>
            </w:pPr>
            <w:r>
              <w:rPr>
                <w:rFonts w:hint="eastAsia" w:ascii="黑体" w:hAnsi="宋体" w:eastAsia="黑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auto"/>
                <w:sz w:val="20"/>
                <w:szCs w:val="20"/>
              </w:rPr>
            </w:pPr>
            <w:r>
              <w:rPr>
                <w:rFonts w:hint="eastAsia" w:ascii="黑体" w:hAnsi="宋体" w:eastAsia="黑体"/>
                <w:color w:val="auto"/>
                <w:sz w:val="20"/>
                <w:szCs w:val="20"/>
              </w:rPr>
              <w:t>九、政府公报发行量</w:t>
            </w:r>
          </w:p>
        </w:tc>
        <w:tc>
          <w:tcPr>
            <w:tcW w:w="1002" w:type="dxa"/>
            <w:tcBorders>
              <w:top w:val="single" w:color="auto" w:sz="4" w:space="0"/>
              <w:left w:val="outset" w:color="000000" w:sz="6" w:space="0"/>
              <w:bottom w:val="single" w:color="auto" w:sz="4" w:space="0"/>
              <w:right w:val="outset" w:color="000000" w:sz="6" w:space="0"/>
              <w:tr2bl w:val="single" w:color="auto" w:sz="4" w:space="0"/>
            </w:tcBorders>
            <w:shd w:val="clear" w:color="auto" w:fill="FFFFFF"/>
            <w:vAlign w:val="center"/>
          </w:tcPr>
          <w:p>
            <w:pPr>
              <w:spacing w:line="420" w:lineRule="atLeast"/>
              <w:jc w:val="center"/>
              <w:rPr>
                <w:rFonts w:ascii="黑体" w:hAnsi="宋体" w:eastAsia="黑体"/>
                <w:color w:val="auto"/>
                <w:sz w:val="20"/>
                <w:szCs w:val="20"/>
              </w:rPr>
            </w:pPr>
          </w:p>
        </w:tc>
        <w:tc>
          <w:tcPr>
            <w:tcW w:w="1023" w:type="dxa"/>
            <w:tcBorders>
              <w:top w:val="single" w:color="auto" w:sz="4" w:space="0"/>
              <w:left w:val="outset" w:color="000000" w:sz="6" w:space="0"/>
              <w:bottom w:val="single" w:color="auto" w:sz="4" w:space="0"/>
              <w:right w:val="outset" w:color="000000" w:sz="6" w:space="0"/>
              <w:tr2bl w:val="single" w:color="auto" w:sz="4" w:space="0"/>
            </w:tcBorders>
            <w:shd w:val="clear" w:color="auto" w:fill="FFFFFF"/>
            <w:vAlign w:val="center"/>
          </w:tcPr>
          <w:p>
            <w:pPr>
              <w:spacing w:line="420" w:lineRule="atLeast"/>
              <w:ind w:firstLine="1000" w:firstLineChars="500"/>
              <w:rPr>
                <w:rFonts w:ascii="黑体" w:hAnsi="宋体" w:eastAsia="黑体"/>
                <w:color w:val="auto"/>
                <w:sz w:val="20"/>
                <w:szCs w:val="20"/>
              </w:rPr>
            </w:pPr>
            <w:r>
              <w:rPr>
                <w:rFonts w:ascii="黑体" w:hAnsi="宋体" w:eastAsia="黑体"/>
                <w:color w:val="auto"/>
                <w:sz w:val="20"/>
                <w:szCs w:val="20"/>
              </w:rPr>
              <w:t xml:space="preserve">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hint="eastAsia" w:ascii="宋体" w:hAnsi="宋体"/>
                <w:color w:val="auto"/>
                <w:sz w:val="20"/>
                <w:szCs w:val="20"/>
              </w:rPr>
            </w:pPr>
            <w:r>
              <w:rPr>
                <w:rFonts w:ascii="宋体" w:hAnsi="宋体"/>
                <w:color w:val="auto"/>
                <w:sz w:val="20"/>
                <w:szCs w:val="20"/>
              </w:rPr>
              <w:t>（一）</w:t>
            </w:r>
            <w:r>
              <w:rPr>
                <w:rFonts w:hint="eastAsia" w:ascii="宋体" w:hAnsi="宋体"/>
                <w:color w:val="auto"/>
                <w:sz w:val="20"/>
                <w:szCs w:val="20"/>
              </w:rPr>
              <w:t>公报发行期数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黑体" w:hAnsi="宋体" w:eastAsia="黑体"/>
                <w:color w:val="auto"/>
                <w:sz w:val="20"/>
                <w:szCs w:val="20"/>
              </w:rPr>
            </w:pPr>
            <w:r>
              <w:rPr>
                <w:rFonts w:hint="eastAsia" w:ascii="黑体" w:hAnsi="宋体" w:eastAsia="黑体"/>
                <w:color w:val="auto"/>
                <w:sz w:val="20"/>
                <w:szCs w:val="20"/>
              </w:rPr>
              <w:t>期</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jc w:val="left"/>
              <w:rPr>
                <w:rFonts w:ascii="黑体" w:hAnsi="宋体" w:eastAsia="黑体"/>
                <w:color w:val="auto"/>
                <w:sz w:val="20"/>
                <w:szCs w:val="20"/>
              </w:rPr>
            </w:pPr>
            <w:r>
              <w:rPr>
                <w:rFonts w:hint="eastAsia" w:ascii="黑体" w:hAnsi="宋体" w:eastAsia="黑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hint="eastAsia" w:ascii="宋体" w:hAnsi="宋体"/>
                <w:color w:val="auto"/>
                <w:sz w:val="20"/>
                <w:szCs w:val="20"/>
              </w:rPr>
            </w:pPr>
            <w:r>
              <w:rPr>
                <w:rFonts w:hint="eastAsia" w:ascii="宋体" w:hAnsi="宋体"/>
                <w:color w:val="auto"/>
                <w:sz w:val="20"/>
                <w:szCs w:val="20"/>
              </w:rPr>
              <w:t>（二）公报发行总份数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黑体" w:hAnsi="宋体" w:eastAsia="黑体"/>
                <w:color w:val="auto"/>
                <w:sz w:val="20"/>
                <w:szCs w:val="20"/>
              </w:rPr>
            </w:pPr>
            <w:r>
              <w:rPr>
                <w:rFonts w:hint="eastAsia" w:ascii="黑体" w:hAnsi="宋体" w:eastAsia="黑体"/>
                <w:color w:val="auto"/>
                <w:sz w:val="20"/>
                <w:szCs w:val="20"/>
              </w:rPr>
              <w:t>份</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jc w:val="left"/>
              <w:rPr>
                <w:rFonts w:ascii="黑体" w:hAnsi="宋体" w:eastAsia="黑体"/>
                <w:color w:val="auto"/>
                <w:sz w:val="20"/>
                <w:szCs w:val="20"/>
              </w:rPr>
            </w:pPr>
            <w:r>
              <w:rPr>
                <w:rFonts w:hint="eastAsia" w:ascii="黑体" w:hAnsi="宋体" w:eastAsia="黑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auto"/>
                <w:sz w:val="20"/>
                <w:szCs w:val="20"/>
              </w:rPr>
            </w:pPr>
            <w:r>
              <w:rPr>
                <w:rFonts w:hint="eastAsia" w:ascii="黑体" w:hAnsi="宋体" w:eastAsia="黑体"/>
                <w:color w:val="auto"/>
                <w:sz w:val="20"/>
                <w:szCs w:val="20"/>
              </w:rPr>
              <w:t>十、设置政府信息查阅点数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ascii="黑体" w:hAnsi="宋体" w:eastAsia="黑体"/>
                <w:color w:val="auto"/>
                <w:sz w:val="20"/>
                <w:szCs w:val="20"/>
              </w:rPr>
            </w:pPr>
            <w:r>
              <w:rPr>
                <w:rFonts w:hint="eastAsia" w:ascii="黑体" w:hAnsi="宋体" w:eastAsia="黑体"/>
                <w:color w:val="auto"/>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ind w:firstLine="400" w:firstLineChars="200"/>
              <w:rPr>
                <w:rFonts w:hint="eastAsia" w:ascii="黑体" w:hAnsi="宋体" w:eastAsia="黑体"/>
                <w:color w:val="auto"/>
                <w:sz w:val="20"/>
                <w:szCs w:val="20"/>
                <w:lang w:eastAsia="zh-CN"/>
              </w:rPr>
            </w:pPr>
            <w:r>
              <w:rPr>
                <w:rFonts w:hint="eastAsia" w:ascii="黑体" w:hAnsi="宋体" w:eastAsia="黑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color w:val="auto"/>
                <w:sz w:val="20"/>
                <w:szCs w:val="20"/>
              </w:rPr>
            </w:pPr>
            <w:r>
              <w:rPr>
                <w:rFonts w:ascii="宋体" w:hAnsi="宋体"/>
                <w:color w:val="auto"/>
                <w:sz w:val="20"/>
                <w:szCs w:val="20"/>
              </w:rPr>
              <w:t>（一）</w:t>
            </w:r>
            <w:r>
              <w:rPr>
                <w:rFonts w:hint="eastAsia" w:ascii="宋体" w:hAnsi="宋体"/>
                <w:color w:val="auto"/>
                <w:sz w:val="20"/>
                <w:szCs w:val="20"/>
              </w:rPr>
              <w:t>区县政府及其部门</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auto"/>
                <w:sz w:val="20"/>
                <w:szCs w:val="20"/>
              </w:rPr>
            </w:pPr>
            <w:r>
              <w:rPr>
                <w:rFonts w:hint="eastAsia" w:ascii="黑体" w:hAnsi="宋体" w:eastAsia="黑体"/>
                <w:color w:val="auto"/>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hint="eastAsia" w:ascii="黑体" w:hAnsi="宋体" w:eastAsia="黑体"/>
                <w:color w:val="auto"/>
                <w:sz w:val="20"/>
                <w:szCs w:val="20"/>
                <w:lang w:eastAsia="zh-CN"/>
              </w:rPr>
            </w:pPr>
            <w:r>
              <w:rPr>
                <w:rFonts w:hint="eastAsia" w:ascii="黑体" w:hAnsi="宋体" w:eastAsia="黑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color w:val="auto"/>
                <w:sz w:val="20"/>
                <w:szCs w:val="20"/>
              </w:rPr>
            </w:pPr>
            <w:r>
              <w:rPr>
                <w:rFonts w:ascii="宋体" w:hAnsi="宋体"/>
                <w:color w:val="auto"/>
                <w:sz w:val="20"/>
                <w:szCs w:val="20"/>
              </w:rPr>
              <w:t>（</w:t>
            </w:r>
            <w:r>
              <w:rPr>
                <w:rFonts w:hint="eastAsia" w:ascii="宋体" w:hAnsi="宋体"/>
                <w:color w:val="auto"/>
                <w:sz w:val="20"/>
                <w:szCs w:val="20"/>
              </w:rPr>
              <w:t>二</w:t>
            </w:r>
            <w:r>
              <w:rPr>
                <w:rFonts w:ascii="宋体" w:hAnsi="宋体"/>
                <w:color w:val="auto"/>
                <w:sz w:val="20"/>
                <w:szCs w:val="20"/>
              </w:rPr>
              <w:t>）</w:t>
            </w:r>
            <w:r>
              <w:rPr>
                <w:rFonts w:hint="eastAsia" w:ascii="宋体" w:hAnsi="宋体"/>
                <w:color w:val="auto"/>
                <w:sz w:val="20"/>
                <w:szCs w:val="20"/>
              </w:rPr>
              <w:t>乡镇政府（街道办事处）</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auto"/>
                <w:sz w:val="20"/>
                <w:szCs w:val="20"/>
              </w:rPr>
            </w:pPr>
            <w:r>
              <w:rPr>
                <w:rFonts w:hint="eastAsia" w:ascii="黑体" w:hAnsi="宋体" w:eastAsia="黑体"/>
                <w:color w:val="auto"/>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黑体" w:hAnsi="宋体" w:eastAsia="黑体"/>
                <w:color w:val="auto"/>
                <w:sz w:val="20"/>
                <w:szCs w:val="20"/>
              </w:rPr>
            </w:pPr>
            <w:r>
              <w:rPr>
                <w:rFonts w:hint="eastAsia" w:ascii="黑体" w:hAnsi="宋体" w:eastAsia="黑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auto"/>
                <w:sz w:val="20"/>
                <w:szCs w:val="20"/>
              </w:rPr>
            </w:pPr>
            <w:r>
              <w:rPr>
                <w:rFonts w:hint="eastAsia" w:ascii="黑体" w:hAnsi="宋体" w:eastAsia="黑体"/>
                <w:color w:val="auto"/>
                <w:sz w:val="20"/>
                <w:szCs w:val="20"/>
              </w:rPr>
              <w:t>十一、查阅点接待人数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ascii="黑体" w:hAnsi="宋体" w:eastAsia="黑体"/>
                <w:color w:val="auto"/>
                <w:sz w:val="20"/>
                <w:szCs w:val="20"/>
              </w:rPr>
            </w:pPr>
            <w:r>
              <w:rPr>
                <w:rFonts w:hint="eastAsia" w:ascii="黑体" w:hAnsi="宋体" w:eastAsia="黑体"/>
                <w:color w:val="auto"/>
                <w:sz w:val="20"/>
                <w:szCs w:val="20"/>
              </w:rPr>
              <w:t>人次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ind w:firstLine="400" w:firstLineChars="200"/>
              <w:rPr>
                <w:rFonts w:ascii="黑体" w:hAnsi="宋体" w:eastAsia="黑体"/>
                <w:color w:val="auto"/>
                <w:sz w:val="20"/>
                <w:szCs w:val="20"/>
              </w:rPr>
            </w:pPr>
            <w:r>
              <w:rPr>
                <w:rFonts w:hint="eastAsia" w:ascii="黑体" w:hAnsi="宋体" w:eastAsia="黑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color w:val="auto"/>
                <w:sz w:val="20"/>
                <w:szCs w:val="20"/>
              </w:rPr>
            </w:pPr>
            <w:r>
              <w:rPr>
                <w:rFonts w:ascii="宋体" w:hAnsi="宋体"/>
                <w:color w:val="auto"/>
                <w:sz w:val="20"/>
                <w:szCs w:val="20"/>
              </w:rPr>
              <w:t>（一）</w:t>
            </w:r>
            <w:r>
              <w:rPr>
                <w:rFonts w:hint="eastAsia" w:ascii="宋体" w:hAnsi="宋体"/>
                <w:color w:val="auto"/>
                <w:sz w:val="20"/>
                <w:szCs w:val="20"/>
              </w:rPr>
              <w:t>区县政府及其部门</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auto"/>
                <w:sz w:val="20"/>
                <w:szCs w:val="20"/>
              </w:rPr>
            </w:pPr>
            <w:r>
              <w:rPr>
                <w:rFonts w:hint="eastAsia" w:ascii="黑体" w:hAnsi="宋体" w:eastAsia="黑体"/>
                <w:color w:val="auto"/>
                <w:sz w:val="20"/>
                <w:szCs w:val="20"/>
              </w:rPr>
              <w:t>人次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ind w:firstLine="400" w:firstLineChars="200"/>
              <w:rPr>
                <w:rFonts w:ascii="黑体" w:hAnsi="宋体" w:eastAsia="黑体"/>
                <w:color w:val="auto"/>
                <w:sz w:val="20"/>
                <w:szCs w:val="20"/>
              </w:rPr>
            </w:pPr>
            <w:r>
              <w:rPr>
                <w:rFonts w:hint="eastAsia" w:ascii="黑体" w:hAnsi="宋体" w:eastAsia="黑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right w:val="outset" w:color="000000" w:sz="6" w:space="0"/>
            </w:tcBorders>
            <w:shd w:val="clear" w:color="auto" w:fill="FFFFFF"/>
            <w:vAlign w:val="center"/>
          </w:tcPr>
          <w:p>
            <w:pPr>
              <w:spacing w:line="420" w:lineRule="atLeast"/>
              <w:ind w:firstLine="400" w:firstLineChars="200"/>
              <w:rPr>
                <w:rFonts w:ascii="宋体" w:hAnsi="宋体"/>
                <w:color w:val="auto"/>
                <w:sz w:val="20"/>
                <w:szCs w:val="20"/>
              </w:rPr>
            </w:pPr>
            <w:r>
              <w:rPr>
                <w:rFonts w:ascii="宋体" w:hAnsi="宋体"/>
                <w:color w:val="auto"/>
                <w:sz w:val="20"/>
                <w:szCs w:val="20"/>
              </w:rPr>
              <w:t>（</w:t>
            </w:r>
            <w:r>
              <w:rPr>
                <w:rFonts w:hint="eastAsia" w:ascii="宋体" w:hAnsi="宋体"/>
                <w:color w:val="auto"/>
                <w:sz w:val="20"/>
                <w:szCs w:val="20"/>
              </w:rPr>
              <w:t>二</w:t>
            </w:r>
            <w:r>
              <w:rPr>
                <w:rFonts w:ascii="宋体" w:hAnsi="宋体"/>
                <w:color w:val="auto"/>
                <w:sz w:val="20"/>
                <w:szCs w:val="20"/>
              </w:rPr>
              <w:t>）</w:t>
            </w:r>
            <w:r>
              <w:rPr>
                <w:rFonts w:hint="eastAsia" w:ascii="宋体" w:hAnsi="宋体"/>
                <w:color w:val="auto"/>
                <w:sz w:val="20"/>
                <w:szCs w:val="20"/>
              </w:rPr>
              <w:t>乡镇政府（街道办事处）</w:t>
            </w:r>
          </w:p>
        </w:tc>
        <w:tc>
          <w:tcPr>
            <w:tcW w:w="1002" w:type="dxa"/>
            <w:tcBorders>
              <w:top w:val="single" w:color="auto" w:sz="4" w:space="0"/>
              <w:left w:val="outset" w:color="000000" w:sz="6" w:space="0"/>
              <w:right w:val="outset" w:color="000000" w:sz="6" w:space="0"/>
            </w:tcBorders>
            <w:shd w:val="clear" w:color="auto" w:fill="FFFFFF"/>
            <w:vAlign w:val="center"/>
          </w:tcPr>
          <w:p>
            <w:pPr>
              <w:spacing w:line="420" w:lineRule="atLeast"/>
              <w:jc w:val="center"/>
              <w:rPr>
                <w:rFonts w:ascii="黑体" w:hAnsi="宋体" w:eastAsia="黑体"/>
                <w:color w:val="auto"/>
                <w:sz w:val="20"/>
                <w:szCs w:val="20"/>
              </w:rPr>
            </w:pPr>
            <w:r>
              <w:rPr>
                <w:rFonts w:hint="eastAsia" w:ascii="黑体" w:hAnsi="宋体" w:eastAsia="黑体"/>
                <w:color w:val="auto"/>
                <w:sz w:val="20"/>
                <w:szCs w:val="20"/>
              </w:rPr>
              <w:t>人次</w:t>
            </w:r>
          </w:p>
        </w:tc>
        <w:tc>
          <w:tcPr>
            <w:tcW w:w="1023" w:type="dxa"/>
            <w:tcBorders>
              <w:top w:val="single" w:color="auto" w:sz="4" w:space="0"/>
              <w:left w:val="outset" w:color="000000" w:sz="6" w:space="0"/>
              <w:right w:val="outset" w:color="000000" w:sz="6" w:space="0"/>
            </w:tcBorders>
            <w:shd w:val="clear" w:color="auto" w:fill="FFFFFF"/>
            <w:vAlign w:val="center"/>
          </w:tcPr>
          <w:p>
            <w:pPr>
              <w:widowControl/>
              <w:spacing w:line="420" w:lineRule="atLeast"/>
              <w:ind w:firstLine="400" w:firstLineChars="200"/>
              <w:rPr>
                <w:rFonts w:ascii="黑体" w:hAnsi="宋体" w:eastAsia="黑体"/>
                <w:color w:val="auto"/>
                <w:sz w:val="20"/>
                <w:szCs w:val="20"/>
              </w:rPr>
            </w:pPr>
            <w:r>
              <w:rPr>
                <w:rFonts w:hint="eastAsia" w:ascii="黑体" w:hAnsi="宋体" w:eastAsia="黑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olor w:val="auto"/>
                <w:sz w:val="20"/>
                <w:szCs w:val="20"/>
              </w:rPr>
            </w:pPr>
            <w:r>
              <w:rPr>
                <w:rFonts w:hint="eastAsia" w:ascii="黑体" w:hAnsi="宋体" w:eastAsia="黑体"/>
                <w:color w:val="auto"/>
                <w:sz w:val="20"/>
                <w:szCs w:val="20"/>
              </w:rPr>
              <w:t>十二、机构建设和保障经费情况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eastAsia" w:ascii="宋体" w:hAnsi="宋体" w:cs="宋体"/>
                <w:color w:val="auto"/>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（一）政府信息公开工作专门机构数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个</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二</w:t>
            </w:r>
            <w:r>
              <w:rPr>
                <w:rFonts w:ascii="宋体" w:hAnsi="宋体"/>
                <w:color w:val="auto"/>
                <w:sz w:val="20"/>
                <w:szCs w:val="20"/>
              </w:rPr>
              <w:t>）从事政府信息公开工作人员数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人</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1.专职人员数（不包括政府公报及政府网站工作人员数）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人</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2.兼职人员数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人</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三</w:t>
            </w:r>
            <w:r>
              <w:rPr>
                <w:rFonts w:ascii="宋体" w:hAnsi="宋体"/>
                <w:color w:val="auto"/>
                <w:sz w:val="20"/>
                <w:szCs w:val="20"/>
              </w:rPr>
              <w:t>）政府信息公开专项经费（不包括政府公报编辑管理及政府网站建设</w:t>
            </w:r>
            <w:r>
              <w:rPr>
                <w:rFonts w:hint="eastAsia" w:ascii="宋体" w:hAnsi="宋体"/>
                <w:color w:val="auto"/>
                <w:sz w:val="20"/>
                <w:szCs w:val="20"/>
              </w:rPr>
              <w:t>）</w:t>
            </w:r>
            <w:r>
              <w:rPr>
                <w:rFonts w:ascii="宋体" w:hAnsi="宋体"/>
                <w:color w:val="auto"/>
                <w:sz w:val="20"/>
                <w:szCs w:val="20"/>
              </w:rPr>
              <w:br w:type="textWrapping"/>
            </w:r>
            <w:r>
              <w:rPr>
                <w:rFonts w:ascii="宋体" w:hAnsi="宋体"/>
                <w:color w:val="auto"/>
                <w:sz w:val="20"/>
                <w:szCs w:val="20"/>
              </w:rPr>
              <w:t>　　　　　护等方面的经费）</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万元</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color w:val="auto"/>
                <w:sz w:val="24"/>
              </w:rPr>
            </w:pPr>
            <w:r>
              <w:rPr>
                <w:rFonts w:hint="eastAsia" w:ascii="黑体" w:hAnsi="宋体" w:eastAsia="黑体"/>
                <w:color w:val="auto"/>
                <w:sz w:val="20"/>
                <w:szCs w:val="20"/>
              </w:rPr>
              <w:t>十三、政府信息公开会议和培训情况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eastAsia" w:ascii="宋体" w:hAnsi="宋体" w:cs="宋体"/>
                <w:color w:val="auto"/>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（一）召开政府信息公开工作会议或专题会议数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auto"/>
                <w:sz w:val="24"/>
                <w:lang w:val="en-US" w:eastAsia="zh-CN"/>
              </w:rPr>
            </w:pPr>
            <w:r>
              <w:rPr>
                <w:rFonts w:ascii="宋体" w:hAnsi="宋体"/>
                <w:color w:val="auto"/>
                <w:sz w:val="20"/>
                <w:szCs w:val="20"/>
              </w:rPr>
              <w:t>　</w:t>
            </w: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（二）举办各类培训班数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r>
              <w:rPr>
                <w:rFonts w:hint="eastAsia" w:ascii="宋体" w:hAnsi="宋体"/>
                <w:color w:val="auto"/>
                <w:sz w:val="20"/>
                <w:szCs w:val="20"/>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（三）接受培训人员数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auto"/>
                <w:sz w:val="24"/>
              </w:rPr>
            </w:pPr>
            <w:r>
              <w:rPr>
                <w:rFonts w:hint="eastAsia" w:ascii="宋体" w:hAnsi="宋体"/>
                <w:color w:val="auto"/>
                <w:sz w:val="20"/>
                <w:szCs w:val="20"/>
              </w:rPr>
              <w:t>人次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left"/>
              <w:rPr>
                <w:rFonts w:hint="eastAsia" w:ascii="宋体" w:hAnsi="宋体" w:eastAsia="宋体" w:cs="宋体"/>
                <w:color w:val="auto"/>
                <w:sz w:val="24"/>
                <w:lang w:val="en-US" w:eastAsia="zh-CN"/>
              </w:rPr>
            </w:pPr>
            <w:r>
              <w:rPr>
                <w:rFonts w:ascii="宋体" w:hAnsi="宋体"/>
                <w:color w:val="auto"/>
              </w:rPr>
              <w:t>　</w:t>
            </w:r>
            <w:r>
              <w:rPr>
                <w:rFonts w:hint="eastAsia" w:ascii="宋体" w:hAnsi="宋体"/>
                <w:color w:val="auto"/>
                <w:lang w:val="en-US" w:eastAsia="zh-CN"/>
              </w:rPr>
              <w:t>2</w:t>
            </w:r>
          </w:p>
        </w:tc>
      </w:tr>
    </w:tbl>
    <w:p>
      <w:pPr>
        <w:rPr>
          <w:rFonts w:ascii="黑体" w:hAnsi="宋体" w:eastAsia="黑体"/>
          <w:color w:val="auto"/>
          <w:szCs w:val="32"/>
        </w:rPr>
      </w:pPr>
    </w:p>
    <w:p>
      <w:pPr>
        <w:widowControl/>
        <w:jc w:val="left"/>
        <w:rPr>
          <w:rFonts w:hint="eastAsia" w:ascii="黑体" w:hAnsi="宋体" w:eastAsia="黑体"/>
          <w:color w:val="auto"/>
          <w:szCs w:val="32"/>
        </w:rPr>
      </w:pPr>
    </w:p>
    <w:p>
      <w:pPr>
        <w:widowControl/>
        <w:jc w:val="left"/>
        <w:rPr>
          <w:color w:val="auto"/>
        </w:rPr>
      </w:pPr>
      <w:r>
        <w:rPr>
          <w:color w:val="auto"/>
        </w:rPr>
        <w:t xml:space="preserve"> </w:t>
      </w:r>
    </w:p>
    <w:p>
      <w:pPr>
        <w:spacing w:line="540" w:lineRule="exact"/>
        <w:ind w:right="160" w:firstLine="640" w:firstLineChars="200"/>
        <w:jc w:val="left"/>
        <w:rPr>
          <w:rFonts w:hint="eastAsia" w:ascii="仿宋_GB2312" w:hAnsi="Times New Roman" w:eastAsia="仿宋_GB2312"/>
          <w:color w:val="auto"/>
          <w:kern w:val="0"/>
          <w:sz w:val="32"/>
          <w:szCs w:val="32"/>
        </w:rPr>
      </w:pPr>
    </w:p>
    <w:p>
      <w:pPr>
        <w:spacing w:line="540" w:lineRule="exact"/>
        <w:ind w:right="160" w:firstLine="640" w:firstLineChars="200"/>
        <w:jc w:val="left"/>
        <w:rPr>
          <w:rFonts w:hint="eastAsia" w:ascii="仿宋_GB2312" w:hAnsi="Times New Roman" w:eastAsia="仿宋_GB2312"/>
          <w:color w:val="auto"/>
          <w:kern w:val="0"/>
          <w:sz w:val="32"/>
          <w:szCs w:val="32"/>
        </w:rPr>
      </w:pPr>
    </w:p>
    <w:p>
      <w:pPr>
        <w:spacing w:line="560" w:lineRule="exact"/>
        <w:ind w:firstLine="640" w:firstLineChars="200"/>
        <w:rPr>
          <w:rFonts w:ascii="仿宋_GB2312" w:hAnsi="仿宋_GB2312" w:eastAsia="仿宋_GB2312" w:cs="仿宋_GB2312"/>
          <w:kern w:val="0"/>
          <w:sz w:val="3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5587352"/>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E766CB"/>
    <w:multiLevelType w:val="singleLevel"/>
    <w:tmpl w:val="9FE766CB"/>
    <w:lvl w:ilvl="0" w:tentative="0">
      <w:start w:val="1"/>
      <w:numFmt w:val="chineseCounting"/>
      <w:suff w:val="nothing"/>
      <w:lvlText w:val="%1、"/>
      <w:lvlJc w:val="left"/>
      <w:pPr>
        <w:ind w:left="969"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34"/>
    <w:rsid w:val="00002DCF"/>
    <w:rsid w:val="00030987"/>
    <w:rsid w:val="00034201"/>
    <w:rsid w:val="000364D1"/>
    <w:rsid w:val="00041EE7"/>
    <w:rsid w:val="000511D6"/>
    <w:rsid w:val="000537BF"/>
    <w:rsid w:val="00066860"/>
    <w:rsid w:val="00086543"/>
    <w:rsid w:val="000B692D"/>
    <w:rsid w:val="000C74F7"/>
    <w:rsid w:val="000E594E"/>
    <w:rsid w:val="00123040"/>
    <w:rsid w:val="00132600"/>
    <w:rsid w:val="00152C78"/>
    <w:rsid w:val="00170F9D"/>
    <w:rsid w:val="001752E7"/>
    <w:rsid w:val="001C2E5E"/>
    <w:rsid w:val="001C381E"/>
    <w:rsid w:val="001D133A"/>
    <w:rsid w:val="001D5CB7"/>
    <w:rsid w:val="001E70CB"/>
    <w:rsid w:val="001F0E29"/>
    <w:rsid w:val="00261196"/>
    <w:rsid w:val="002A684D"/>
    <w:rsid w:val="002B47A6"/>
    <w:rsid w:val="00310D8C"/>
    <w:rsid w:val="003300CC"/>
    <w:rsid w:val="00340EAB"/>
    <w:rsid w:val="00345FC5"/>
    <w:rsid w:val="00351598"/>
    <w:rsid w:val="003A2AFB"/>
    <w:rsid w:val="003A5889"/>
    <w:rsid w:val="003F4540"/>
    <w:rsid w:val="00411E34"/>
    <w:rsid w:val="00464031"/>
    <w:rsid w:val="00467873"/>
    <w:rsid w:val="00484FDB"/>
    <w:rsid w:val="004861D4"/>
    <w:rsid w:val="00491265"/>
    <w:rsid w:val="00497273"/>
    <w:rsid w:val="004A1A7E"/>
    <w:rsid w:val="004D62ED"/>
    <w:rsid w:val="004F6D08"/>
    <w:rsid w:val="005053AD"/>
    <w:rsid w:val="0051385C"/>
    <w:rsid w:val="00527D55"/>
    <w:rsid w:val="0053263F"/>
    <w:rsid w:val="00545BA3"/>
    <w:rsid w:val="005A2E0C"/>
    <w:rsid w:val="005C0C10"/>
    <w:rsid w:val="005F1DAF"/>
    <w:rsid w:val="00617C00"/>
    <w:rsid w:val="00633CB2"/>
    <w:rsid w:val="00644565"/>
    <w:rsid w:val="00654E06"/>
    <w:rsid w:val="00666572"/>
    <w:rsid w:val="00694918"/>
    <w:rsid w:val="006B13D9"/>
    <w:rsid w:val="006C7D31"/>
    <w:rsid w:val="006D095C"/>
    <w:rsid w:val="006D667E"/>
    <w:rsid w:val="00706493"/>
    <w:rsid w:val="00716325"/>
    <w:rsid w:val="0074216E"/>
    <w:rsid w:val="007504FC"/>
    <w:rsid w:val="00764FD6"/>
    <w:rsid w:val="007654AB"/>
    <w:rsid w:val="00775FB9"/>
    <w:rsid w:val="00797218"/>
    <w:rsid w:val="007B49E4"/>
    <w:rsid w:val="007C670E"/>
    <w:rsid w:val="007D54D1"/>
    <w:rsid w:val="007E188B"/>
    <w:rsid w:val="007F1012"/>
    <w:rsid w:val="007F58B5"/>
    <w:rsid w:val="008213BF"/>
    <w:rsid w:val="00821EBB"/>
    <w:rsid w:val="00827FFA"/>
    <w:rsid w:val="0083361D"/>
    <w:rsid w:val="0084294E"/>
    <w:rsid w:val="00845967"/>
    <w:rsid w:val="00863627"/>
    <w:rsid w:val="008934F6"/>
    <w:rsid w:val="008A1523"/>
    <w:rsid w:val="008A1FF2"/>
    <w:rsid w:val="008C2DB1"/>
    <w:rsid w:val="008F2FBD"/>
    <w:rsid w:val="00937B03"/>
    <w:rsid w:val="009532C4"/>
    <w:rsid w:val="00956891"/>
    <w:rsid w:val="00965458"/>
    <w:rsid w:val="0099567F"/>
    <w:rsid w:val="009A35C3"/>
    <w:rsid w:val="009B5062"/>
    <w:rsid w:val="009C0440"/>
    <w:rsid w:val="00A4303E"/>
    <w:rsid w:val="00A635B9"/>
    <w:rsid w:val="00A65AE4"/>
    <w:rsid w:val="00A91D59"/>
    <w:rsid w:val="00A96714"/>
    <w:rsid w:val="00AA68D1"/>
    <w:rsid w:val="00AC783F"/>
    <w:rsid w:val="00B02501"/>
    <w:rsid w:val="00B025FB"/>
    <w:rsid w:val="00B1334F"/>
    <w:rsid w:val="00B46E2B"/>
    <w:rsid w:val="00B571E7"/>
    <w:rsid w:val="00B60A0C"/>
    <w:rsid w:val="00B96DB8"/>
    <w:rsid w:val="00BC5174"/>
    <w:rsid w:val="00BE37C6"/>
    <w:rsid w:val="00C178DA"/>
    <w:rsid w:val="00CB1217"/>
    <w:rsid w:val="00CB311F"/>
    <w:rsid w:val="00CF4B6A"/>
    <w:rsid w:val="00CF78F4"/>
    <w:rsid w:val="00CF7B25"/>
    <w:rsid w:val="00D05B04"/>
    <w:rsid w:val="00D23EE1"/>
    <w:rsid w:val="00D40B64"/>
    <w:rsid w:val="00D41385"/>
    <w:rsid w:val="00D43F24"/>
    <w:rsid w:val="00D6099E"/>
    <w:rsid w:val="00D64989"/>
    <w:rsid w:val="00D76BA6"/>
    <w:rsid w:val="00D9678A"/>
    <w:rsid w:val="00DA1C80"/>
    <w:rsid w:val="00DA59CE"/>
    <w:rsid w:val="00DB7B4F"/>
    <w:rsid w:val="00DD0161"/>
    <w:rsid w:val="00DE2878"/>
    <w:rsid w:val="00DF6987"/>
    <w:rsid w:val="00E07267"/>
    <w:rsid w:val="00E17298"/>
    <w:rsid w:val="00E227B7"/>
    <w:rsid w:val="00E303B2"/>
    <w:rsid w:val="00E83C31"/>
    <w:rsid w:val="00F035B6"/>
    <w:rsid w:val="00F27F46"/>
    <w:rsid w:val="00F3037E"/>
    <w:rsid w:val="00F3146D"/>
    <w:rsid w:val="00F42521"/>
    <w:rsid w:val="00F65CD9"/>
    <w:rsid w:val="00F90738"/>
    <w:rsid w:val="00FA45F6"/>
    <w:rsid w:val="00FB60AA"/>
    <w:rsid w:val="00FC5817"/>
    <w:rsid w:val="00FC748E"/>
    <w:rsid w:val="00FF3BAA"/>
    <w:rsid w:val="47652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jc w:val="left"/>
    </w:pPr>
    <w:rPr>
      <w:rFonts w:ascii="Calibri" w:hAnsi="Calibri" w:eastAsia="宋体" w:cs="Times New Roman"/>
      <w:kern w:val="0"/>
      <w:sz w:val="24"/>
    </w:rPr>
  </w:style>
  <w:style w:type="character" w:styleId="8">
    <w:name w:val="Strong"/>
    <w:qFormat/>
    <w:uiPriority w:val="0"/>
    <w:rPr>
      <w:rFonts w:cs="Times New Roman"/>
      <w:b/>
      <w:bCs/>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批注框文本 Char"/>
    <w:basedOn w:val="7"/>
    <w:link w:val="2"/>
    <w:semiHidden/>
    <w:qFormat/>
    <w:uiPriority w:val="99"/>
    <w:rPr>
      <w:sz w:val="18"/>
      <w:szCs w:val="18"/>
    </w:rPr>
  </w:style>
  <w:style w:type="paragraph" w:customStyle="1"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5</Pages>
  <Words>357</Words>
  <Characters>2041</Characters>
  <Lines>17</Lines>
  <Paragraphs>4</Paragraphs>
  <TotalTime>3</TotalTime>
  <ScaleCrop>false</ScaleCrop>
  <LinksUpToDate>false</LinksUpToDate>
  <CharactersWithSpaces>2394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2017-03-22T01:18:00Z</dcterms:created>
  <dc:creator>lb</dc:creator>
  <cp:lastModifiedBy>ForVictorRi</cp:lastModifiedBy>
  <cp:lastPrinted>2017-03-24T01:56:00Z</cp:lastPrinted>
  <dcterms:modified xsi:type="dcterms:W3CDTF">2020-06-26T06:47:59Z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