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</w:rPr>
        <w:t>高青县</w:t>
      </w:r>
      <w:r>
        <w:rPr>
          <w:rFonts w:hint="eastAsia" w:ascii="宋体" w:hAnsi="宋体" w:cs="宋体"/>
          <w:b/>
          <w:color w:val="auto"/>
          <w:sz w:val="44"/>
          <w:szCs w:val="44"/>
          <w:lang w:eastAsia="zh-CN"/>
        </w:rPr>
        <w:t>黑里寨镇</w:t>
      </w:r>
      <w:r>
        <w:rPr>
          <w:rFonts w:hint="eastAsia" w:ascii="宋体" w:hAnsi="宋体" w:cs="宋体"/>
          <w:b/>
          <w:color w:val="auto"/>
          <w:sz w:val="44"/>
          <w:szCs w:val="44"/>
        </w:rPr>
        <w:t>2019年政府信息公开工作年度报告</w:t>
      </w:r>
    </w:p>
    <w:p>
      <w:pPr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本报告按照《中华人民共和国政府信息公开条例》（以下简称《条例》）和《山东省政府信息公开办法》（以下简称《办法》）规定，报告中所列数据统计期限自2019年1月1日始，至2019年12月31日止。报告电子版可在高青县人民政府门户网站（www.gaoqing.gov.cn）查阅和下载。如对报告内容有疑问，请与黑里寨镇人民政府信息公开领导小组办公室联系（地址：高青县黑里寨镇人民政府；邮编：256306；电话：0533- 6765534；传真：0533-6765034；电子邮箱：gqxhlzz@zb.shandong.cn）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  <w:t>一、总体情况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  <w:t>2019年，高青县黑里寨镇继续深入贯彻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紧紧围绕县委、县政府中心工作及群众关注关切，深化重点领域信息公开，完善政务公开制度建设，坚持以公开为常态、不公开为例外，推动行政权力全过程公开、公共服务全流程公开、社会关切全方位回应，切实提高群众满意度、获得感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b/>
          <w:bCs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  <w:t>（一）政府信息公开体制机制建设情况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一是强化部署推动。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黑里寨镇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深化政务公开、大力营造风清气正的政务生态，统一部署，统筹推进；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加强组织领导，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明确由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党委副书记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分管政务公开工作，并向社会公开。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楷体_GB2312" w:hAnsi="Times New Roman" w:eastAsia="楷体_GB2312"/>
          <w:color w:val="auto"/>
          <w:kern w:val="22"/>
          <w:sz w:val="32"/>
          <w:szCs w:val="32"/>
          <w:lang w:eastAsia="zh-CN"/>
        </w:rPr>
      </w:pP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  <w:lang w:eastAsia="zh-CN"/>
        </w:rPr>
        <w:t>二是加强平台建设，拓展公开渠道。</w:t>
      </w:r>
      <w:r>
        <w:rPr>
          <w:rFonts w:hint="eastAsia" w:ascii="楷体_GB2312" w:hAnsi="Times New Roman" w:eastAsia="楷体_GB2312"/>
          <w:color w:val="auto"/>
          <w:kern w:val="22"/>
          <w:sz w:val="32"/>
          <w:szCs w:val="32"/>
          <w:lang w:eastAsia="zh-CN"/>
        </w:rPr>
        <w:t>充分发挥政府网站作为政务公开第一平台作用，按时维护更新政府信息公开目录、政府信息依申请公开、政府信息公开监督信箱等栏目。加大新媒体平台的政务公开力度，提升信息发布、解读回应、政民互动的整体水平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b/>
          <w:bCs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  <w:t>（二）主动公开政府信息情况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b/>
          <w:color w:val="auto"/>
          <w:kern w:val="22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人大代表建议和政协委员提案办理结果公开方面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按照《高青县人民政府办公室关于做好2019年度政府系统建议提案办理工作的通知》（高政办字〔2019〕14号）要求，在县政府网站“建议提案办理”栏目主动公开人大代表建议和政协委员提案办理情况。本单位2019年未收到人大代表建议和政协委员提案，因此无法公开办理结果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b/>
          <w:bCs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  <w:t>（三）依申请公开情况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对于申请的信息可以公开的，提供该政府信息，或者告知申请人获取该政府信息的方式、途径和时间；对于申请的信息不属于本机关公开范围的，告知申请人并说明理由，能够确定公开机关的，告知申请人该机关的名称和联系方式；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对于较为复杂的申请件，主动与申请人沟通，了解群众需求，避免因误解引起行政复议或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行政</w:t>
      </w:r>
      <w:r>
        <w:rPr>
          <w:rFonts w:ascii="仿宋_GB2312" w:hAnsi="仿宋" w:eastAsia="仿宋_GB2312" w:cs="仿宋_GB2312"/>
          <w:color w:val="auto"/>
          <w:sz w:val="32"/>
          <w:szCs w:val="32"/>
        </w:rPr>
        <w:t>诉讼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/>
          <w:b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/>
          <w:b/>
          <w:color w:val="auto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color w:val="auto"/>
          <w:kern w:val="0"/>
          <w:sz w:val="32"/>
          <w:szCs w:val="32"/>
        </w:rPr>
        <w:t>收到和处理政府信息公开申请情况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黑里寨镇共收到政府信息公开申请0件，结转下年度继续办理0件，上年结转政府信息公开申请0件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b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收费及减免情况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本年度，全县各级各部门在政府信息公开申请办理过程中，未收取任何费用。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3.政府信息公开行政复议、行政诉讼情况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2019年，黑里寨镇因政府信息公开引起的行政复议0件，行政诉讼0件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b/>
          <w:bCs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  <w:t>（四）政府信息管理情况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kern w:val="22"/>
          <w:sz w:val="32"/>
          <w:szCs w:val="32"/>
        </w:rPr>
        <w:t>一是加强政府信息规范管理</w:t>
      </w:r>
      <w:r>
        <w:rPr>
          <w:rFonts w:hint="eastAsia" w:ascii="Times New Roman" w:hAnsi="Times New Roman" w:eastAsia="仿宋_GB2312"/>
          <w:b/>
          <w:bCs/>
          <w:color w:val="auto"/>
          <w:kern w:val="2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按照“谁主管、谁负责”“谁运行、谁负责”“谁发布、谁负责”的原则，严格落实政府网站信息内容管理责任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同时，规范信息采集、信息审核、信息发布的管理程序。信息审核坚持“谁公开、谁审核”“先审查、后公开”“一事一审”的原则，信息审核执行10项标准，划出14条“红线”，确保信息内容的真实性、完整性、可靠性、准确性和安全性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auto"/>
          <w:kern w:val="22"/>
          <w:sz w:val="32"/>
          <w:szCs w:val="32"/>
        </w:rPr>
        <w:t>二是加强政府信息公开培训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提高我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信息公开工作人员业务水平，推动政务信息公开工作深入开展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b/>
          <w:bCs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  <w:t>（五）政府信息公开平台、机构建设和人员情况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一是加强平台建设。</w:t>
      </w: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强化门户网站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政务公开</w:t>
      </w:r>
      <w:r>
        <w:rPr>
          <w:rFonts w:ascii="Times New Roman" w:hAnsi="Times New Roman" w:eastAsia="仿宋_GB2312"/>
          <w:color w:val="auto"/>
          <w:kern w:val="22"/>
          <w:sz w:val="32"/>
          <w:szCs w:val="32"/>
        </w:rPr>
        <w:t>第一平台作用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，完善政府信息公开目录，加大重点领域信息公开力度，新开设“领导信息”栏目，全面公开领导班子成员分工和工作简历，接受社会监督。</w:t>
      </w:r>
      <w:r>
        <w:rPr>
          <w:rFonts w:hint="eastAsia" w:ascii="仿宋_GB2312" w:hAnsi="仿宋" w:eastAsia="仿宋_GB2312" w:cs="仿宋_GB2312"/>
          <w:bCs/>
          <w:color w:val="auto"/>
          <w:sz w:val="32"/>
          <w:szCs w:val="32"/>
        </w:rPr>
        <w:t>加大政务微博、微信等新媒体平台的政务公开力度，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统筹推进政务新媒体与政府网站的协同联动、融合发展，提升信息发布、解读回应、政民互动、办事服务的整体水平。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二是强化机构建设。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黑里寨镇党政办公室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作为全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黑里寨镇人民政府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信息公开工作具体科室，统筹负责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黑里寨镇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政府信息公开组织协调、指导推进、监督检查等工作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人负责政务公开工作，其中1人专职，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 xml:space="preserve">人兼职。 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</w:rPr>
        <w:t>各镇、街道、经济开发区和县直各部门、单位的办公室具体负责各单位政府信息公开工作。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ascii="楷体_GB2312" w:hAnsi="Times New Roman" w:eastAsia="楷体_GB2312"/>
          <w:b/>
          <w:bCs/>
          <w:color w:val="auto"/>
          <w:kern w:val="22"/>
          <w:sz w:val="32"/>
          <w:szCs w:val="32"/>
        </w:rPr>
      </w:pPr>
      <w:r>
        <w:rPr>
          <w:rFonts w:hint="eastAsia" w:ascii="楷体_GB2312" w:hAnsi="Times New Roman" w:eastAsia="楷体_GB2312"/>
          <w:b/>
          <w:bCs/>
          <w:color w:val="auto"/>
          <w:kern w:val="22"/>
          <w:sz w:val="32"/>
          <w:szCs w:val="32"/>
        </w:rPr>
        <w:t>（六）监督保障情况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一是加强工作考核。</w:t>
      </w:r>
      <w:r>
        <w:rPr>
          <w:rFonts w:hint="eastAsia" w:ascii="Times New Roman" w:hAnsi="Times New Roman" w:eastAsia="仿宋_GB2312"/>
          <w:color w:val="auto"/>
          <w:kern w:val="22"/>
          <w:sz w:val="32"/>
          <w:szCs w:val="32"/>
          <w:lang w:eastAsia="zh-CN"/>
        </w:rPr>
        <w:t>将政务公开工作纳入个人年底考核，端正工作态度，及时、高效、准确的开展政务公开工作。</w:t>
      </w:r>
    </w:p>
    <w:p>
      <w:pPr>
        <w:pStyle w:val="8"/>
        <w:widowControl/>
        <w:spacing w:after="0" w:line="560" w:lineRule="exact"/>
        <w:ind w:firstLine="643" w:firstLineChars="200"/>
        <w:jc w:val="both"/>
        <w:rPr>
          <w:rFonts w:hint="eastAsia" w:ascii="黑体" w:hAnsi="黑体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color w:val="auto"/>
          <w:kern w:val="22"/>
          <w:sz w:val="32"/>
          <w:szCs w:val="32"/>
        </w:rPr>
        <w:t>二是强化责任追究。</w:t>
      </w:r>
      <w:r>
        <w:rPr>
          <w:rFonts w:hint="eastAsia" w:ascii="Times New Roman" w:hAnsi="Times New Roman" w:eastAsia="仿宋_GB2312"/>
          <w:b w:val="0"/>
          <w:bCs/>
          <w:color w:val="auto"/>
          <w:kern w:val="22"/>
          <w:sz w:val="32"/>
          <w:szCs w:val="32"/>
          <w:lang w:eastAsia="zh-CN"/>
        </w:rPr>
        <w:t>对政务公开工作出现误时，公开内容存在错误的工作人员尽心批评教育和责任追究。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jc w:val="both"/>
        <w:rPr>
          <w:rFonts w:hint="eastAsia"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b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二、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主动公开政府信息情况</w:t>
      </w:r>
    </w:p>
    <w:tbl>
      <w:tblPr>
        <w:tblStyle w:val="10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本年新</w:t>
            </w:r>
          </w:p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对外公开</w:t>
            </w:r>
          </w:p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增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178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减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23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931" w:type="dxa"/>
            <w:gridSpan w:val="4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694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7280.9</w:t>
            </w:r>
            <w:r>
              <w:rPr>
                <w:color w:val="auto"/>
                <w:kern w:val="0"/>
                <w:sz w:val="24"/>
              </w:rPr>
              <w:t>万元</w:t>
            </w:r>
          </w:p>
        </w:tc>
      </w:tr>
    </w:tbl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jc w:val="both"/>
        <w:rPr>
          <w:rFonts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三、</w:t>
      </w:r>
      <w:r>
        <w:rPr>
          <w:rFonts w:hint="eastAsia" w:ascii="黑体" w:hAnsi="黑体" w:eastAsia="黑体"/>
          <w:b/>
          <w:color w:val="auto"/>
          <w:sz w:val="32"/>
          <w:szCs w:val="32"/>
        </w:rPr>
        <w:t>收到和处理政府信息公开申请情况</w:t>
      </w:r>
    </w:p>
    <w:tbl>
      <w:tblPr>
        <w:tblStyle w:val="10"/>
        <w:tblW w:w="9781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4820" w:type="dxa"/>
            <w:gridSpan w:val="3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4820" w:type="dxa"/>
            <w:gridSpan w:val="3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一、本年新收政府信息公开申请数量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tabs>
                <w:tab w:val="left" w:pos="340"/>
              </w:tabs>
              <w:rPr>
                <w:rFonts w:hint="eastAsia" w:eastAsia="宋体"/>
                <w:color w:val="auto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820" w:type="dxa"/>
            <w:gridSpan w:val="3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二、上年结转政府信息公开申请数量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restart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>
            <w:pPr>
              <w:tabs>
                <w:tab w:val="left" w:pos="251"/>
              </w:tabs>
              <w:rPr>
                <w:rFonts w:hint="default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>
            <w:pPr>
              <w:rPr>
                <w:rFonts w:hint="default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8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2693" w:type="dxa"/>
          </w:tcPr>
          <w:p>
            <w:pPr>
              <w:ind w:left="180" w:hanging="180" w:hangingChars="100"/>
              <w:rPr>
                <w:rFonts w:asciiTheme="minorEastAsia" w:hAnsi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67" w:type="dxa"/>
            <w:vMerge w:val="continue"/>
          </w:tcPr>
          <w:p>
            <w:pPr>
              <w:rPr>
                <w:color w:val="auto"/>
                <w:kern w:val="0"/>
                <w:sz w:val="20"/>
              </w:rPr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gridSpan w:val="3"/>
            <w:vAlign w:val="center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四、结转下年度继续办理</w:t>
            </w:r>
          </w:p>
        </w:tc>
        <w:tc>
          <w:tcPr>
            <w:tcW w:w="567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rFonts w:hint="eastAsia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708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709" w:type="dxa"/>
          </w:tcPr>
          <w:p>
            <w:pPr>
              <w:rPr>
                <w:color w:val="auto"/>
                <w:kern w:val="0"/>
                <w:sz w:val="20"/>
              </w:rPr>
            </w:pPr>
            <w:r>
              <w:rPr>
                <w:rFonts w:hint="eastAsia"/>
                <w:color w:val="auto"/>
                <w:kern w:val="0"/>
                <w:sz w:val="20"/>
              </w:rPr>
              <w:t>0</w:t>
            </w:r>
          </w:p>
        </w:tc>
        <w:tc>
          <w:tcPr>
            <w:tcW w:w="850" w:type="dxa"/>
          </w:tcPr>
          <w:p>
            <w:pPr>
              <w:tabs>
                <w:tab w:val="left" w:pos="284"/>
              </w:tabs>
              <w:rPr>
                <w:rFonts w:hint="default" w:eastAsia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0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rPr>
          <w:rFonts w:ascii="仿宋_GB2312" w:hAnsi="仿宋" w:eastAsia="仿宋_GB2312" w:cs="仿宋"/>
          <w:color w:val="auto"/>
          <w:sz w:val="32"/>
          <w:szCs w:val="32"/>
        </w:rPr>
      </w:pPr>
    </w:p>
    <w:p>
      <w:pPr>
        <w:pStyle w:val="8"/>
        <w:widowControl/>
        <w:spacing w:after="0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政府信息公开行政复议、行政诉讼情况</w:t>
      </w:r>
    </w:p>
    <w:tbl>
      <w:tblPr>
        <w:tblStyle w:val="10"/>
        <w:tblW w:w="1031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行政复议</w:t>
            </w:r>
          </w:p>
        </w:tc>
        <w:tc>
          <w:tcPr>
            <w:tcW w:w="6917" w:type="dxa"/>
            <w:gridSpan w:val="10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未经复议直接起诉</w:t>
            </w:r>
          </w:p>
        </w:tc>
        <w:tc>
          <w:tcPr>
            <w:tcW w:w="3515" w:type="dxa"/>
            <w:gridSpan w:val="5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尚未审结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color w:val="auto"/>
                <w:kern w:val="0"/>
                <w:sz w:val="20"/>
                <w:szCs w:val="21"/>
              </w:rPr>
            </w:pPr>
            <w:r>
              <w:rPr>
                <w:rFonts w:hint="eastAsia"/>
                <w:color w:val="auto"/>
                <w:kern w:val="0"/>
                <w:sz w:val="20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tabs>
                <w:tab w:val="left" w:pos="257"/>
              </w:tabs>
              <w:rPr>
                <w:rFonts w:hint="default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82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67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0</w:t>
            </w:r>
          </w:p>
        </w:tc>
        <w:tc>
          <w:tcPr>
            <w:tcW w:w="538" w:type="dxa"/>
            <w:vAlign w:val="center"/>
          </w:tcPr>
          <w:p>
            <w:pPr>
              <w:rPr>
                <w:rFonts w:hint="eastAsia" w:eastAsia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</w:tr>
    </w:tbl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黑体" w:hAnsi="黑体" w:eastAsia="黑体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仿宋"/>
          <w:color w:val="auto"/>
          <w:sz w:val="32"/>
          <w:szCs w:val="32"/>
        </w:rPr>
        <w:t>五、</w:t>
      </w:r>
      <w:r>
        <w:rPr>
          <w:rFonts w:hint="eastAsia" w:ascii="黑体" w:hAnsi="黑体" w:eastAsia="黑体"/>
          <w:color w:val="auto"/>
          <w:sz w:val="32"/>
          <w:szCs w:val="32"/>
        </w:rPr>
        <w:t>存在的主要问题及改进情况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 w:cs="仿宋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（一）存在问题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hint="eastAsia"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黑里寨镇信息公开工作虽然取得了一定的成效，但还存在一些差距。主要表现为：一是主动公开政府信息意识不强，缺乏工作积极性和主动性；二是公开的内容和形式还欠丰富、内容更新上做得还不够及时。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楷体_GB2312" w:hAnsi="黑体" w:eastAsia="楷体_GB2312"/>
          <w:color w:val="auto"/>
          <w:sz w:val="32"/>
          <w:szCs w:val="32"/>
        </w:rPr>
      </w:pPr>
      <w:r>
        <w:rPr>
          <w:rFonts w:hint="eastAsia" w:ascii="楷体_GB2312" w:hAnsi="黑体" w:eastAsia="楷体_GB2312"/>
          <w:color w:val="auto"/>
          <w:sz w:val="32"/>
          <w:szCs w:val="32"/>
        </w:rPr>
        <w:t>（二）改进措施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2020年，黑里寨镇将按照《条例》和市、县对政府信息公开的相关要求，继续大力推进政府信息公开工作，主要是做好以下几方面工作：</w:t>
      </w:r>
    </w:p>
    <w:p>
      <w:pPr>
        <w:spacing w:line="560" w:lineRule="exact"/>
        <w:ind w:firstLine="640" w:firstLineChars="200"/>
        <w:jc w:val="left"/>
        <w:outlineLvl w:val="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一是加强监督和督办。继续组织专门人员查找政府信息公开的薄弱环节，以行政审批和行政执法的程序和结果为重点，督促不断拓展政府信息公开的深度和广度，不断提高政府工作的透明度，发挥政府信息对人民群众生产、生活和经济社会活动的服务作用。</w:t>
      </w:r>
    </w:p>
    <w:p>
      <w:pPr>
        <w:spacing w:line="560" w:lineRule="exact"/>
        <w:ind w:firstLine="640" w:firstLineChars="200"/>
        <w:jc w:val="left"/>
        <w:outlineLvl w:val="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二是自觉接受社会监督。把政府信息公开工作纳入社会评议政风、行风的范围，让人民群众对政府信息公开情况进行评议，并根据评议结果完善制度、改进工作；主动接受社会监督，实现行政机关工作的透明、公开、廉洁、高效。</w:t>
      </w:r>
    </w:p>
    <w:p>
      <w:pPr>
        <w:spacing w:line="560" w:lineRule="exact"/>
        <w:ind w:firstLine="640" w:firstLineChars="200"/>
        <w:jc w:val="left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六、其他需要报告的事项</w:t>
      </w:r>
    </w:p>
    <w:p>
      <w:pPr>
        <w:spacing w:line="560" w:lineRule="exact"/>
        <w:ind w:firstLine="576" w:firstLineChars="18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无。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</w:t>
      </w:r>
    </w:p>
    <w:p>
      <w:pPr>
        <w:pStyle w:val="8"/>
        <w:widowControl/>
        <w:spacing w:after="0" w:line="560" w:lineRule="exact"/>
        <w:ind w:firstLine="640" w:firstLineChars="200"/>
        <w:jc w:val="center"/>
        <w:rPr>
          <w:rFonts w:ascii="Times New Roman" w:hAnsi="Times New Roman" w:eastAsia="仿宋_GB2312"/>
          <w:color w:val="auto"/>
          <w:kern w:val="22"/>
          <w:sz w:val="32"/>
          <w:szCs w:val="32"/>
        </w:rPr>
      </w:pPr>
    </w:p>
    <w:p>
      <w:pPr>
        <w:pStyle w:val="8"/>
        <w:widowControl/>
        <w:spacing w:after="0" w:line="560" w:lineRule="exact"/>
        <w:jc w:val="right"/>
        <w:rPr>
          <w:rFonts w:ascii="仿宋_GB2312" w:hAnsi="仿宋" w:eastAsia="仿宋_GB2312" w:cs="仿宋"/>
          <w:color w:val="auto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高青县人民政府办公室</w:t>
      </w:r>
    </w:p>
    <w:p>
      <w:pPr>
        <w:pStyle w:val="8"/>
        <w:widowControl/>
        <w:spacing w:after="0" w:line="560" w:lineRule="exact"/>
        <w:jc w:val="right"/>
        <w:rPr>
          <w:rFonts w:ascii="仿宋_GB2312" w:hAnsi="仿宋" w:eastAsia="仿宋_GB2312" w:cs="仿宋"/>
          <w:color w:val="auto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2020年1月</w:t>
      </w:r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  <w:lang w:val="en-US" w:eastAsia="zh-CN"/>
        </w:rPr>
        <w:t>22</w:t>
      </w:r>
      <w:bookmarkStart w:id="0" w:name="_GoBack"/>
      <w:bookmarkEnd w:id="0"/>
      <w:r>
        <w:rPr>
          <w:rFonts w:hint="eastAsia" w:ascii="仿宋_GB2312" w:hAnsi="仿宋" w:eastAsia="仿宋_GB2312" w:cs="仿宋"/>
          <w:color w:val="auto"/>
          <w:kern w:val="2"/>
          <w:sz w:val="32"/>
          <w:szCs w:val="32"/>
        </w:rPr>
        <w:t>日</w:t>
      </w:r>
    </w:p>
    <w:p>
      <w:pPr>
        <w:pStyle w:val="8"/>
        <w:widowControl/>
        <w:spacing w:after="0" w:line="560" w:lineRule="exact"/>
        <w:ind w:firstLine="640" w:firstLineChars="200"/>
        <w:jc w:val="both"/>
        <w:rPr>
          <w:rFonts w:ascii="仿宋_GB2312" w:hAnsi="仿宋" w:eastAsia="仿宋_GB2312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070707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57"/>
    <w:rsid w:val="00004CF5"/>
    <w:rsid w:val="0000725E"/>
    <w:rsid w:val="00010331"/>
    <w:rsid w:val="00024E42"/>
    <w:rsid w:val="000345B4"/>
    <w:rsid w:val="00035216"/>
    <w:rsid w:val="00051D91"/>
    <w:rsid w:val="00061B07"/>
    <w:rsid w:val="0006501F"/>
    <w:rsid w:val="00065C69"/>
    <w:rsid w:val="000672CE"/>
    <w:rsid w:val="00093F81"/>
    <w:rsid w:val="00094B75"/>
    <w:rsid w:val="000A057B"/>
    <w:rsid w:val="000B000A"/>
    <w:rsid w:val="000C43E2"/>
    <w:rsid w:val="000D1696"/>
    <w:rsid w:val="000D2527"/>
    <w:rsid w:val="000D3D1E"/>
    <w:rsid w:val="000D502C"/>
    <w:rsid w:val="000E3958"/>
    <w:rsid w:val="000F383D"/>
    <w:rsid w:val="000F7B6C"/>
    <w:rsid w:val="00104B97"/>
    <w:rsid w:val="00115736"/>
    <w:rsid w:val="001205A9"/>
    <w:rsid w:val="001215E4"/>
    <w:rsid w:val="001328B3"/>
    <w:rsid w:val="00136EBD"/>
    <w:rsid w:val="0015335B"/>
    <w:rsid w:val="001551B9"/>
    <w:rsid w:val="00156800"/>
    <w:rsid w:val="00156AFE"/>
    <w:rsid w:val="0015752F"/>
    <w:rsid w:val="00164C2C"/>
    <w:rsid w:val="00165287"/>
    <w:rsid w:val="00177AFC"/>
    <w:rsid w:val="00187E46"/>
    <w:rsid w:val="0019292B"/>
    <w:rsid w:val="00192EAC"/>
    <w:rsid w:val="00195276"/>
    <w:rsid w:val="00195C7C"/>
    <w:rsid w:val="001A052A"/>
    <w:rsid w:val="001A4452"/>
    <w:rsid w:val="001B463C"/>
    <w:rsid w:val="001C2DCD"/>
    <w:rsid w:val="001C6CB8"/>
    <w:rsid w:val="001D01BA"/>
    <w:rsid w:val="001E256B"/>
    <w:rsid w:val="001E3D4C"/>
    <w:rsid w:val="001E7B38"/>
    <w:rsid w:val="001F1D4F"/>
    <w:rsid w:val="001F3CA4"/>
    <w:rsid w:val="001F3D15"/>
    <w:rsid w:val="001F53D4"/>
    <w:rsid w:val="00203EC3"/>
    <w:rsid w:val="00213531"/>
    <w:rsid w:val="00213CFE"/>
    <w:rsid w:val="00216B90"/>
    <w:rsid w:val="00221CC4"/>
    <w:rsid w:val="00227902"/>
    <w:rsid w:val="00234602"/>
    <w:rsid w:val="00244E3E"/>
    <w:rsid w:val="00263708"/>
    <w:rsid w:val="00263B33"/>
    <w:rsid w:val="002834ED"/>
    <w:rsid w:val="00286C8A"/>
    <w:rsid w:val="002A647C"/>
    <w:rsid w:val="002B625C"/>
    <w:rsid w:val="002C58DB"/>
    <w:rsid w:val="002D6EBB"/>
    <w:rsid w:val="002D74A7"/>
    <w:rsid w:val="002D7DB8"/>
    <w:rsid w:val="002E5D54"/>
    <w:rsid w:val="002F23E9"/>
    <w:rsid w:val="0030230A"/>
    <w:rsid w:val="0031159C"/>
    <w:rsid w:val="00326584"/>
    <w:rsid w:val="0033231B"/>
    <w:rsid w:val="003441BE"/>
    <w:rsid w:val="00346C4D"/>
    <w:rsid w:val="00361762"/>
    <w:rsid w:val="00363DDF"/>
    <w:rsid w:val="00370E69"/>
    <w:rsid w:val="00375878"/>
    <w:rsid w:val="00380933"/>
    <w:rsid w:val="0039205B"/>
    <w:rsid w:val="003938A3"/>
    <w:rsid w:val="003A230F"/>
    <w:rsid w:val="003A3153"/>
    <w:rsid w:val="003A473F"/>
    <w:rsid w:val="003A57D1"/>
    <w:rsid w:val="003B4B73"/>
    <w:rsid w:val="003C27DE"/>
    <w:rsid w:val="003C3846"/>
    <w:rsid w:val="003E2D20"/>
    <w:rsid w:val="003F52B2"/>
    <w:rsid w:val="003F6FE9"/>
    <w:rsid w:val="00406346"/>
    <w:rsid w:val="004076B3"/>
    <w:rsid w:val="004109E8"/>
    <w:rsid w:val="00410A4A"/>
    <w:rsid w:val="0041443C"/>
    <w:rsid w:val="004155DE"/>
    <w:rsid w:val="00436EA0"/>
    <w:rsid w:val="004373DC"/>
    <w:rsid w:val="004449B9"/>
    <w:rsid w:val="004479E3"/>
    <w:rsid w:val="00450790"/>
    <w:rsid w:val="004518C4"/>
    <w:rsid w:val="0045219A"/>
    <w:rsid w:val="0045733C"/>
    <w:rsid w:val="00462BD1"/>
    <w:rsid w:val="00464149"/>
    <w:rsid w:val="00470E57"/>
    <w:rsid w:val="00473B69"/>
    <w:rsid w:val="0048058E"/>
    <w:rsid w:val="0048124A"/>
    <w:rsid w:val="00481D4A"/>
    <w:rsid w:val="004A2D10"/>
    <w:rsid w:val="004C0559"/>
    <w:rsid w:val="004D3C26"/>
    <w:rsid w:val="004D460A"/>
    <w:rsid w:val="004D50F5"/>
    <w:rsid w:val="004E0762"/>
    <w:rsid w:val="004E1E7F"/>
    <w:rsid w:val="004E30D9"/>
    <w:rsid w:val="004F0C56"/>
    <w:rsid w:val="004F62DB"/>
    <w:rsid w:val="004F721C"/>
    <w:rsid w:val="00505A1E"/>
    <w:rsid w:val="005064BA"/>
    <w:rsid w:val="00513D53"/>
    <w:rsid w:val="00514EF2"/>
    <w:rsid w:val="0051560E"/>
    <w:rsid w:val="005171BD"/>
    <w:rsid w:val="00530324"/>
    <w:rsid w:val="005354E1"/>
    <w:rsid w:val="005405CC"/>
    <w:rsid w:val="005419F2"/>
    <w:rsid w:val="00546499"/>
    <w:rsid w:val="0054791A"/>
    <w:rsid w:val="00555BD0"/>
    <w:rsid w:val="0058712D"/>
    <w:rsid w:val="00592243"/>
    <w:rsid w:val="005930D6"/>
    <w:rsid w:val="005B51C5"/>
    <w:rsid w:val="005B76E3"/>
    <w:rsid w:val="005C1AEC"/>
    <w:rsid w:val="005C79C4"/>
    <w:rsid w:val="005F2577"/>
    <w:rsid w:val="005F3E26"/>
    <w:rsid w:val="00605185"/>
    <w:rsid w:val="0062262B"/>
    <w:rsid w:val="00622752"/>
    <w:rsid w:val="006373B2"/>
    <w:rsid w:val="00637DD1"/>
    <w:rsid w:val="00637F0D"/>
    <w:rsid w:val="006457E7"/>
    <w:rsid w:val="00650011"/>
    <w:rsid w:val="00653E08"/>
    <w:rsid w:val="006642C7"/>
    <w:rsid w:val="0066520B"/>
    <w:rsid w:val="00673AB3"/>
    <w:rsid w:val="006854F7"/>
    <w:rsid w:val="006933BA"/>
    <w:rsid w:val="006B416F"/>
    <w:rsid w:val="006B7628"/>
    <w:rsid w:val="006C119E"/>
    <w:rsid w:val="006C3A06"/>
    <w:rsid w:val="006D763F"/>
    <w:rsid w:val="006E0DFF"/>
    <w:rsid w:val="006F1821"/>
    <w:rsid w:val="006F1CA4"/>
    <w:rsid w:val="006F1D2B"/>
    <w:rsid w:val="006F770B"/>
    <w:rsid w:val="00712FC4"/>
    <w:rsid w:val="0071441F"/>
    <w:rsid w:val="00732FAD"/>
    <w:rsid w:val="0073505F"/>
    <w:rsid w:val="0073526E"/>
    <w:rsid w:val="007522A8"/>
    <w:rsid w:val="0075482D"/>
    <w:rsid w:val="00760D74"/>
    <w:rsid w:val="00761DD7"/>
    <w:rsid w:val="00762FB6"/>
    <w:rsid w:val="00766CAF"/>
    <w:rsid w:val="00773F1C"/>
    <w:rsid w:val="00776A6F"/>
    <w:rsid w:val="007A2408"/>
    <w:rsid w:val="007C3766"/>
    <w:rsid w:val="007D53E3"/>
    <w:rsid w:val="007D5E52"/>
    <w:rsid w:val="007E10E9"/>
    <w:rsid w:val="007F701A"/>
    <w:rsid w:val="008031F8"/>
    <w:rsid w:val="00806C7A"/>
    <w:rsid w:val="008074D5"/>
    <w:rsid w:val="00807FE9"/>
    <w:rsid w:val="008224B6"/>
    <w:rsid w:val="008226FB"/>
    <w:rsid w:val="00826BE4"/>
    <w:rsid w:val="00831B01"/>
    <w:rsid w:val="00841764"/>
    <w:rsid w:val="00843B00"/>
    <w:rsid w:val="00845A36"/>
    <w:rsid w:val="00850679"/>
    <w:rsid w:val="008560C3"/>
    <w:rsid w:val="00890E5B"/>
    <w:rsid w:val="008A1F1B"/>
    <w:rsid w:val="008A69B9"/>
    <w:rsid w:val="008A7057"/>
    <w:rsid w:val="008B1273"/>
    <w:rsid w:val="008C3881"/>
    <w:rsid w:val="008C7119"/>
    <w:rsid w:val="008D04B4"/>
    <w:rsid w:val="008D26C7"/>
    <w:rsid w:val="008D492B"/>
    <w:rsid w:val="008D51E4"/>
    <w:rsid w:val="008D6E8E"/>
    <w:rsid w:val="008E74CC"/>
    <w:rsid w:val="008E7927"/>
    <w:rsid w:val="008F15A5"/>
    <w:rsid w:val="008F7A5A"/>
    <w:rsid w:val="00904CA4"/>
    <w:rsid w:val="009102B2"/>
    <w:rsid w:val="0091387B"/>
    <w:rsid w:val="009160F6"/>
    <w:rsid w:val="009231FA"/>
    <w:rsid w:val="009413F6"/>
    <w:rsid w:val="009573F0"/>
    <w:rsid w:val="00961F0F"/>
    <w:rsid w:val="00973EB1"/>
    <w:rsid w:val="00976755"/>
    <w:rsid w:val="00981209"/>
    <w:rsid w:val="00996BFB"/>
    <w:rsid w:val="00997735"/>
    <w:rsid w:val="009A72A5"/>
    <w:rsid w:val="009B314C"/>
    <w:rsid w:val="009B6A99"/>
    <w:rsid w:val="009C1854"/>
    <w:rsid w:val="009C7FFB"/>
    <w:rsid w:val="009D23D6"/>
    <w:rsid w:val="009D399F"/>
    <w:rsid w:val="009D4EF4"/>
    <w:rsid w:val="009E6762"/>
    <w:rsid w:val="009F78F1"/>
    <w:rsid w:val="009F7AC8"/>
    <w:rsid w:val="00A00FA5"/>
    <w:rsid w:val="00A17F65"/>
    <w:rsid w:val="00A254D8"/>
    <w:rsid w:val="00A313A7"/>
    <w:rsid w:val="00A43397"/>
    <w:rsid w:val="00A4468D"/>
    <w:rsid w:val="00A77CA1"/>
    <w:rsid w:val="00A81B6C"/>
    <w:rsid w:val="00A9180A"/>
    <w:rsid w:val="00AA1919"/>
    <w:rsid w:val="00AA2CFC"/>
    <w:rsid w:val="00AB176E"/>
    <w:rsid w:val="00AB4557"/>
    <w:rsid w:val="00AE0624"/>
    <w:rsid w:val="00AE06D9"/>
    <w:rsid w:val="00AE4342"/>
    <w:rsid w:val="00AF0A0B"/>
    <w:rsid w:val="00AF6913"/>
    <w:rsid w:val="00B03267"/>
    <w:rsid w:val="00B11FB3"/>
    <w:rsid w:val="00B20805"/>
    <w:rsid w:val="00B23B66"/>
    <w:rsid w:val="00B25577"/>
    <w:rsid w:val="00B400F3"/>
    <w:rsid w:val="00B4577F"/>
    <w:rsid w:val="00B52341"/>
    <w:rsid w:val="00B53A4F"/>
    <w:rsid w:val="00B65017"/>
    <w:rsid w:val="00B731B9"/>
    <w:rsid w:val="00B76FE3"/>
    <w:rsid w:val="00BA1897"/>
    <w:rsid w:val="00BA3E56"/>
    <w:rsid w:val="00BB08FE"/>
    <w:rsid w:val="00BD2243"/>
    <w:rsid w:val="00BD7155"/>
    <w:rsid w:val="00BE00D7"/>
    <w:rsid w:val="00BE0203"/>
    <w:rsid w:val="00BE509B"/>
    <w:rsid w:val="00BE618C"/>
    <w:rsid w:val="00BE6B75"/>
    <w:rsid w:val="00C00A2D"/>
    <w:rsid w:val="00C02A79"/>
    <w:rsid w:val="00C048E7"/>
    <w:rsid w:val="00C0791E"/>
    <w:rsid w:val="00C2096B"/>
    <w:rsid w:val="00C24168"/>
    <w:rsid w:val="00C27137"/>
    <w:rsid w:val="00C32825"/>
    <w:rsid w:val="00C34FCB"/>
    <w:rsid w:val="00C35E2F"/>
    <w:rsid w:val="00C45260"/>
    <w:rsid w:val="00C6017A"/>
    <w:rsid w:val="00C727B3"/>
    <w:rsid w:val="00C76D2E"/>
    <w:rsid w:val="00C81116"/>
    <w:rsid w:val="00C91587"/>
    <w:rsid w:val="00C95677"/>
    <w:rsid w:val="00CA1054"/>
    <w:rsid w:val="00CA1A71"/>
    <w:rsid w:val="00CA1FCF"/>
    <w:rsid w:val="00CA3057"/>
    <w:rsid w:val="00CB1438"/>
    <w:rsid w:val="00CB2E2A"/>
    <w:rsid w:val="00CB7F25"/>
    <w:rsid w:val="00CC1793"/>
    <w:rsid w:val="00CC518B"/>
    <w:rsid w:val="00CE03CA"/>
    <w:rsid w:val="00CE2166"/>
    <w:rsid w:val="00D017A8"/>
    <w:rsid w:val="00D22310"/>
    <w:rsid w:val="00D23448"/>
    <w:rsid w:val="00D24292"/>
    <w:rsid w:val="00D33970"/>
    <w:rsid w:val="00D40D23"/>
    <w:rsid w:val="00D45D0C"/>
    <w:rsid w:val="00D54B8B"/>
    <w:rsid w:val="00D62C9A"/>
    <w:rsid w:val="00D6313B"/>
    <w:rsid w:val="00D63AE0"/>
    <w:rsid w:val="00D744EE"/>
    <w:rsid w:val="00D75309"/>
    <w:rsid w:val="00D75948"/>
    <w:rsid w:val="00D77BF0"/>
    <w:rsid w:val="00DA48B9"/>
    <w:rsid w:val="00DB58B6"/>
    <w:rsid w:val="00DC10F2"/>
    <w:rsid w:val="00DC7B85"/>
    <w:rsid w:val="00DD059C"/>
    <w:rsid w:val="00DD3FEE"/>
    <w:rsid w:val="00DD499D"/>
    <w:rsid w:val="00DE1483"/>
    <w:rsid w:val="00DE5064"/>
    <w:rsid w:val="00DE7F16"/>
    <w:rsid w:val="00DF2952"/>
    <w:rsid w:val="00DF3350"/>
    <w:rsid w:val="00E00C8D"/>
    <w:rsid w:val="00E06EF1"/>
    <w:rsid w:val="00E12972"/>
    <w:rsid w:val="00E151D4"/>
    <w:rsid w:val="00E21966"/>
    <w:rsid w:val="00E322B9"/>
    <w:rsid w:val="00E43625"/>
    <w:rsid w:val="00E5216B"/>
    <w:rsid w:val="00E653F7"/>
    <w:rsid w:val="00E66665"/>
    <w:rsid w:val="00E66F54"/>
    <w:rsid w:val="00EA387C"/>
    <w:rsid w:val="00EB5170"/>
    <w:rsid w:val="00EC0864"/>
    <w:rsid w:val="00ED48D7"/>
    <w:rsid w:val="00ED6409"/>
    <w:rsid w:val="00EE2917"/>
    <w:rsid w:val="00EE6BCA"/>
    <w:rsid w:val="00EE7323"/>
    <w:rsid w:val="00EE7AD5"/>
    <w:rsid w:val="00F151FB"/>
    <w:rsid w:val="00F2143F"/>
    <w:rsid w:val="00F26C6E"/>
    <w:rsid w:val="00F40E98"/>
    <w:rsid w:val="00F43D52"/>
    <w:rsid w:val="00F462FC"/>
    <w:rsid w:val="00F537A3"/>
    <w:rsid w:val="00F65EEC"/>
    <w:rsid w:val="00F75B1D"/>
    <w:rsid w:val="00F84453"/>
    <w:rsid w:val="00F939D0"/>
    <w:rsid w:val="00FA50B3"/>
    <w:rsid w:val="00FB073B"/>
    <w:rsid w:val="00FB5EF6"/>
    <w:rsid w:val="00FC101F"/>
    <w:rsid w:val="00FC2F58"/>
    <w:rsid w:val="00FC4EF6"/>
    <w:rsid w:val="00FC53FA"/>
    <w:rsid w:val="00FD2FA1"/>
    <w:rsid w:val="00FD4423"/>
    <w:rsid w:val="00FD4664"/>
    <w:rsid w:val="00FD78B7"/>
    <w:rsid w:val="00FE0A2A"/>
    <w:rsid w:val="00FE0F1E"/>
    <w:rsid w:val="00FE729E"/>
    <w:rsid w:val="00FF041C"/>
    <w:rsid w:val="10E107FA"/>
    <w:rsid w:val="126D5B2C"/>
    <w:rsid w:val="22262C6B"/>
    <w:rsid w:val="25831D6D"/>
    <w:rsid w:val="2AA37A68"/>
    <w:rsid w:val="401A02A8"/>
    <w:rsid w:val="44A0779F"/>
    <w:rsid w:val="4AE6509A"/>
    <w:rsid w:val="6E29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2"/>
    </w:pPr>
    <w:rPr>
      <w:rFonts w:ascii="??" w:hAnsi="??" w:cs="??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9"/>
    <w:qFormat/>
    <w:uiPriority w:val="0"/>
    <w:pPr>
      <w:spacing w:after="120"/>
    </w:pPr>
    <w:rPr>
      <w:rFonts w:ascii="Times New Roman" w:hAnsi="Times New Roman" w:eastAsia="仿宋_GB2312" w:cs="仿宋_GB2312"/>
      <w:bCs/>
      <w:sz w:val="32"/>
      <w:szCs w:val="32"/>
    </w:rPr>
  </w:style>
  <w:style w:type="paragraph" w:styleId="4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link w:val="18"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table" w:styleId="10">
    <w:name w:val="Table Grid"/>
    <w:basedOn w:val="9"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customStyle="1" w:styleId="13">
    <w:name w:val="页眉 Char"/>
    <w:basedOn w:val="11"/>
    <w:link w:val="6"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uiPriority w:val="99"/>
    <w:rPr>
      <w:sz w:val="18"/>
      <w:szCs w:val="18"/>
    </w:rPr>
  </w:style>
  <w:style w:type="character" w:customStyle="1" w:styleId="15">
    <w:name w:val="标题 3 Char"/>
    <w:basedOn w:val="11"/>
    <w:link w:val="2"/>
    <w:uiPriority w:val="99"/>
    <w:rPr>
      <w:rFonts w:ascii="??" w:hAnsi="??" w:eastAsia="宋体" w:cs="??"/>
      <w:b/>
      <w:bCs/>
      <w:sz w:val="32"/>
      <w:szCs w:val="32"/>
    </w:rPr>
  </w:style>
  <w:style w:type="paragraph" w:customStyle="1" w:styleId="16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7">
    <w:name w:val="批注框文本 Char"/>
    <w:basedOn w:val="11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脚注文本 Char"/>
    <w:basedOn w:val="11"/>
    <w:link w:val="7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正文文本 Char"/>
    <w:basedOn w:val="11"/>
    <w:link w:val="3"/>
    <w:uiPriority w:val="0"/>
    <w:rPr>
      <w:rFonts w:ascii="Times New Roman" w:hAnsi="Times New Roman" w:eastAsia="仿宋_GB2312" w:cs="仿宋_GB2312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18B3B-50AB-4932-8CD6-37496189E8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9</Pages>
  <Words>544</Words>
  <Characters>3106</Characters>
  <Lines>25</Lines>
  <Paragraphs>7</Paragraphs>
  <TotalTime>43</TotalTime>
  <ScaleCrop>false</ScaleCrop>
  <LinksUpToDate>false</LinksUpToDate>
  <CharactersWithSpaces>3643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2019-10-14T08:08:00Z</dcterms:created>
  <dc:creator>lb</dc:creator>
  <cp:lastModifiedBy>ForVictorRi</cp:lastModifiedBy>
  <cp:lastPrinted>2020-06-05T08:04:00Z</cp:lastPrinted>
  <dcterms:modified xsi:type="dcterms:W3CDTF">2020-06-25T01:49:01Z</dcterms:modified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