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CA" w:rsidRDefault="00CF54B6">
      <w:pPr>
        <w:adjustRightInd w:val="0"/>
        <w:spacing w:line="560" w:lineRule="exact"/>
        <w:ind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高青县黑里寨镇</w:t>
      </w:r>
      <w:r w:rsidR="00C37F5D">
        <w:rPr>
          <w:rFonts w:ascii="方正小标宋简体" w:eastAsia="方正小标宋简体" w:hAnsi="方正小标宋简体" w:cs="方正小标宋简体" w:hint="eastAsia"/>
          <w:sz w:val="44"/>
          <w:szCs w:val="44"/>
        </w:rPr>
        <w:t>人民政府</w:t>
      </w:r>
    </w:p>
    <w:p w:rsidR="00A664CA" w:rsidRDefault="00CF54B6">
      <w:pPr>
        <w:adjustRightInd w:val="0"/>
        <w:spacing w:line="56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年政府信息公开工作年度报告</w:t>
      </w:r>
    </w:p>
    <w:bookmarkEnd w:id="0"/>
    <w:p w:rsidR="00A664CA" w:rsidRDefault="00A664CA">
      <w:pPr>
        <w:spacing w:line="600" w:lineRule="exact"/>
        <w:ind w:firstLineChars="200" w:firstLine="480"/>
        <w:rPr>
          <w:rFonts w:ascii="仿宋_GB2312" w:eastAsia="仿宋_GB2312" w:hAnsi="仿宋_GB2312" w:cs="仿宋_GB2312"/>
          <w:sz w:val="24"/>
          <w:szCs w:val="24"/>
        </w:rPr>
      </w:pPr>
    </w:p>
    <w:p w:rsidR="00A664CA" w:rsidRDefault="00CF54B6">
      <w:pPr>
        <w:adjustRightInd w:val="0"/>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A664CA" w:rsidRDefault="00CF54B6">
      <w:pPr>
        <w:adjustRightInd w:val="0"/>
        <w:spacing w:line="560" w:lineRule="exact"/>
        <w:ind w:firstLineChars="200" w:firstLine="640"/>
        <w:rPr>
          <w:rFonts w:ascii="仿宋_GB2312" w:eastAsia="仿宋_GB2312"/>
        </w:rPr>
      </w:pPr>
      <w:r>
        <w:rPr>
          <w:rFonts w:ascii="仿宋_GB2312" w:eastAsia="仿宋_GB2312" w:hint="eastAsia"/>
        </w:rPr>
        <w:t>报告中所列数据统计期限自</w:t>
      </w:r>
      <w:r>
        <w:rPr>
          <w:rFonts w:ascii="仿宋_GB2312" w:eastAsia="仿宋_GB2312" w:hint="eastAsia"/>
        </w:rPr>
        <w:t>2021</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2021</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）查阅和下载。如对报告内容有疑问，请与高青县黑里寨镇信息公开领导小组办公室联系（地址：山东省淄博市高青县黑里寨镇人民政府；邮编：</w:t>
      </w:r>
      <w:r>
        <w:rPr>
          <w:rFonts w:ascii="仿宋_GB2312" w:eastAsia="仿宋_GB2312" w:hint="eastAsia"/>
        </w:rPr>
        <w:t>256306</w:t>
      </w:r>
      <w:r>
        <w:rPr>
          <w:rFonts w:ascii="仿宋_GB2312" w:eastAsia="仿宋_GB2312" w:hint="eastAsia"/>
        </w:rPr>
        <w:t>；电话：</w:t>
      </w:r>
      <w:r>
        <w:rPr>
          <w:rFonts w:ascii="仿宋_GB2312" w:eastAsia="仿宋_GB2312" w:hint="eastAsia"/>
        </w:rPr>
        <w:t>0533-6765534</w:t>
      </w:r>
      <w:r>
        <w:rPr>
          <w:rFonts w:ascii="仿宋_GB2312" w:eastAsia="仿宋_GB2312" w:hint="eastAsia"/>
        </w:rPr>
        <w:t>；传真：</w:t>
      </w:r>
      <w:r>
        <w:rPr>
          <w:rFonts w:ascii="仿宋_GB2312" w:eastAsia="仿宋_GB2312" w:hint="eastAsia"/>
        </w:rPr>
        <w:t>0533-6765034</w:t>
      </w:r>
      <w:r>
        <w:rPr>
          <w:rFonts w:ascii="仿宋_GB2312" w:eastAsia="仿宋_GB2312" w:hint="eastAsia"/>
        </w:rPr>
        <w:t>；电子邮箱：</w:t>
      </w:r>
      <w:r>
        <w:rPr>
          <w:rFonts w:ascii="仿宋_GB2312" w:eastAsia="仿宋_GB2312" w:hint="eastAsia"/>
        </w:rPr>
        <w:t>gqxhlzz@zb.shandong.cn</w:t>
      </w:r>
      <w:r>
        <w:rPr>
          <w:rFonts w:ascii="仿宋_GB2312" w:eastAsia="仿宋_GB2312" w:hint="eastAsia"/>
        </w:rPr>
        <w:t>）。</w:t>
      </w:r>
    </w:p>
    <w:p w:rsidR="00A664CA" w:rsidRDefault="00CF54B6">
      <w:pPr>
        <w:adjustRightInd w:val="0"/>
        <w:spacing w:line="560" w:lineRule="exact"/>
        <w:ind w:firstLineChars="200" w:firstLine="640"/>
        <w:rPr>
          <w:rFonts w:ascii="黑体" w:eastAsia="黑体" w:hAnsi="黑体"/>
          <w:szCs w:val="32"/>
        </w:rPr>
      </w:pPr>
      <w:r>
        <w:rPr>
          <w:rFonts w:ascii="黑体" w:eastAsia="黑体" w:hAnsi="黑体" w:hint="eastAsia"/>
          <w:szCs w:val="32"/>
        </w:rPr>
        <w:t>一、总体情况</w:t>
      </w:r>
    </w:p>
    <w:p w:rsidR="00A664CA" w:rsidRDefault="00CF54B6">
      <w:pPr>
        <w:ind w:firstLineChars="200" w:firstLine="640"/>
        <w:jc w:val="left"/>
        <w:rPr>
          <w:rFonts w:ascii="楷体_GB2312" w:eastAsia="楷体_GB2312"/>
        </w:rPr>
      </w:pPr>
      <w:r>
        <w:rPr>
          <w:rFonts w:ascii="楷体_GB2312" w:eastAsia="楷体_GB2312" w:hint="eastAsia"/>
        </w:rPr>
        <w:t>（一）主动公开</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制定了《高青县黑里寨镇</w:t>
      </w:r>
      <w:r>
        <w:rPr>
          <w:rFonts w:ascii="仿宋_GB2312" w:eastAsia="仿宋_GB2312" w:hint="eastAsia"/>
          <w:szCs w:val="32"/>
        </w:rPr>
        <w:t>2021</w:t>
      </w:r>
      <w:r>
        <w:rPr>
          <w:rFonts w:ascii="仿宋_GB2312" w:eastAsia="仿宋_GB2312" w:hint="eastAsia"/>
          <w:szCs w:val="32"/>
        </w:rPr>
        <w:t>年政务公开工作实施方案》，明确领导责任</w:t>
      </w:r>
      <w:r>
        <w:rPr>
          <w:rFonts w:ascii="仿宋_GB2312" w:eastAsia="仿宋_GB2312" w:hint="eastAsia"/>
          <w:szCs w:val="32"/>
        </w:rPr>
        <w:t>和信息公开工作流程。召开</w:t>
      </w:r>
      <w:r>
        <w:rPr>
          <w:rFonts w:ascii="仿宋_GB2312" w:eastAsia="仿宋_GB2312" w:hint="eastAsia"/>
          <w:szCs w:val="32"/>
        </w:rPr>
        <w:t>2021</w:t>
      </w:r>
      <w:r>
        <w:rPr>
          <w:rFonts w:ascii="仿宋_GB2312" w:eastAsia="仿宋_GB2312" w:hint="eastAsia"/>
          <w:szCs w:val="32"/>
        </w:rPr>
        <w:t>年度政务公开部署会、培训会，确保基层政务公开标准化规范化工作有序推进、取得实效。</w:t>
      </w:r>
      <w:r>
        <w:rPr>
          <w:rFonts w:ascii="仿宋_GB2312" w:eastAsia="仿宋_GB2312" w:hint="eastAsia"/>
          <w:szCs w:val="32"/>
        </w:rPr>
        <w:t>2021</w:t>
      </w:r>
      <w:r>
        <w:rPr>
          <w:rFonts w:ascii="仿宋_GB2312" w:eastAsia="仿宋_GB2312" w:hint="eastAsia"/>
          <w:szCs w:val="32"/>
        </w:rPr>
        <w:t>年共主动公开政府信息</w:t>
      </w:r>
      <w:r>
        <w:rPr>
          <w:rFonts w:ascii="仿宋_GB2312" w:eastAsia="仿宋_GB2312" w:hint="eastAsia"/>
          <w:szCs w:val="32"/>
        </w:rPr>
        <w:t>306</w:t>
      </w:r>
      <w:r>
        <w:rPr>
          <w:rFonts w:ascii="仿宋_GB2312" w:eastAsia="仿宋_GB2312" w:hint="eastAsia"/>
          <w:szCs w:val="32"/>
        </w:rPr>
        <w:t>条，其中政府网站公开信息</w:t>
      </w:r>
      <w:r>
        <w:rPr>
          <w:rFonts w:ascii="仿宋_GB2312" w:eastAsia="仿宋_GB2312" w:hint="eastAsia"/>
          <w:szCs w:val="32"/>
        </w:rPr>
        <w:t>86</w:t>
      </w:r>
      <w:r>
        <w:rPr>
          <w:rFonts w:ascii="仿宋_GB2312" w:eastAsia="仿宋_GB2312" w:hint="eastAsia"/>
          <w:szCs w:val="32"/>
        </w:rPr>
        <w:t>条，占</w:t>
      </w:r>
      <w:r>
        <w:rPr>
          <w:rFonts w:ascii="仿宋_GB2312" w:eastAsia="仿宋_GB2312" w:hint="eastAsia"/>
          <w:szCs w:val="32"/>
        </w:rPr>
        <w:t>28.1%</w:t>
      </w:r>
      <w:r>
        <w:rPr>
          <w:rFonts w:ascii="仿宋_GB2312" w:eastAsia="仿宋_GB2312" w:hint="eastAsia"/>
          <w:szCs w:val="32"/>
        </w:rPr>
        <w:t>；</w:t>
      </w:r>
      <w:proofErr w:type="gramStart"/>
      <w:r>
        <w:rPr>
          <w:rFonts w:ascii="仿宋_GB2312" w:eastAsia="仿宋_GB2312" w:hint="eastAsia"/>
          <w:szCs w:val="32"/>
        </w:rPr>
        <w:t>政务微信公开</w:t>
      </w:r>
      <w:proofErr w:type="gramEnd"/>
      <w:r>
        <w:rPr>
          <w:rFonts w:ascii="仿宋_GB2312" w:eastAsia="仿宋_GB2312" w:hint="eastAsia"/>
          <w:szCs w:val="32"/>
        </w:rPr>
        <w:t>信息</w:t>
      </w:r>
      <w:r>
        <w:rPr>
          <w:rFonts w:ascii="仿宋_GB2312" w:eastAsia="仿宋_GB2312" w:hint="eastAsia"/>
          <w:szCs w:val="32"/>
        </w:rPr>
        <w:t>220</w:t>
      </w:r>
      <w:r>
        <w:rPr>
          <w:rFonts w:ascii="仿宋_GB2312" w:eastAsia="仿宋_GB2312" w:hint="eastAsia"/>
          <w:szCs w:val="32"/>
        </w:rPr>
        <w:t>条，占</w:t>
      </w:r>
      <w:r>
        <w:rPr>
          <w:rFonts w:ascii="仿宋_GB2312" w:eastAsia="仿宋_GB2312" w:hint="eastAsia"/>
          <w:szCs w:val="32"/>
        </w:rPr>
        <w:t>71.9%</w:t>
      </w:r>
      <w:r>
        <w:rPr>
          <w:rFonts w:ascii="仿宋_GB2312" w:eastAsia="仿宋_GB2312" w:hint="eastAsia"/>
          <w:szCs w:val="32"/>
        </w:rPr>
        <w:t>。收到</w:t>
      </w:r>
      <w:r>
        <w:rPr>
          <w:rFonts w:ascii="仿宋_GB2312" w:eastAsia="仿宋_GB2312" w:hint="eastAsia"/>
          <w:szCs w:val="32"/>
        </w:rPr>
        <w:t>12345</w:t>
      </w:r>
      <w:r>
        <w:rPr>
          <w:rFonts w:ascii="仿宋_GB2312" w:eastAsia="仿宋_GB2312" w:hint="eastAsia"/>
          <w:szCs w:val="32"/>
        </w:rPr>
        <w:t>群众投诉件</w:t>
      </w:r>
      <w:r>
        <w:rPr>
          <w:rFonts w:ascii="仿宋_GB2312" w:eastAsia="仿宋_GB2312" w:hint="eastAsia"/>
          <w:szCs w:val="32"/>
        </w:rPr>
        <w:t>1658</w:t>
      </w:r>
      <w:r>
        <w:rPr>
          <w:rFonts w:ascii="仿宋_GB2312" w:eastAsia="仿宋_GB2312" w:hint="eastAsia"/>
          <w:szCs w:val="32"/>
        </w:rPr>
        <w:t>件，主要涉及待遇补助，农村建设等方面，均在</w:t>
      </w:r>
      <w:r>
        <w:rPr>
          <w:rFonts w:ascii="仿宋_GB2312" w:eastAsia="仿宋_GB2312" w:hint="eastAsia"/>
          <w:szCs w:val="32"/>
        </w:rPr>
        <w:t>5</w:t>
      </w:r>
      <w:r>
        <w:rPr>
          <w:rFonts w:ascii="仿宋_GB2312" w:eastAsia="仿宋_GB2312" w:hint="eastAsia"/>
          <w:szCs w:val="32"/>
        </w:rPr>
        <w:t>个工作日内回复，群众</w:t>
      </w:r>
      <w:r>
        <w:rPr>
          <w:rFonts w:ascii="仿宋_GB2312" w:eastAsia="仿宋_GB2312" w:hint="eastAsia"/>
          <w:szCs w:val="32"/>
        </w:rPr>
        <w:lastRenderedPageBreak/>
        <w:t>满意率</w:t>
      </w:r>
      <w:r>
        <w:rPr>
          <w:rFonts w:ascii="仿宋_GB2312" w:eastAsia="仿宋_GB2312" w:hint="eastAsia"/>
          <w:szCs w:val="32"/>
        </w:rPr>
        <w:t>88.32%</w:t>
      </w:r>
      <w:r>
        <w:rPr>
          <w:rFonts w:ascii="仿宋_GB2312" w:eastAsia="仿宋_GB2312" w:hint="eastAsia"/>
          <w:szCs w:val="32"/>
        </w:rPr>
        <w:t>。</w:t>
      </w:r>
    </w:p>
    <w:p w:rsidR="00A664CA" w:rsidRDefault="00CF54B6">
      <w:pPr>
        <w:spacing w:line="240" w:lineRule="auto"/>
        <w:ind w:firstLine="0"/>
        <w:rPr>
          <w:rFonts w:ascii="仿宋_GB2312" w:eastAsia="仿宋_GB2312"/>
          <w:szCs w:val="32"/>
          <w:lang w:val="en"/>
        </w:rPr>
      </w:pPr>
      <w:r>
        <w:rPr>
          <w:rFonts w:ascii="仿宋_GB2312" w:eastAsia="仿宋_GB2312"/>
          <w:noProof/>
          <w:szCs w:val="32"/>
        </w:rPr>
        <w:drawing>
          <wp:inline distT="0" distB="0" distL="114300" distR="114300">
            <wp:extent cx="4996180" cy="3063240"/>
            <wp:effectExtent l="0" t="0" r="13970" b="38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996180" cy="3063240"/>
                    </a:xfrm>
                    <a:prstGeom prst="rect">
                      <a:avLst/>
                    </a:prstGeom>
                  </pic:spPr>
                </pic:pic>
              </a:graphicData>
            </a:graphic>
          </wp:inline>
        </w:drawing>
      </w:r>
    </w:p>
    <w:p w:rsidR="00A664CA" w:rsidRDefault="00CF54B6">
      <w:pPr>
        <w:ind w:firstLineChars="200" w:firstLine="640"/>
        <w:jc w:val="left"/>
        <w:rPr>
          <w:rFonts w:ascii="楷体_GB2312" w:eastAsia="楷体_GB2312"/>
        </w:rPr>
      </w:pPr>
      <w:r>
        <w:rPr>
          <w:rFonts w:ascii="楷体_GB2312" w:eastAsia="楷体_GB2312" w:hint="eastAsia"/>
        </w:rPr>
        <w:t>（二）依申请公开</w:t>
      </w:r>
    </w:p>
    <w:p w:rsidR="00A664CA" w:rsidRDefault="00CF54B6">
      <w:pPr>
        <w:spacing w:line="560" w:lineRule="exact"/>
        <w:ind w:firstLineChars="200" w:firstLine="640"/>
      </w:pPr>
      <w:r>
        <w:rPr>
          <w:rFonts w:ascii="仿宋_GB2312" w:eastAsia="仿宋_GB2312" w:hint="eastAsia"/>
          <w:szCs w:val="32"/>
        </w:rPr>
        <w:t>2021</w:t>
      </w:r>
      <w:r>
        <w:rPr>
          <w:rFonts w:ascii="仿宋_GB2312" w:eastAsia="仿宋_GB2312" w:hint="eastAsia"/>
          <w:szCs w:val="32"/>
        </w:rPr>
        <w:t>年未收到政府信息公开申请，上年度未结转政府信息公开申请，未因政府信息公开被申请行政复议、提起行政诉讼。</w:t>
      </w:r>
    </w:p>
    <w:p w:rsidR="00A664CA" w:rsidRDefault="00CF54B6">
      <w:pPr>
        <w:ind w:firstLineChars="200" w:firstLine="640"/>
        <w:jc w:val="left"/>
        <w:rPr>
          <w:rFonts w:ascii="楷体_GB2312" w:eastAsia="楷体_GB2312"/>
        </w:rPr>
      </w:pPr>
      <w:r>
        <w:rPr>
          <w:rFonts w:ascii="楷体_GB2312" w:eastAsia="楷体_GB2312" w:hint="eastAsia"/>
        </w:rPr>
        <w:t>（三）政府信息管理</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严格落实</w:t>
      </w:r>
      <w:r>
        <w:rPr>
          <w:rFonts w:ascii="仿宋_GB2312" w:eastAsia="仿宋_GB2312" w:hint="eastAsia"/>
          <w:szCs w:val="32"/>
        </w:rPr>
        <w:t>政府网站信息内容管理责任，同时规范信息采集、信息审核、信息发布的管理程序。信息审核坚持“谁公开、谁审核”“先审查、后公开”“一事一审”的原则，信息审核执行</w:t>
      </w:r>
      <w:r>
        <w:rPr>
          <w:rFonts w:ascii="仿宋_GB2312" w:eastAsia="仿宋_GB2312" w:hint="eastAsia"/>
          <w:szCs w:val="32"/>
        </w:rPr>
        <w:t>10</w:t>
      </w:r>
      <w:r>
        <w:rPr>
          <w:rFonts w:ascii="仿宋_GB2312" w:eastAsia="仿宋_GB2312" w:hint="eastAsia"/>
          <w:szCs w:val="32"/>
        </w:rPr>
        <w:t>项标准，划出</w:t>
      </w:r>
      <w:r>
        <w:rPr>
          <w:rFonts w:ascii="仿宋_GB2312" w:eastAsia="仿宋_GB2312" w:hint="eastAsia"/>
          <w:szCs w:val="32"/>
        </w:rPr>
        <w:t>14</w:t>
      </w:r>
      <w:r>
        <w:rPr>
          <w:rFonts w:ascii="仿宋_GB2312" w:eastAsia="仿宋_GB2312" w:hint="eastAsia"/>
          <w:szCs w:val="32"/>
        </w:rPr>
        <w:t>条“红线”，确保信息内容的真实性、完整性、可靠性、准确性和安全性。建立动态调整机制，对文件进行专人管理，对失效的公开文件及时清理，并由党政办进行监督。</w:t>
      </w:r>
    </w:p>
    <w:p w:rsidR="00A664CA" w:rsidRDefault="00CF54B6">
      <w:pPr>
        <w:ind w:firstLineChars="200" w:firstLine="640"/>
        <w:jc w:val="left"/>
        <w:rPr>
          <w:rFonts w:ascii="楷体_GB2312" w:eastAsia="楷体_GB2312"/>
        </w:rPr>
      </w:pPr>
      <w:r>
        <w:rPr>
          <w:rFonts w:ascii="楷体_GB2312" w:eastAsia="楷体_GB2312" w:hint="eastAsia"/>
        </w:rPr>
        <w:t>（四）政府信息公开平台建设</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加大</w:t>
      </w:r>
      <w:proofErr w:type="gramStart"/>
      <w:r>
        <w:rPr>
          <w:rFonts w:ascii="仿宋_GB2312" w:eastAsia="仿宋_GB2312" w:hint="eastAsia"/>
          <w:szCs w:val="32"/>
        </w:rPr>
        <w:t>微信公众号</w:t>
      </w:r>
      <w:proofErr w:type="gramEnd"/>
      <w:r>
        <w:rPr>
          <w:rFonts w:ascii="仿宋_GB2312" w:eastAsia="仿宋_GB2312" w:hint="eastAsia"/>
          <w:szCs w:val="32"/>
        </w:rPr>
        <w:t>的政务公开力度，统筹推进政务新媒体与政府网站的协同联动。强化政府网站政务公开第一平台作</w:t>
      </w:r>
      <w:r>
        <w:rPr>
          <w:rFonts w:ascii="仿宋_GB2312" w:eastAsia="仿宋_GB2312" w:hint="eastAsia"/>
          <w:szCs w:val="32"/>
        </w:rPr>
        <w:lastRenderedPageBreak/>
        <w:t>用，完善政府信息公开目录，加大重点领域信息公开力度。建立信</w:t>
      </w:r>
      <w:r>
        <w:rPr>
          <w:rFonts w:ascii="仿宋_GB2312" w:eastAsia="仿宋_GB2312" w:hint="eastAsia"/>
          <w:szCs w:val="32"/>
        </w:rPr>
        <w:t>息公开专栏，对群众关注的信息加以公开。</w:t>
      </w:r>
    </w:p>
    <w:p w:rsidR="00A664CA" w:rsidRDefault="00CF54B6">
      <w:pPr>
        <w:ind w:firstLineChars="200" w:firstLine="640"/>
        <w:jc w:val="left"/>
        <w:rPr>
          <w:rFonts w:ascii="楷体_GB2312" w:eastAsia="楷体_GB2312"/>
        </w:rPr>
      </w:pPr>
      <w:r>
        <w:rPr>
          <w:rFonts w:ascii="楷体_GB2312" w:eastAsia="楷体_GB2312" w:hint="eastAsia"/>
        </w:rPr>
        <w:t>（五）监督保障</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调整政务公开领导小组，明确由党委副书记分管政务公开工作，健全完善领导体制和工作机制。明确党政办公室负责政府信息公开工作，并配备了</w:t>
      </w:r>
      <w:r>
        <w:rPr>
          <w:rFonts w:ascii="仿宋_GB2312" w:eastAsia="仿宋_GB2312" w:hint="eastAsia"/>
          <w:szCs w:val="32"/>
        </w:rPr>
        <w:t>1</w:t>
      </w:r>
      <w:r>
        <w:rPr>
          <w:rFonts w:ascii="仿宋_GB2312" w:eastAsia="仿宋_GB2312" w:hint="eastAsia"/>
          <w:szCs w:val="32"/>
        </w:rPr>
        <w:t>名专职人员、</w:t>
      </w:r>
      <w:r>
        <w:rPr>
          <w:rFonts w:ascii="仿宋_GB2312" w:eastAsia="仿宋_GB2312" w:hint="eastAsia"/>
          <w:szCs w:val="32"/>
        </w:rPr>
        <w:t>2</w:t>
      </w:r>
      <w:r>
        <w:rPr>
          <w:rFonts w:ascii="仿宋_GB2312" w:eastAsia="仿宋_GB2312" w:hint="eastAsia"/>
          <w:szCs w:val="32"/>
        </w:rPr>
        <w:t>名兼职人员。</w:t>
      </w:r>
      <w:r>
        <w:rPr>
          <w:rFonts w:ascii="仿宋_GB2312" w:eastAsia="仿宋_GB2312" w:hint="eastAsia"/>
          <w:szCs w:val="32"/>
        </w:rPr>
        <w:t>2021</w:t>
      </w:r>
      <w:r>
        <w:rPr>
          <w:rFonts w:ascii="仿宋_GB2312" w:eastAsia="仿宋_GB2312" w:hint="eastAsia"/>
          <w:szCs w:val="32"/>
        </w:rPr>
        <w:t>年开展</w:t>
      </w:r>
      <w:r>
        <w:rPr>
          <w:rFonts w:ascii="仿宋_GB2312" w:eastAsia="仿宋_GB2312" w:hint="eastAsia"/>
          <w:szCs w:val="32"/>
        </w:rPr>
        <w:t>2</w:t>
      </w:r>
      <w:r>
        <w:rPr>
          <w:rFonts w:ascii="仿宋_GB2312" w:eastAsia="仿宋_GB2312" w:hint="eastAsia"/>
          <w:szCs w:val="32"/>
        </w:rPr>
        <w:t>次培训，提升工作人员的政务公开和责任意识。</w:t>
      </w: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A664CA">
      <w:pPr>
        <w:spacing w:line="560" w:lineRule="exact"/>
        <w:ind w:firstLineChars="200" w:firstLine="640"/>
        <w:rPr>
          <w:rFonts w:ascii="仿宋_GB2312" w:eastAsia="仿宋_GB2312"/>
          <w:szCs w:val="32"/>
        </w:rPr>
      </w:pPr>
    </w:p>
    <w:p w:rsidR="00A664CA" w:rsidRDefault="00CF54B6">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9"/>
        <w:tblW w:w="0" w:type="auto"/>
        <w:jc w:val="center"/>
        <w:tblLook w:val="04A0" w:firstRow="1" w:lastRow="0" w:firstColumn="1" w:lastColumn="0" w:noHBand="0" w:noVBand="1"/>
      </w:tblPr>
      <w:tblGrid>
        <w:gridCol w:w="2454"/>
        <w:gridCol w:w="2022"/>
        <w:gridCol w:w="2023"/>
        <w:gridCol w:w="2023"/>
      </w:tblGrid>
      <w:tr w:rsidR="00A664CA">
        <w:trPr>
          <w:trHeight w:hRule="exact" w:val="567"/>
          <w:jc w:val="center"/>
        </w:trPr>
        <w:tc>
          <w:tcPr>
            <w:tcW w:w="8981" w:type="dxa"/>
            <w:gridSpan w:val="4"/>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第二十条第（一）项</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2130"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本年</w:t>
            </w:r>
            <w:r>
              <w:rPr>
                <w:rFonts w:ascii="仿宋_GB2312" w:eastAsia="仿宋_GB2312" w:hAnsi="仿宋_GB2312" w:cs="仿宋_GB2312" w:hint="eastAsia"/>
                <w:snapToGrid/>
                <w:sz w:val="20"/>
              </w:rPr>
              <w:t>制发件数</w:t>
            </w:r>
          </w:p>
        </w:tc>
        <w:tc>
          <w:tcPr>
            <w:tcW w:w="2131"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本年废止件数</w:t>
            </w:r>
          </w:p>
        </w:tc>
        <w:tc>
          <w:tcPr>
            <w:tcW w:w="2131"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color w:val="000000"/>
                <w:sz w:val="20"/>
              </w:rPr>
              <w:t>现行有效件</w:t>
            </w:r>
            <w:r>
              <w:rPr>
                <w:rFonts w:ascii="仿宋_GB2312" w:eastAsia="仿宋_GB2312" w:hAnsi="仿宋_GB2312" w:cs="仿宋_GB2312" w:hint="eastAsia"/>
                <w:snapToGrid/>
                <w:sz w:val="20"/>
              </w:rPr>
              <w:t>数</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规章</w:t>
            </w:r>
          </w:p>
        </w:tc>
        <w:tc>
          <w:tcPr>
            <w:tcW w:w="2130"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行政规范性文件</w:t>
            </w:r>
          </w:p>
        </w:tc>
        <w:tc>
          <w:tcPr>
            <w:tcW w:w="2130"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c>
          <w:tcPr>
            <w:tcW w:w="2131" w:type="dxa"/>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A664CA">
        <w:trPr>
          <w:trHeight w:hRule="exact" w:val="567"/>
          <w:jc w:val="center"/>
        </w:trPr>
        <w:tc>
          <w:tcPr>
            <w:tcW w:w="8981" w:type="dxa"/>
            <w:gridSpan w:val="4"/>
            <w:vAlign w:val="center"/>
          </w:tcPr>
          <w:p w:rsidR="00A664CA" w:rsidRDefault="00CF54B6">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第二十条第（五）项</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本年处理决定数量</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行政许可</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A664CA">
        <w:trPr>
          <w:trHeight w:hRule="exact" w:val="567"/>
          <w:jc w:val="center"/>
        </w:trPr>
        <w:tc>
          <w:tcPr>
            <w:tcW w:w="8981" w:type="dxa"/>
            <w:gridSpan w:val="4"/>
            <w:vAlign w:val="center"/>
          </w:tcPr>
          <w:p w:rsidR="00A664CA" w:rsidRDefault="00CF54B6">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第二十条第（六）项</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本年处理决定数量</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行政处罚</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行政强制</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r w:rsidR="00A664CA">
        <w:trPr>
          <w:trHeight w:hRule="exact" w:val="567"/>
          <w:jc w:val="center"/>
        </w:trPr>
        <w:tc>
          <w:tcPr>
            <w:tcW w:w="8981" w:type="dxa"/>
            <w:gridSpan w:val="4"/>
            <w:vAlign w:val="center"/>
          </w:tcPr>
          <w:p w:rsidR="00A664CA" w:rsidRDefault="00CF54B6">
            <w:pPr>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第二十条第（八）项</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信息内容</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napToGrid/>
                <w:color w:val="000000"/>
                <w:sz w:val="20"/>
              </w:rPr>
              <w:t>本年收费金额（单位：万元）</w:t>
            </w:r>
          </w:p>
        </w:tc>
      </w:tr>
      <w:tr w:rsidR="00A664CA">
        <w:trPr>
          <w:trHeight w:hRule="exact" w:val="567"/>
          <w:jc w:val="center"/>
        </w:trPr>
        <w:tc>
          <w:tcPr>
            <w:tcW w:w="2589" w:type="dxa"/>
            <w:vAlign w:val="center"/>
          </w:tcPr>
          <w:p w:rsidR="00A664CA" w:rsidRDefault="00CF54B6">
            <w:pPr>
              <w:widowControl/>
              <w:autoSpaceDE/>
              <w:autoSpaceDN/>
              <w:snapToGrid/>
              <w:spacing w:line="240" w:lineRule="auto"/>
              <w:ind w:firstLine="0"/>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行政事业性收费</w:t>
            </w:r>
          </w:p>
        </w:tc>
        <w:tc>
          <w:tcPr>
            <w:tcW w:w="6392" w:type="dxa"/>
            <w:gridSpan w:val="3"/>
            <w:vAlign w:val="center"/>
          </w:tcPr>
          <w:p w:rsidR="00A664CA" w:rsidRDefault="00CF54B6">
            <w:pPr>
              <w:spacing w:line="240" w:lineRule="auto"/>
              <w:ind w:firstLine="0"/>
              <w:jc w:val="center"/>
              <w:rPr>
                <w:rFonts w:ascii="仿宋_GB2312" w:eastAsia="仿宋_GB2312" w:hAnsi="仿宋_GB2312" w:cs="仿宋_GB2312"/>
                <w:sz w:val="20"/>
              </w:rPr>
            </w:pPr>
            <w:r>
              <w:rPr>
                <w:rFonts w:ascii="仿宋_GB2312" w:eastAsia="仿宋_GB2312" w:hAnsi="仿宋_GB2312" w:cs="仿宋_GB2312" w:hint="eastAsia"/>
                <w:sz w:val="20"/>
              </w:rPr>
              <w:t>0</w:t>
            </w:r>
          </w:p>
        </w:tc>
      </w:tr>
    </w:tbl>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line="240" w:lineRule="auto"/>
        <w:ind w:firstLine="0"/>
        <w:rPr>
          <w:rFonts w:ascii="仿宋_GB2312" w:eastAsia="仿宋_GB2312" w:hAnsi="仿宋_GB2312" w:cs="仿宋_GB2312"/>
          <w:sz w:val="30"/>
          <w:szCs w:val="30"/>
        </w:rPr>
      </w:pPr>
    </w:p>
    <w:p w:rsidR="00A664CA" w:rsidRDefault="00CF54B6">
      <w:pPr>
        <w:spacing w:afterLines="50" w:after="156" w:line="240" w:lineRule="auto"/>
        <w:ind w:firstLineChars="200" w:firstLine="640"/>
        <w:rPr>
          <w:rFonts w:ascii="仿宋_GB2312" w:eastAsia="仿宋_GB2312" w:hAnsi="仿宋_GB2312" w:cs="仿宋_GB2312"/>
          <w:szCs w:val="32"/>
        </w:rPr>
      </w:pPr>
      <w:r>
        <w:rPr>
          <w:rFonts w:ascii="黑体" w:eastAsia="黑体" w:hAnsi="黑体" w:hint="eastAsia"/>
          <w:szCs w:val="32"/>
        </w:rPr>
        <w:lastRenderedPageBreak/>
        <w:t>三、收到和处理政府信息公开申请情况</w:t>
      </w:r>
    </w:p>
    <w:tbl>
      <w:tblPr>
        <w:tblW w:w="993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664CA">
        <w:trPr>
          <w:jc w:val="center"/>
        </w:trPr>
        <w:tc>
          <w:tcPr>
            <w:tcW w:w="4549" w:type="dxa"/>
            <w:gridSpan w:val="3"/>
            <w:vMerge w:val="restart"/>
            <w:tcBorders>
              <w:bottom w:val="inset"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（本列数据的勾</w:t>
            </w:r>
            <w:proofErr w:type="gramStart"/>
            <w:r>
              <w:rPr>
                <w:rFonts w:ascii="仿宋_GB2312" w:eastAsia="仿宋_GB2312" w:hAnsi="仿宋_GB2312" w:cs="仿宋_GB2312" w:hint="eastAsia"/>
                <w:snapToGrid/>
                <w:sz w:val="20"/>
              </w:rPr>
              <w:t>稽</w:t>
            </w:r>
            <w:proofErr w:type="gramEnd"/>
            <w:r>
              <w:rPr>
                <w:rFonts w:ascii="仿宋_GB2312" w:eastAsia="仿宋_GB2312" w:hAnsi="仿宋_GB2312" w:cs="仿宋_GB2312" w:hint="eastAsia"/>
                <w:snapToGrid/>
                <w:sz w:val="20"/>
              </w:rPr>
              <w:t>关系为：第一项加第二项之和，等于第三项加第四项之和）</w:t>
            </w:r>
          </w:p>
        </w:tc>
        <w:tc>
          <w:tcPr>
            <w:tcW w:w="5386" w:type="dxa"/>
            <w:gridSpan w:val="7"/>
            <w:tcBorders>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申请人情况</w:t>
            </w:r>
          </w:p>
        </w:tc>
      </w:tr>
      <w:tr w:rsidR="00A664CA">
        <w:trPr>
          <w:jc w:val="center"/>
        </w:trPr>
        <w:tc>
          <w:tcPr>
            <w:tcW w:w="4549" w:type="dxa"/>
            <w:gridSpan w:val="3"/>
            <w:vMerge/>
            <w:tcBorders>
              <w:top w:val="single" w:sz="8" w:space="0" w:color="auto"/>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法人或其他组织</w:t>
            </w:r>
          </w:p>
        </w:tc>
        <w:tc>
          <w:tcPr>
            <w:tcW w:w="756" w:type="dxa"/>
            <w:vMerge w:val="restart"/>
            <w:tcBorders>
              <w:top w:val="single" w:sz="8" w:space="0" w:color="auto"/>
              <w:left w:val="nil"/>
              <w:bottom w:val="inset"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总计</w:t>
            </w:r>
          </w:p>
        </w:tc>
      </w:tr>
      <w:tr w:rsidR="00A664CA">
        <w:trPr>
          <w:jc w:val="center"/>
        </w:trPr>
        <w:tc>
          <w:tcPr>
            <w:tcW w:w="4549" w:type="dxa"/>
            <w:gridSpan w:val="3"/>
            <w:vMerge/>
            <w:tcBorders>
              <w:top w:val="single" w:sz="8" w:space="0" w:color="auto"/>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850" w:type="dxa"/>
            <w:vMerge/>
            <w:tcBorders>
              <w:top w:val="nil"/>
              <w:left w:val="nil"/>
              <w:bottom w:val="single"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商业</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科研</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其他</w:t>
            </w:r>
          </w:p>
        </w:tc>
        <w:tc>
          <w:tcPr>
            <w:tcW w:w="756" w:type="dxa"/>
            <w:vMerge/>
            <w:tcBorders>
              <w:top w:val="single" w:sz="8" w:space="0" w:color="auto"/>
              <w:left w:val="nil"/>
              <w:bottom w:val="inset"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r>
      <w:tr w:rsidR="00A664CA">
        <w:trPr>
          <w:jc w:val="center"/>
        </w:trPr>
        <w:tc>
          <w:tcPr>
            <w:tcW w:w="4549" w:type="dxa"/>
            <w:gridSpan w:val="3"/>
            <w:tcBorders>
              <w:top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4549" w:type="dxa"/>
            <w:gridSpan w:val="3"/>
            <w:tcBorders>
              <w:top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二、上年结转政府信息公开申请数量</w:t>
            </w:r>
          </w:p>
        </w:tc>
        <w:tc>
          <w:tcPr>
            <w:tcW w:w="850"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4"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768" w:type="dxa"/>
            <w:vMerge w:val="restart"/>
            <w:tcBorders>
              <w:top w:val="single" w:sz="4" w:space="0" w:color="auto"/>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三、本年度办理结果</w:t>
            </w:r>
          </w:p>
        </w:tc>
        <w:tc>
          <w:tcPr>
            <w:tcW w:w="3781" w:type="dxa"/>
            <w:gridSpan w:val="2"/>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（一）予以公开</w:t>
            </w:r>
          </w:p>
        </w:tc>
        <w:tc>
          <w:tcPr>
            <w:tcW w:w="850"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4" w:space="0" w:color="auto"/>
              <w:left w:val="nil"/>
              <w:bottom w:val="single" w:sz="4"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single" w:sz="4" w:space="0" w:color="auto"/>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3781" w:type="dxa"/>
            <w:gridSpan w:val="2"/>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（二）部分公开（区分处理的，只计这一情形，不计其他情形）</w:t>
            </w:r>
          </w:p>
        </w:tc>
        <w:tc>
          <w:tcPr>
            <w:tcW w:w="850"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4" w:space="0" w:color="auto"/>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r>
              <w:rPr>
                <w:rFonts w:ascii="仿宋_GB2312" w:eastAsia="仿宋_GB2312" w:hAnsi="仿宋_GB2312" w:cs="仿宋_GB2312"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8" w:space="0" w:color="auto"/>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r>
              <w:rPr>
                <w:rFonts w:ascii="仿宋_GB2312" w:eastAsia="仿宋_GB2312" w:hAnsi="仿宋_GB2312" w:cs="仿宋_GB2312"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w:t>
            </w:r>
            <w:r>
              <w:rPr>
                <w:rFonts w:ascii="仿宋_GB2312" w:eastAsia="仿宋_GB2312" w:hAnsi="仿宋_GB2312" w:cs="仿宋_GB2312" w:hint="eastAsia"/>
                <w:snapToGrid/>
                <w:sz w:val="20"/>
              </w:rPr>
              <w:t>危及“三安全</w:t>
            </w:r>
            <w:proofErr w:type="gramStart"/>
            <w:r>
              <w:rPr>
                <w:rFonts w:ascii="仿宋_GB2312" w:eastAsia="仿宋_GB2312" w:hAnsi="仿宋_GB2312" w:cs="仿宋_GB2312" w:hint="eastAsia"/>
                <w:snapToGrid/>
                <w:sz w:val="20"/>
              </w:rPr>
              <w:t>一</w:t>
            </w:r>
            <w:proofErr w:type="gramEnd"/>
            <w:r>
              <w:rPr>
                <w:rFonts w:ascii="仿宋_GB2312" w:eastAsia="仿宋_GB2312" w:hAnsi="仿宋_GB2312" w:cs="仿宋_GB2312"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4.</w:t>
            </w:r>
            <w:r>
              <w:rPr>
                <w:rFonts w:ascii="仿宋_GB2312" w:eastAsia="仿宋_GB2312" w:hAnsi="仿宋_GB2312" w:cs="仿宋_GB2312"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5.</w:t>
            </w:r>
            <w:r>
              <w:rPr>
                <w:rFonts w:ascii="仿宋_GB2312" w:eastAsia="仿宋_GB2312" w:hAnsi="仿宋_GB2312" w:cs="仿宋_GB2312"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6.</w:t>
            </w:r>
            <w:r>
              <w:rPr>
                <w:rFonts w:ascii="仿宋_GB2312" w:eastAsia="仿宋_GB2312" w:hAnsi="仿宋_GB2312" w:cs="仿宋_GB2312"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7.</w:t>
            </w:r>
            <w:r>
              <w:rPr>
                <w:rFonts w:ascii="仿宋_GB2312" w:eastAsia="仿宋_GB2312" w:hAnsi="仿宋_GB2312" w:cs="仿宋_GB2312"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8.</w:t>
            </w:r>
            <w:r>
              <w:rPr>
                <w:rFonts w:ascii="仿宋_GB2312" w:eastAsia="仿宋_GB2312" w:hAnsi="仿宋_GB2312" w:cs="仿宋_GB2312"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r>
              <w:rPr>
                <w:rFonts w:ascii="仿宋_GB2312" w:eastAsia="仿宋_GB2312" w:hAnsi="仿宋_GB2312" w:cs="仿宋_GB2312"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r>
              <w:rPr>
                <w:rFonts w:ascii="仿宋_GB2312" w:eastAsia="仿宋_GB2312" w:hAnsi="仿宋_GB2312" w:cs="仿宋_GB2312"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4"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w:t>
            </w:r>
            <w:r>
              <w:rPr>
                <w:rFonts w:ascii="仿宋_GB2312" w:eastAsia="仿宋_GB2312" w:hAnsi="仿宋_GB2312" w:cs="仿宋_GB2312" w:hint="eastAsia"/>
                <w:snapToGrid/>
                <w:sz w:val="20"/>
              </w:rPr>
              <w:t>补正后申请内容仍不明确</w:t>
            </w:r>
          </w:p>
        </w:tc>
        <w:tc>
          <w:tcPr>
            <w:tcW w:w="850"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4"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single" w:sz="4"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（五）</w:t>
            </w:r>
            <w:proofErr w:type="gramStart"/>
            <w:r>
              <w:rPr>
                <w:rFonts w:ascii="仿宋_GB2312" w:eastAsia="仿宋_GB2312" w:hAnsi="仿宋_GB2312" w:cs="仿宋_GB2312" w:hint="eastAsia"/>
                <w:snapToGrid/>
                <w:sz w:val="20"/>
              </w:rPr>
              <w:t>不予处理</w:t>
            </w:r>
            <w:proofErr w:type="gramEnd"/>
          </w:p>
        </w:tc>
        <w:tc>
          <w:tcPr>
            <w:tcW w:w="2838" w:type="dxa"/>
            <w:tcBorders>
              <w:top w:val="single" w:sz="4" w:space="0" w:color="auto"/>
              <w:left w:val="nil"/>
              <w:bottom w:val="single" w:sz="4"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r>
              <w:rPr>
                <w:rFonts w:ascii="仿宋_GB2312" w:eastAsia="仿宋_GB2312" w:hAnsi="仿宋_GB2312" w:cs="仿宋_GB2312" w:hint="eastAsia"/>
                <w:snapToGrid/>
                <w:sz w:val="20"/>
              </w:rPr>
              <w:t>信访举报投诉类申请</w:t>
            </w:r>
          </w:p>
        </w:tc>
        <w:tc>
          <w:tcPr>
            <w:tcW w:w="850"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4" w:space="0" w:color="auto"/>
              <w:left w:val="nil"/>
              <w:bottom w:val="single" w:sz="4"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single" w:sz="4" w:space="0" w:color="auto"/>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4" w:space="0" w:color="auto"/>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single" w:sz="4" w:space="0" w:color="auto"/>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r>
              <w:rPr>
                <w:rFonts w:ascii="仿宋_GB2312" w:eastAsia="仿宋_GB2312" w:hAnsi="仿宋_GB2312" w:cs="仿宋_GB2312" w:hint="eastAsia"/>
                <w:snapToGrid/>
                <w:sz w:val="20"/>
              </w:rPr>
              <w:t>重复申请</w:t>
            </w:r>
          </w:p>
        </w:tc>
        <w:tc>
          <w:tcPr>
            <w:tcW w:w="850"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single" w:sz="4" w:space="0" w:color="auto"/>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w:t>
            </w:r>
            <w:r>
              <w:rPr>
                <w:rFonts w:ascii="仿宋_GB2312" w:eastAsia="仿宋_GB2312" w:hAnsi="仿宋_GB2312" w:cs="仿宋_GB2312"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4.</w:t>
            </w:r>
            <w:r>
              <w:rPr>
                <w:rFonts w:ascii="仿宋_GB2312" w:eastAsia="仿宋_GB2312" w:hAnsi="仿宋_GB2312" w:cs="仿宋_GB2312"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trHeight w:val="779"/>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5.</w:t>
            </w:r>
            <w:r>
              <w:rPr>
                <w:rFonts w:ascii="仿宋_GB2312" w:eastAsia="仿宋_GB2312" w:hAnsi="仿宋_GB2312" w:cs="仿宋_GB2312"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inset"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1.</w:t>
            </w:r>
            <w:r>
              <w:rPr>
                <w:rFonts w:ascii="仿宋_GB2312" w:eastAsia="仿宋_GB2312" w:hAnsi="仿宋_GB2312" w:cs="仿宋_GB2312" w:hint="eastAsia"/>
                <w:snapToGrid/>
                <w:sz w:val="20"/>
              </w:rPr>
              <w:t>申请人无正当理由逾期</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补正、行政机关</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2.</w:t>
            </w:r>
            <w:r>
              <w:rPr>
                <w:rFonts w:ascii="仿宋_GB2312" w:eastAsia="仿宋_GB2312" w:hAnsi="仿宋_GB2312" w:cs="仿宋_GB2312" w:hint="eastAsia"/>
                <w:snapToGrid/>
                <w:sz w:val="20"/>
              </w:rPr>
              <w:t>申请人逾期未按收费通知要求缴纳费用、行政机关</w:t>
            </w:r>
            <w:proofErr w:type="gramStart"/>
            <w:r>
              <w:rPr>
                <w:rFonts w:ascii="仿宋_GB2312" w:eastAsia="仿宋_GB2312" w:hAnsi="仿宋_GB2312" w:cs="仿宋_GB2312" w:hint="eastAsia"/>
                <w:snapToGrid/>
                <w:sz w:val="20"/>
              </w:rPr>
              <w:t>不</w:t>
            </w:r>
            <w:proofErr w:type="gramEnd"/>
            <w:r>
              <w:rPr>
                <w:rFonts w:ascii="仿宋_GB2312" w:eastAsia="仿宋_GB2312" w:hAnsi="仿宋_GB2312" w:cs="仿宋_GB2312"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3.</w:t>
            </w:r>
            <w:r>
              <w:rPr>
                <w:rFonts w:ascii="仿宋_GB2312" w:eastAsia="仿宋_GB2312" w:hAnsi="仿宋_GB2312" w:cs="仿宋_GB2312"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0" w:type="auto"/>
            <w:vMerge/>
            <w:tcBorders>
              <w:top w:val="nil"/>
              <w:bottom w:val="inset" w:sz="8"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bottom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r>
      <w:tr w:rsidR="00A664CA">
        <w:trPr>
          <w:jc w:val="center"/>
        </w:trPr>
        <w:tc>
          <w:tcPr>
            <w:tcW w:w="4549" w:type="dxa"/>
            <w:gridSpan w:val="3"/>
            <w:tcBorders>
              <w:top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四、结转下年度继续办理</w:t>
            </w:r>
          </w:p>
        </w:tc>
        <w:tc>
          <w:tcPr>
            <w:tcW w:w="850"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02"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851"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09" w:type="dxa"/>
            <w:tcBorders>
              <w:top w:val="nil"/>
              <w:left w:val="nil"/>
              <w:right w:val="single" w:sz="8" w:space="0" w:color="auto"/>
            </w:tcBorders>
            <w:tcMar>
              <w:top w:w="0" w:type="dxa"/>
              <w:left w:w="57" w:type="dxa"/>
              <w:bottom w:w="0" w:type="dxa"/>
              <w:right w:w="57"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w:t>
            </w:r>
          </w:p>
        </w:tc>
        <w:tc>
          <w:tcPr>
            <w:tcW w:w="756" w:type="dxa"/>
            <w:tcBorders>
              <w:top w:val="nil"/>
              <w:left w:val="nil"/>
            </w:tcBorders>
            <w:tcMar>
              <w:top w:w="0" w:type="dxa"/>
              <w:left w:w="57" w:type="dxa"/>
              <w:bottom w:w="0" w:type="dxa"/>
              <w:right w:w="57" w:type="dxa"/>
            </w:tcMar>
            <w:vAlign w:val="center"/>
          </w:tcPr>
          <w:p w:rsidR="00A664CA" w:rsidRDefault="00CF54B6">
            <w:pPr>
              <w:widowControl/>
              <w:autoSpaceDE/>
              <w:autoSpaceDN/>
              <w:snapToGrid/>
              <w:spacing w:line="240" w:lineRule="auto"/>
              <w:ind w:firstLineChars="100" w:firstLine="24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4"/>
                <w:szCs w:val="24"/>
              </w:rPr>
              <w:t>0</w:t>
            </w:r>
          </w:p>
        </w:tc>
      </w:tr>
    </w:tbl>
    <w:p w:rsidR="00A664CA" w:rsidRDefault="00A664CA">
      <w:pPr>
        <w:spacing w:line="240" w:lineRule="auto"/>
        <w:ind w:firstLine="0"/>
        <w:rPr>
          <w:rFonts w:ascii="仿宋_GB2312" w:eastAsia="仿宋_GB2312" w:hAnsi="仿宋_GB2312" w:cs="仿宋_GB2312"/>
          <w:sz w:val="30"/>
          <w:szCs w:val="30"/>
        </w:rPr>
      </w:pPr>
    </w:p>
    <w:p w:rsidR="00A664CA" w:rsidRDefault="00A664CA">
      <w:pPr>
        <w:spacing w:afterLines="50" w:after="156" w:line="240" w:lineRule="auto"/>
        <w:ind w:firstLineChars="200" w:firstLine="640"/>
        <w:rPr>
          <w:rFonts w:ascii="仿宋_GB2312" w:eastAsia="仿宋_GB2312" w:hAnsi="仿宋_GB2312" w:cs="仿宋_GB2312"/>
          <w:szCs w:val="32"/>
        </w:rPr>
      </w:pPr>
    </w:p>
    <w:p w:rsidR="00A664CA" w:rsidRDefault="00A664CA">
      <w:pPr>
        <w:spacing w:afterLines="50" w:after="156" w:line="240" w:lineRule="auto"/>
        <w:ind w:firstLineChars="200" w:firstLine="640"/>
        <w:rPr>
          <w:rFonts w:ascii="仿宋_GB2312" w:eastAsia="仿宋_GB2312" w:hAnsi="仿宋_GB2312" w:cs="仿宋_GB2312"/>
          <w:szCs w:val="32"/>
        </w:rPr>
      </w:pPr>
    </w:p>
    <w:p w:rsidR="00A664CA" w:rsidRDefault="00CF54B6">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664CA">
        <w:trPr>
          <w:jc w:val="center"/>
        </w:trPr>
        <w:tc>
          <w:tcPr>
            <w:tcW w:w="3210" w:type="dxa"/>
            <w:gridSpan w:val="5"/>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行政复议</w:t>
            </w:r>
          </w:p>
        </w:tc>
        <w:tc>
          <w:tcPr>
            <w:tcW w:w="6428" w:type="dxa"/>
            <w:gridSpan w:val="10"/>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行政诉讼</w:t>
            </w:r>
          </w:p>
        </w:tc>
      </w:tr>
      <w:tr w:rsidR="00A664CA">
        <w:trPr>
          <w:trHeight w:val="900"/>
          <w:jc w:val="center"/>
        </w:trPr>
        <w:tc>
          <w:tcPr>
            <w:tcW w:w="642"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结果</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其他</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尚未</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复议后起诉</w:t>
            </w:r>
          </w:p>
        </w:tc>
      </w:tr>
      <w:tr w:rsidR="00A664CA">
        <w:trPr>
          <w:jc w:val="center"/>
        </w:trPr>
        <w:tc>
          <w:tcPr>
            <w:tcW w:w="0" w:type="auto"/>
            <w:vMerge/>
            <w:tcBorders>
              <w:top w:val="nil"/>
              <w:left w:val="single" w:sz="4"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nil"/>
              <w:left w:val="single" w:sz="8"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0" w:type="auto"/>
            <w:vMerge/>
            <w:tcBorders>
              <w:top w:val="single" w:sz="8" w:space="0" w:color="auto"/>
              <w:left w:val="single" w:sz="8" w:space="0" w:color="auto"/>
              <w:bottom w:val="single" w:sz="4" w:space="0" w:color="auto"/>
              <w:right w:val="single" w:sz="8" w:space="0" w:color="auto"/>
            </w:tcBorders>
            <w:vAlign w:val="center"/>
          </w:tcPr>
          <w:p w:rsidR="00A664CA" w:rsidRDefault="00A664CA">
            <w:pPr>
              <w:widowControl/>
              <w:autoSpaceDE/>
              <w:autoSpaceDN/>
              <w:snapToGrid/>
              <w:spacing w:line="240" w:lineRule="auto"/>
              <w:ind w:firstLine="0"/>
              <w:jc w:val="left"/>
              <w:rPr>
                <w:rFonts w:ascii="仿宋_GB2312" w:eastAsia="仿宋_GB2312" w:hAnsi="仿宋_GB2312" w:cs="仿宋_GB2312"/>
                <w:snapToGrid/>
                <w:sz w:val="24"/>
                <w:szCs w:val="24"/>
              </w:rPr>
            </w:pPr>
          </w:p>
        </w:tc>
        <w:tc>
          <w:tcPr>
            <w:tcW w:w="64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结果</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维持</w:t>
            </w:r>
          </w:p>
        </w:tc>
        <w:tc>
          <w:tcPr>
            <w:tcW w:w="64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结果</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纠正</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其他</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结果</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尚未</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审结</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总计</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结果</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维持</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结果</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纠正</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color w:val="000000"/>
                <w:sz w:val="20"/>
              </w:rPr>
            </w:pPr>
            <w:r>
              <w:rPr>
                <w:rFonts w:ascii="仿宋_GB2312" w:eastAsia="仿宋_GB2312" w:hAnsi="仿宋_GB2312" w:cs="仿宋_GB2312" w:hint="eastAsia"/>
                <w:snapToGrid/>
                <w:color w:val="000000"/>
                <w:sz w:val="20"/>
              </w:rPr>
              <w:t>其他</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结果</w:t>
            </w:r>
          </w:p>
        </w:tc>
        <w:tc>
          <w:tcPr>
            <w:tcW w:w="6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0"/>
              </w:rPr>
            </w:pPr>
            <w:r>
              <w:rPr>
                <w:rFonts w:ascii="仿宋_GB2312" w:eastAsia="仿宋_GB2312" w:hAnsi="仿宋_GB2312" w:cs="仿宋_GB2312" w:hint="eastAsia"/>
                <w:snapToGrid/>
                <w:sz w:val="20"/>
              </w:rPr>
              <w:t>尚未</w:t>
            </w:r>
          </w:p>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审结</w:t>
            </w:r>
          </w:p>
        </w:tc>
        <w:tc>
          <w:tcPr>
            <w:tcW w:w="64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color w:val="000000"/>
                <w:sz w:val="20"/>
              </w:rPr>
              <w:t>总计</w:t>
            </w:r>
          </w:p>
        </w:tc>
      </w:tr>
      <w:tr w:rsidR="00A664CA">
        <w:trPr>
          <w:trHeight w:val="90"/>
          <w:jc w:val="center"/>
        </w:trPr>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0 </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0 </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0 </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0 </w:t>
            </w:r>
          </w:p>
        </w:tc>
        <w:tc>
          <w:tcPr>
            <w:tcW w:w="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0 </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center"/>
              <w:rPr>
                <w:rFonts w:ascii="仿宋_GB2312" w:eastAsia="仿宋_GB2312" w:hAnsi="仿宋_GB2312" w:cs="仿宋_GB2312"/>
                <w:snapToGrid/>
                <w:sz w:val="24"/>
                <w:szCs w:val="24"/>
              </w:rPr>
            </w:pPr>
            <w:r>
              <w:rPr>
                <w:rFonts w:ascii="仿宋_GB2312" w:eastAsia="仿宋_GB2312" w:hAnsi="仿宋_GB2312" w:cs="仿宋_GB2312" w:hint="eastAsia"/>
                <w:snapToGrid/>
                <w:sz w:val="20"/>
              </w:rPr>
              <w:t> 0</w:t>
            </w:r>
          </w:p>
        </w:tc>
        <w:tc>
          <w:tcPr>
            <w:tcW w:w="6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4CA" w:rsidRDefault="00CF54B6">
            <w:pPr>
              <w:widowControl/>
              <w:autoSpaceDE/>
              <w:autoSpaceDN/>
              <w:snapToGrid/>
              <w:spacing w:line="240" w:lineRule="auto"/>
              <w:ind w:firstLine="0"/>
              <w:jc w:val="left"/>
              <w:rPr>
                <w:rFonts w:ascii="仿宋_GB2312" w:eastAsia="仿宋_GB2312" w:hAnsi="仿宋_GB2312" w:cs="仿宋_GB2312"/>
                <w:snapToGrid/>
                <w:sz w:val="24"/>
                <w:szCs w:val="24"/>
              </w:rPr>
            </w:pPr>
            <w:r>
              <w:rPr>
                <w:rFonts w:ascii="仿宋_GB2312" w:eastAsia="仿宋_GB2312" w:hAnsi="仿宋_GB2312" w:cs="仿宋_GB2312" w:hint="eastAsia"/>
                <w:snapToGrid/>
                <w:sz w:val="24"/>
                <w:szCs w:val="24"/>
              </w:rPr>
              <w:t>0</w:t>
            </w:r>
          </w:p>
        </w:tc>
      </w:tr>
    </w:tbl>
    <w:p w:rsidR="00A664CA" w:rsidRDefault="00CF54B6">
      <w:pPr>
        <w:adjustRightInd w:val="0"/>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A664CA" w:rsidRDefault="00CF54B6">
      <w:pPr>
        <w:spacing w:line="560" w:lineRule="exact"/>
        <w:ind w:firstLineChars="200" w:firstLine="640"/>
        <w:jc w:val="left"/>
        <w:rPr>
          <w:rFonts w:ascii="楷体_GB2312" w:eastAsia="楷体_GB2312"/>
        </w:rPr>
      </w:pPr>
      <w:r>
        <w:rPr>
          <w:rFonts w:ascii="楷体_GB2312" w:eastAsia="楷体_GB2312" w:hint="eastAsia"/>
        </w:rPr>
        <w:t>（一）存在问题</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2021</w:t>
      </w:r>
      <w:r>
        <w:rPr>
          <w:rFonts w:ascii="仿宋_GB2312" w:eastAsia="仿宋_GB2312" w:hint="eastAsia"/>
          <w:szCs w:val="32"/>
        </w:rPr>
        <w:t>年政府信息公开工作进展顺利，公开途径进一步增加，公开内容进一步丰富，但也存在一定问题：一是政府信息公开主动性不够强、及时性不够，对一些公开的内容存在遗漏现象；二是信息公开部分栏目公开事项较少，如：工作动态较多，其他公开重视程度还不够，导致公开内容较少；三是公开的内容和形式还不够丰富。</w:t>
      </w:r>
    </w:p>
    <w:p w:rsidR="00A664CA" w:rsidRDefault="00CF54B6">
      <w:pPr>
        <w:spacing w:line="560" w:lineRule="exact"/>
        <w:ind w:firstLineChars="200" w:firstLine="640"/>
        <w:jc w:val="left"/>
        <w:rPr>
          <w:rFonts w:ascii="楷体_GB2312" w:eastAsia="楷体_GB2312"/>
        </w:rPr>
      </w:pPr>
      <w:r>
        <w:rPr>
          <w:rFonts w:ascii="楷体_GB2312" w:eastAsia="楷体_GB2312" w:hint="eastAsia"/>
        </w:rPr>
        <w:t>（二）改进措施</w:t>
      </w:r>
    </w:p>
    <w:p w:rsidR="00A664CA" w:rsidRDefault="00CF54B6">
      <w:pPr>
        <w:spacing w:line="560" w:lineRule="exact"/>
        <w:rPr>
          <w:rFonts w:ascii="仿宋_GB2312" w:eastAsia="仿宋_GB2312"/>
          <w:szCs w:val="32"/>
        </w:rPr>
      </w:pPr>
      <w:r>
        <w:rPr>
          <w:rFonts w:ascii="仿宋_GB2312" w:eastAsia="仿宋_GB2312" w:hint="eastAsia"/>
          <w:szCs w:val="32"/>
        </w:rPr>
        <w:t>一是加大主动公开力度，坚持“公开为常态、不公开为例外”，进一步完善公开机制，理顺体制机制，依托政府网站和政务新媒体，主动公开财政预决算、政策文件、机构职能、人事任免等信息。</w:t>
      </w:r>
    </w:p>
    <w:p w:rsidR="00A664CA" w:rsidRDefault="00CF54B6">
      <w:pPr>
        <w:spacing w:line="560" w:lineRule="exact"/>
        <w:rPr>
          <w:rFonts w:ascii="仿宋_GB2312" w:eastAsia="仿宋_GB2312"/>
          <w:szCs w:val="32"/>
        </w:rPr>
      </w:pPr>
      <w:r>
        <w:rPr>
          <w:rFonts w:ascii="仿宋_GB2312" w:eastAsia="仿宋_GB2312" w:hint="eastAsia"/>
          <w:szCs w:val="32"/>
        </w:rPr>
        <w:t>二是拓展公开领域。按照主动公</w:t>
      </w:r>
      <w:r>
        <w:rPr>
          <w:rFonts w:ascii="仿宋_GB2312" w:eastAsia="仿宋_GB2312" w:hint="eastAsia"/>
          <w:szCs w:val="32"/>
        </w:rPr>
        <w:t>开基本目录规范政府网站政务公开平台栏目设置，规范公开栏目和公开时限，深入推进政务公开标准化规范化建设。</w:t>
      </w:r>
    </w:p>
    <w:p w:rsidR="00A664CA" w:rsidRDefault="00CF54B6">
      <w:pPr>
        <w:spacing w:line="560" w:lineRule="exact"/>
        <w:rPr>
          <w:rFonts w:ascii="仿宋_GB2312" w:eastAsia="仿宋_GB2312"/>
          <w:szCs w:val="32"/>
        </w:rPr>
      </w:pPr>
      <w:r>
        <w:rPr>
          <w:rFonts w:ascii="仿宋_GB2312" w:eastAsia="仿宋_GB2312" w:hint="eastAsia"/>
          <w:szCs w:val="32"/>
        </w:rPr>
        <w:t>三是丰富信息公开形式。依托政务新媒体，创新公开载体，通过视频、音频、图文等形式丰富公开形式，提升信息公开实效。</w:t>
      </w:r>
    </w:p>
    <w:p w:rsidR="00A664CA" w:rsidRDefault="00CF54B6">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六、其他需要报告的事项</w:t>
      </w:r>
    </w:p>
    <w:p w:rsidR="00A664CA" w:rsidRDefault="00CF54B6">
      <w:pPr>
        <w:ind w:firstLineChars="200" w:firstLine="640"/>
        <w:jc w:val="left"/>
        <w:rPr>
          <w:rFonts w:ascii="楷体_GB2312" w:eastAsia="楷体_GB2312"/>
        </w:rPr>
      </w:pPr>
      <w:r>
        <w:rPr>
          <w:rFonts w:ascii="楷体_GB2312" w:eastAsia="楷体_GB2312" w:hint="eastAsia"/>
        </w:rPr>
        <w:t>（一）收取信息处理费情况</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本机关依申请提供政府信息，按照《国务院办公厅关于印发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w:t>
      </w:r>
      <w:r>
        <w:rPr>
          <w:rFonts w:ascii="仿宋_GB2312" w:eastAsia="仿宋_GB2312" w:hint="eastAsia"/>
          <w:szCs w:val="32"/>
        </w:rPr>
        <w:t>费。</w:t>
      </w:r>
      <w:r>
        <w:rPr>
          <w:rFonts w:ascii="仿宋_GB2312" w:eastAsia="仿宋_GB2312" w:hint="eastAsia"/>
          <w:szCs w:val="32"/>
        </w:rPr>
        <w:t>2021</w:t>
      </w:r>
      <w:r>
        <w:rPr>
          <w:rFonts w:ascii="仿宋_GB2312" w:eastAsia="仿宋_GB2312" w:hint="eastAsia"/>
          <w:szCs w:val="32"/>
        </w:rPr>
        <w:t>年，本机关依申请公开政府信息未收取任何费用。</w:t>
      </w:r>
    </w:p>
    <w:p w:rsidR="00A664CA" w:rsidRDefault="00CF54B6">
      <w:pPr>
        <w:adjustRightInd w:val="0"/>
        <w:spacing w:line="560" w:lineRule="exact"/>
        <w:jc w:val="left"/>
        <w:rPr>
          <w:rFonts w:ascii="楷体_GB2312" w:eastAsia="楷体_GB2312"/>
        </w:rPr>
      </w:pPr>
      <w:r>
        <w:rPr>
          <w:rFonts w:ascii="楷体_GB2312" w:eastAsia="楷体_GB2312" w:hint="eastAsia"/>
        </w:rPr>
        <w:t>（二）落实上级年度政务公开工作要点情况</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制定了《高青县黑里寨镇</w:t>
      </w:r>
      <w:r>
        <w:rPr>
          <w:rFonts w:ascii="仿宋_GB2312" w:eastAsia="仿宋_GB2312" w:hint="eastAsia"/>
          <w:szCs w:val="32"/>
        </w:rPr>
        <w:t>2021</w:t>
      </w:r>
      <w:r>
        <w:rPr>
          <w:rFonts w:ascii="仿宋_GB2312" w:eastAsia="仿宋_GB2312" w:hint="eastAsia"/>
          <w:szCs w:val="32"/>
        </w:rPr>
        <w:t>年政务公开工作实施方案》，做好重点领域信息公开工作，在财政信息公开方面，除涉密信息外，将</w:t>
      </w:r>
      <w:r>
        <w:rPr>
          <w:rFonts w:ascii="仿宋_GB2312" w:eastAsia="仿宋_GB2312" w:hint="eastAsia"/>
          <w:szCs w:val="32"/>
        </w:rPr>
        <w:t>2021</w:t>
      </w:r>
      <w:r>
        <w:rPr>
          <w:rFonts w:ascii="仿宋_GB2312" w:eastAsia="仿宋_GB2312" w:hint="eastAsia"/>
          <w:szCs w:val="32"/>
        </w:rPr>
        <w:t>年全镇政府预算和</w:t>
      </w:r>
      <w:r>
        <w:rPr>
          <w:rFonts w:ascii="仿宋_GB2312" w:eastAsia="仿宋_GB2312" w:hint="eastAsia"/>
          <w:szCs w:val="32"/>
        </w:rPr>
        <w:t>2020</w:t>
      </w:r>
      <w:r>
        <w:rPr>
          <w:rFonts w:ascii="仿宋_GB2312" w:eastAsia="仿宋_GB2312" w:hint="eastAsia"/>
          <w:szCs w:val="32"/>
        </w:rPr>
        <w:t>年政府决算信息全部在高青县政府网站进行公开。按时维护更新政府信息主动公开基本目录、机构职能、政策文件、政务公开组织管理等栏目。</w:t>
      </w:r>
    </w:p>
    <w:p w:rsidR="00A664CA" w:rsidRDefault="00CF54B6">
      <w:pPr>
        <w:ind w:firstLineChars="200" w:firstLine="640"/>
        <w:jc w:val="left"/>
        <w:rPr>
          <w:rFonts w:ascii="楷体_GB2312" w:eastAsia="楷体_GB2312"/>
        </w:rPr>
      </w:pPr>
      <w:r>
        <w:rPr>
          <w:rFonts w:ascii="楷体_GB2312" w:eastAsia="楷体_GB2312" w:hint="eastAsia"/>
        </w:rPr>
        <w:t>（三）人大代表建议和政协委员提案办理结果公开情况</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2021</w:t>
      </w:r>
      <w:r>
        <w:rPr>
          <w:rFonts w:ascii="仿宋_GB2312" w:eastAsia="仿宋_GB2312" w:hint="eastAsia"/>
          <w:szCs w:val="32"/>
        </w:rPr>
        <w:t>未</w:t>
      </w:r>
      <w:proofErr w:type="gramStart"/>
      <w:r>
        <w:rPr>
          <w:rFonts w:ascii="仿宋_GB2312" w:eastAsia="仿宋_GB2312" w:hint="eastAsia"/>
          <w:szCs w:val="32"/>
        </w:rPr>
        <w:t>承办县</w:t>
      </w:r>
      <w:proofErr w:type="gramEnd"/>
      <w:r>
        <w:rPr>
          <w:rFonts w:ascii="仿宋_GB2312" w:eastAsia="仿宋_GB2312" w:hint="eastAsia"/>
          <w:szCs w:val="32"/>
        </w:rPr>
        <w:t>十七届人大五次会议建议、县政协十四届五次会议提案。</w:t>
      </w:r>
    </w:p>
    <w:p w:rsidR="00A664CA" w:rsidRDefault="00CF54B6">
      <w:pPr>
        <w:ind w:firstLineChars="200" w:firstLine="640"/>
        <w:jc w:val="left"/>
        <w:rPr>
          <w:rFonts w:ascii="楷体_GB2312" w:eastAsia="楷体_GB2312"/>
        </w:rPr>
      </w:pPr>
      <w:r>
        <w:rPr>
          <w:rFonts w:ascii="楷体_GB2312" w:eastAsia="楷体_GB2312" w:hint="eastAsia"/>
        </w:rPr>
        <w:t>（四）政务公开工作</w:t>
      </w:r>
      <w:r>
        <w:rPr>
          <w:rFonts w:ascii="楷体_GB2312" w:eastAsia="楷体_GB2312" w:hint="eastAsia"/>
        </w:rPr>
        <w:t>创新情况</w:t>
      </w:r>
    </w:p>
    <w:p w:rsidR="00A664CA" w:rsidRDefault="00CF54B6">
      <w:pPr>
        <w:spacing w:line="560" w:lineRule="exact"/>
        <w:ind w:firstLineChars="200" w:firstLine="640"/>
        <w:rPr>
          <w:rFonts w:ascii="仿宋_GB2312" w:eastAsia="仿宋_GB2312"/>
          <w:szCs w:val="32"/>
        </w:rPr>
      </w:pPr>
      <w:r>
        <w:rPr>
          <w:rFonts w:ascii="仿宋_GB2312" w:eastAsia="仿宋_GB2312" w:hint="eastAsia"/>
          <w:szCs w:val="32"/>
        </w:rPr>
        <w:t>拓展政务公开新方式，线下组织开展“政府开放日”系列活动，进一步推动政务公开与民生服务深度融合，搭建政府与企业、群众之间沟通桥梁。</w:t>
      </w:r>
    </w:p>
    <w:p w:rsidR="00A664CA" w:rsidRDefault="00CF54B6">
      <w:pPr>
        <w:ind w:firstLineChars="200" w:firstLine="640"/>
        <w:jc w:val="left"/>
        <w:rPr>
          <w:rFonts w:ascii="楷体_GB2312" w:eastAsia="楷体_GB2312"/>
        </w:rPr>
      </w:pPr>
      <w:r>
        <w:rPr>
          <w:rFonts w:ascii="楷体_GB2312" w:eastAsia="楷体_GB2312" w:hint="eastAsia"/>
        </w:rPr>
        <w:t>（五）有关数据统计说明</w:t>
      </w:r>
    </w:p>
    <w:p w:rsidR="00A664CA" w:rsidRDefault="00CF54B6">
      <w:pPr>
        <w:spacing w:line="560" w:lineRule="exact"/>
        <w:ind w:firstLineChars="200" w:firstLine="640"/>
        <w:rPr>
          <w:rFonts w:ascii="仿宋_GB2312" w:eastAsia="仿宋_GB2312" w:hAnsi="仿宋_GB2312" w:cs="仿宋_GB2312"/>
          <w:sz w:val="24"/>
          <w:szCs w:val="24"/>
        </w:rPr>
      </w:pPr>
      <w:r>
        <w:rPr>
          <w:rFonts w:ascii="仿宋_GB2312" w:eastAsia="仿宋_GB2312" w:hint="eastAsia"/>
          <w:szCs w:val="32"/>
        </w:rPr>
        <w:t>报告中所列数据可能因四舍五入原因与数据直接相加</w:t>
      </w:r>
      <w:r>
        <w:rPr>
          <w:rFonts w:ascii="仿宋_GB2312" w:eastAsia="仿宋_GB2312" w:hint="eastAsia"/>
          <w:szCs w:val="32"/>
        </w:rPr>
        <w:lastRenderedPageBreak/>
        <w:t>之和存在尾数差异。</w:t>
      </w:r>
    </w:p>
    <w:p w:rsidR="00A664CA" w:rsidRDefault="00CF54B6">
      <w:pPr>
        <w:ind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A664CA" w:rsidRDefault="00CF54B6">
      <w:pPr>
        <w:ind w:firstLine="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A664CA" w:rsidRDefault="00A664CA">
      <w:pPr>
        <w:spacing w:line="560" w:lineRule="exact"/>
        <w:ind w:firstLineChars="200" w:firstLine="480"/>
        <w:rPr>
          <w:rFonts w:ascii="仿宋_GB2312" w:eastAsia="仿宋_GB2312" w:hAnsi="仿宋_GB2312" w:cs="仿宋_GB2312"/>
          <w:sz w:val="24"/>
          <w:szCs w:val="24"/>
        </w:rPr>
      </w:pPr>
    </w:p>
    <w:sectPr w:rsidR="00A66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B6" w:rsidRDefault="00CF54B6">
      <w:pPr>
        <w:spacing w:line="240" w:lineRule="auto"/>
      </w:pPr>
      <w:r>
        <w:separator/>
      </w:r>
    </w:p>
  </w:endnote>
  <w:endnote w:type="continuationSeparator" w:id="0">
    <w:p w:rsidR="00CF54B6" w:rsidRDefault="00CF5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B6" w:rsidRDefault="00CF54B6">
      <w:pPr>
        <w:spacing w:line="240" w:lineRule="auto"/>
      </w:pPr>
      <w:r>
        <w:separator/>
      </w:r>
    </w:p>
  </w:footnote>
  <w:footnote w:type="continuationSeparator" w:id="0">
    <w:p w:rsidR="00CF54B6" w:rsidRDefault="00CF54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EEFBF370"/>
    <w:rsid w:val="EF80B839"/>
    <w:rsid w:val="EFFFF6F7"/>
    <w:rsid w:val="F1FC39A3"/>
    <w:rsid w:val="F3F7CC27"/>
    <w:rsid w:val="F5F0FEEC"/>
    <w:rsid w:val="F5F77C5B"/>
    <w:rsid w:val="F6D6A4AC"/>
    <w:rsid w:val="F77F777D"/>
    <w:rsid w:val="F7FBEB96"/>
    <w:rsid w:val="FB7F49F4"/>
    <w:rsid w:val="FB97A77E"/>
    <w:rsid w:val="FBBFB3FE"/>
    <w:rsid w:val="FBED1802"/>
    <w:rsid w:val="FCEF4A69"/>
    <w:rsid w:val="FD3F3E1E"/>
    <w:rsid w:val="FDF7871A"/>
    <w:rsid w:val="FDFB9328"/>
    <w:rsid w:val="FE734873"/>
    <w:rsid w:val="FE773836"/>
    <w:rsid w:val="FED302C9"/>
    <w:rsid w:val="FEE53DB9"/>
    <w:rsid w:val="FEFF787C"/>
    <w:rsid w:val="FF7E09B8"/>
    <w:rsid w:val="FF954EBC"/>
    <w:rsid w:val="FF97116E"/>
    <w:rsid w:val="FF9776A3"/>
    <w:rsid w:val="FFB5D47C"/>
    <w:rsid w:val="FFBF68DC"/>
    <w:rsid w:val="FFC36EEB"/>
    <w:rsid w:val="FFDD724E"/>
    <w:rsid w:val="FFF749E5"/>
    <w:rsid w:val="FFFD2D57"/>
    <w:rsid w:val="FFFEC973"/>
    <w:rsid w:val="FFFED90A"/>
    <w:rsid w:val="FFFF5982"/>
    <w:rsid w:val="FFFFACD3"/>
    <w:rsid w:val="00024945"/>
    <w:rsid w:val="000740B7"/>
    <w:rsid w:val="00117733"/>
    <w:rsid w:val="00121DCF"/>
    <w:rsid w:val="00145CBF"/>
    <w:rsid w:val="0021182D"/>
    <w:rsid w:val="00211942"/>
    <w:rsid w:val="002417A3"/>
    <w:rsid w:val="002C7688"/>
    <w:rsid w:val="002E3543"/>
    <w:rsid w:val="00396EF5"/>
    <w:rsid w:val="00415AB1"/>
    <w:rsid w:val="00591E5D"/>
    <w:rsid w:val="00673AC7"/>
    <w:rsid w:val="006D7118"/>
    <w:rsid w:val="00704FCD"/>
    <w:rsid w:val="00763CDD"/>
    <w:rsid w:val="00803045"/>
    <w:rsid w:val="008C4ED2"/>
    <w:rsid w:val="009B028C"/>
    <w:rsid w:val="00A16AE9"/>
    <w:rsid w:val="00A664CA"/>
    <w:rsid w:val="00A67C12"/>
    <w:rsid w:val="00C37F5D"/>
    <w:rsid w:val="00C67940"/>
    <w:rsid w:val="00CC2BE7"/>
    <w:rsid w:val="00CD1D00"/>
    <w:rsid w:val="00CF54B6"/>
    <w:rsid w:val="00D001B6"/>
    <w:rsid w:val="00EA0721"/>
    <w:rsid w:val="00EF5607"/>
    <w:rsid w:val="00FA216A"/>
    <w:rsid w:val="00FC60D3"/>
    <w:rsid w:val="00FD46E3"/>
    <w:rsid w:val="00FD5381"/>
    <w:rsid w:val="054759DB"/>
    <w:rsid w:val="0B4D092D"/>
    <w:rsid w:val="0C5C4ED5"/>
    <w:rsid w:val="0F0FCFDD"/>
    <w:rsid w:val="0FA61B22"/>
    <w:rsid w:val="0FFF995E"/>
    <w:rsid w:val="13EB3FA7"/>
    <w:rsid w:val="15E91353"/>
    <w:rsid w:val="1628114C"/>
    <w:rsid w:val="16BB1669"/>
    <w:rsid w:val="1D77B7B0"/>
    <w:rsid w:val="1DAB270D"/>
    <w:rsid w:val="1E984D2C"/>
    <w:rsid w:val="1F71F825"/>
    <w:rsid w:val="1FF922BA"/>
    <w:rsid w:val="275F3D77"/>
    <w:rsid w:val="27FAB5A5"/>
    <w:rsid w:val="291D29FD"/>
    <w:rsid w:val="298AE6BD"/>
    <w:rsid w:val="2DEF3512"/>
    <w:rsid w:val="2E1A4FFF"/>
    <w:rsid w:val="350529D6"/>
    <w:rsid w:val="357D44E5"/>
    <w:rsid w:val="37531CE0"/>
    <w:rsid w:val="38BF2AC7"/>
    <w:rsid w:val="38FFC9F0"/>
    <w:rsid w:val="395F3498"/>
    <w:rsid w:val="39C34174"/>
    <w:rsid w:val="3AE84B17"/>
    <w:rsid w:val="3AFFA85A"/>
    <w:rsid w:val="3B3C4784"/>
    <w:rsid w:val="3BBEBC38"/>
    <w:rsid w:val="3BC7F699"/>
    <w:rsid w:val="3D4F8199"/>
    <w:rsid w:val="3DFA80E9"/>
    <w:rsid w:val="3E6F69B2"/>
    <w:rsid w:val="3EF457C7"/>
    <w:rsid w:val="3F482E9A"/>
    <w:rsid w:val="3FA0BE8B"/>
    <w:rsid w:val="3FFBBEF8"/>
    <w:rsid w:val="43762FDE"/>
    <w:rsid w:val="439671DC"/>
    <w:rsid w:val="43ABC747"/>
    <w:rsid w:val="456E0AE7"/>
    <w:rsid w:val="49E5519C"/>
    <w:rsid w:val="4A7FEB09"/>
    <w:rsid w:val="4E7D77B6"/>
    <w:rsid w:val="4EF530A5"/>
    <w:rsid w:val="4FFD8A6F"/>
    <w:rsid w:val="51FED7AB"/>
    <w:rsid w:val="53BBA705"/>
    <w:rsid w:val="55B3FF4C"/>
    <w:rsid w:val="57EF6FAB"/>
    <w:rsid w:val="596D09A1"/>
    <w:rsid w:val="59FDF21C"/>
    <w:rsid w:val="5A785436"/>
    <w:rsid w:val="5A815D81"/>
    <w:rsid w:val="5AFB030C"/>
    <w:rsid w:val="5AFD5B84"/>
    <w:rsid w:val="5BB6D81E"/>
    <w:rsid w:val="5BD462C2"/>
    <w:rsid w:val="5CFF599B"/>
    <w:rsid w:val="5DFF5798"/>
    <w:rsid w:val="5EBD7485"/>
    <w:rsid w:val="5EEEB9D4"/>
    <w:rsid w:val="5EFA7CCD"/>
    <w:rsid w:val="5F1C7F20"/>
    <w:rsid w:val="5FB784B6"/>
    <w:rsid w:val="5FD66C87"/>
    <w:rsid w:val="607521F8"/>
    <w:rsid w:val="60A56859"/>
    <w:rsid w:val="63901A42"/>
    <w:rsid w:val="671F8E24"/>
    <w:rsid w:val="675C1261"/>
    <w:rsid w:val="67FD6680"/>
    <w:rsid w:val="67FF400E"/>
    <w:rsid w:val="6929CED8"/>
    <w:rsid w:val="6B73FB6D"/>
    <w:rsid w:val="6BCB8AB3"/>
    <w:rsid w:val="6BFF4FD5"/>
    <w:rsid w:val="6D0762EE"/>
    <w:rsid w:val="6EEFD789"/>
    <w:rsid w:val="6F7E83F4"/>
    <w:rsid w:val="6FBB27F8"/>
    <w:rsid w:val="6FFDCEBB"/>
    <w:rsid w:val="70F25696"/>
    <w:rsid w:val="72D354A8"/>
    <w:rsid w:val="757DE146"/>
    <w:rsid w:val="766FE888"/>
    <w:rsid w:val="76EF21EF"/>
    <w:rsid w:val="7745D3B8"/>
    <w:rsid w:val="777750F6"/>
    <w:rsid w:val="77F79924"/>
    <w:rsid w:val="77FB3AF9"/>
    <w:rsid w:val="77FB5940"/>
    <w:rsid w:val="77FD4A65"/>
    <w:rsid w:val="77FF09AB"/>
    <w:rsid w:val="77FFB0B3"/>
    <w:rsid w:val="78177617"/>
    <w:rsid w:val="789658C3"/>
    <w:rsid w:val="791668EE"/>
    <w:rsid w:val="797F4790"/>
    <w:rsid w:val="79FDA997"/>
    <w:rsid w:val="7A87E5F8"/>
    <w:rsid w:val="7ABD6819"/>
    <w:rsid w:val="7AFB621F"/>
    <w:rsid w:val="7B2B9DF9"/>
    <w:rsid w:val="7B3ECADA"/>
    <w:rsid w:val="7B9B871E"/>
    <w:rsid w:val="7BEF8DFF"/>
    <w:rsid w:val="7C6F3138"/>
    <w:rsid w:val="7D7B13DD"/>
    <w:rsid w:val="7D7E6B1B"/>
    <w:rsid w:val="7DE9C9A1"/>
    <w:rsid w:val="7DECA85A"/>
    <w:rsid w:val="7DFFBBA8"/>
    <w:rsid w:val="7E2C4C4B"/>
    <w:rsid w:val="7E75C3E3"/>
    <w:rsid w:val="7EB72D8E"/>
    <w:rsid w:val="7EC64112"/>
    <w:rsid w:val="7EFF43ED"/>
    <w:rsid w:val="7F16EE76"/>
    <w:rsid w:val="7F6F6F96"/>
    <w:rsid w:val="7F7D58EC"/>
    <w:rsid w:val="7FB34592"/>
    <w:rsid w:val="7FB5F1A5"/>
    <w:rsid w:val="7FBB5285"/>
    <w:rsid w:val="7FBC48C4"/>
    <w:rsid w:val="7FBEE3CE"/>
    <w:rsid w:val="7FBFF5A0"/>
    <w:rsid w:val="7FD1A713"/>
    <w:rsid w:val="7FE4C303"/>
    <w:rsid w:val="7FE77ABD"/>
    <w:rsid w:val="7FE79BAC"/>
    <w:rsid w:val="7FF74EA1"/>
    <w:rsid w:val="7FF7910A"/>
    <w:rsid w:val="7FFBE1CC"/>
    <w:rsid w:val="8EDDDDC2"/>
    <w:rsid w:val="93FA8EF1"/>
    <w:rsid w:val="9CDFFBF7"/>
    <w:rsid w:val="9CEB5AF0"/>
    <w:rsid w:val="9CEF07A2"/>
    <w:rsid w:val="9D4B5CFF"/>
    <w:rsid w:val="9DFC0041"/>
    <w:rsid w:val="9E956397"/>
    <w:rsid w:val="9FEC6897"/>
    <w:rsid w:val="9FF90595"/>
    <w:rsid w:val="A5F55527"/>
    <w:rsid w:val="AC5B4B8E"/>
    <w:rsid w:val="ADC1D056"/>
    <w:rsid w:val="ADDEF560"/>
    <w:rsid w:val="B9FF005C"/>
    <w:rsid w:val="BA7B23C6"/>
    <w:rsid w:val="BAE16908"/>
    <w:rsid w:val="BAFBD640"/>
    <w:rsid w:val="BC20EA86"/>
    <w:rsid w:val="BDDBBDF7"/>
    <w:rsid w:val="BDE4F1EB"/>
    <w:rsid w:val="BF3F0190"/>
    <w:rsid w:val="BF77FA8A"/>
    <w:rsid w:val="BFAF030B"/>
    <w:rsid w:val="BFFF731F"/>
    <w:rsid w:val="C7FD6420"/>
    <w:rsid w:val="CB5729B7"/>
    <w:rsid w:val="CF7F7B06"/>
    <w:rsid w:val="CFBF8EF6"/>
    <w:rsid w:val="D3DBAC16"/>
    <w:rsid w:val="D5EBA89D"/>
    <w:rsid w:val="D63FFB6A"/>
    <w:rsid w:val="D67DFC34"/>
    <w:rsid w:val="D8E51C9B"/>
    <w:rsid w:val="D9ED0363"/>
    <w:rsid w:val="D9F7E541"/>
    <w:rsid w:val="DDBF32BC"/>
    <w:rsid w:val="DDEBCAA7"/>
    <w:rsid w:val="DE1D04AC"/>
    <w:rsid w:val="DE3F11F8"/>
    <w:rsid w:val="DECB9FD7"/>
    <w:rsid w:val="DEE976BF"/>
    <w:rsid w:val="DEFDE607"/>
    <w:rsid w:val="E1751AA0"/>
    <w:rsid w:val="E198E57B"/>
    <w:rsid w:val="E2FB2A6B"/>
    <w:rsid w:val="E569311A"/>
    <w:rsid w:val="E57983D4"/>
    <w:rsid w:val="E5CD6F58"/>
    <w:rsid w:val="E9F7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qFormat/>
    <w:rPr>
      <w:rFonts w:eastAsia="方正仿宋_GBK"/>
      <w:snapToGrid w:val="0"/>
      <w:sz w:val="18"/>
      <w:szCs w:val="18"/>
    </w:rPr>
  </w:style>
  <w:style w:type="character" w:customStyle="1" w:styleId="Char">
    <w:name w:val="批注文字 Char"/>
    <w:basedOn w:val="a0"/>
    <w:link w:val="a3"/>
    <w:uiPriority w:val="99"/>
    <w:semiHidden/>
    <w:qFormat/>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qFormat/>
    <w:rPr>
      <w:rFonts w:eastAsia="方正仿宋_GBK"/>
      <w:snapToGrid w:val="0"/>
      <w:sz w:val="18"/>
      <w:szCs w:val="18"/>
    </w:rPr>
  </w:style>
  <w:style w:type="character" w:customStyle="1" w:styleId="Char">
    <w:name w:val="批注文字 Char"/>
    <w:basedOn w:val="a0"/>
    <w:link w:val="a3"/>
    <w:uiPriority w:val="99"/>
    <w:semiHidden/>
    <w:qFormat/>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501</Words>
  <Characters>2860</Characters>
  <Application>Microsoft Office Word</Application>
  <DocSecurity>0</DocSecurity>
  <Lines>23</Lines>
  <Paragraphs>6</Paragraphs>
  <ScaleCrop>false</ScaleCrop>
  <Company>gq</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16</cp:revision>
  <dcterms:created xsi:type="dcterms:W3CDTF">2022-01-04T17:04:00Z</dcterms:created>
  <dcterms:modified xsi:type="dcterms:W3CDTF">2023-02-21T03:23:00Z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77ADB90BD5134CDBBDA4691656865185</vt:lpwstr>
  </property>
</Properties>
</file>