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D68" w:rsidRDefault="00B41A18">
      <w:pPr>
        <w:spacing w:line="600" w:lineRule="exact"/>
        <w:ind w:firstLine="0"/>
        <w:jc w:val="center"/>
        <w:rPr>
          <w:rFonts w:asciiTheme="minorEastAsia" w:eastAsiaTheme="minorEastAsia" w:hAnsiTheme="minorEastAsia"/>
          <w:b/>
          <w:sz w:val="44"/>
          <w:szCs w:val="44"/>
        </w:rPr>
      </w:pPr>
      <w:bookmarkStart w:id="0" w:name="_GoBack"/>
      <w:r>
        <w:rPr>
          <w:rFonts w:asciiTheme="minorEastAsia" w:eastAsiaTheme="minorEastAsia" w:hAnsiTheme="minorEastAsia" w:hint="eastAsia"/>
          <w:b/>
          <w:sz w:val="44"/>
          <w:szCs w:val="44"/>
        </w:rPr>
        <w:t>高青经济开发区</w:t>
      </w:r>
      <w:r w:rsidR="00C06181">
        <w:rPr>
          <w:rFonts w:asciiTheme="minorEastAsia" w:eastAsiaTheme="minorEastAsia" w:hAnsiTheme="minorEastAsia" w:hint="eastAsia"/>
          <w:b/>
          <w:sz w:val="44"/>
          <w:szCs w:val="44"/>
        </w:rPr>
        <w:t>管理委员会</w:t>
      </w:r>
    </w:p>
    <w:p w:rsidR="00250D68" w:rsidRDefault="00B41A18">
      <w:pPr>
        <w:spacing w:line="600" w:lineRule="exact"/>
        <w:ind w:firstLine="0"/>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2021</w:t>
      </w:r>
      <w:r>
        <w:rPr>
          <w:rFonts w:asciiTheme="minorEastAsia" w:eastAsiaTheme="minorEastAsia" w:hAnsiTheme="minorEastAsia" w:hint="eastAsia"/>
          <w:b/>
          <w:sz w:val="44"/>
          <w:szCs w:val="44"/>
        </w:rPr>
        <w:t>年政府信息公开工作年度报告</w:t>
      </w:r>
    </w:p>
    <w:bookmarkEnd w:id="0"/>
    <w:p w:rsidR="00250D68" w:rsidRDefault="00250D68">
      <w:pPr>
        <w:spacing w:line="600" w:lineRule="exact"/>
        <w:ind w:firstLineChars="200" w:firstLine="640"/>
        <w:rPr>
          <w:rFonts w:ascii="仿宋_GB2312" w:eastAsia="仿宋_GB2312"/>
        </w:rPr>
      </w:pPr>
    </w:p>
    <w:p w:rsidR="00250D68" w:rsidRDefault="00B41A18">
      <w:pPr>
        <w:spacing w:line="600" w:lineRule="exact"/>
        <w:ind w:firstLineChars="200" w:firstLine="640"/>
        <w:rPr>
          <w:rFonts w:ascii="仿宋_GB2312" w:eastAsia="仿宋_GB2312"/>
        </w:rPr>
      </w:pPr>
      <w:r>
        <w:rPr>
          <w:rFonts w:ascii="仿宋_GB2312" w:eastAsia="仿宋_GB2312" w:hint="eastAsia"/>
        </w:rPr>
        <w:t>本报告根据《中华人民共和国政府信息公开条例》（国务院令第</w:t>
      </w:r>
      <w:r>
        <w:rPr>
          <w:rFonts w:ascii="仿宋_GB2312" w:eastAsia="仿宋_GB2312" w:hint="eastAsia"/>
        </w:rPr>
        <w:t>711</w:t>
      </w:r>
      <w:r>
        <w:rPr>
          <w:rFonts w:ascii="仿宋_GB2312" w:eastAsia="仿宋_GB2312" w:hint="eastAsia"/>
        </w:rPr>
        <w:t>号，以下简称《条例》）要求编制。报告全文</w:t>
      </w:r>
      <w:proofErr w:type="gramStart"/>
      <w:r>
        <w:rPr>
          <w:rFonts w:ascii="仿宋_GB2312" w:eastAsia="仿宋_GB2312" w:hint="eastAsia"/>
        </w:rPr>
        <w:t>分总体</w:t>
      </w:r>
      <w:proofErr w:type="gramEnd"/>
      <w:r>
        <w:rPr>
          <w:rFonts w:ascii="仿宋_GB2312" w:eastAsia="仿宋_GB2312" w:hint="eastAsia"/>
        </w:rPr>
        <w:t>情况、主动公开政府信息情况、收到和处理政府信息公开申请情况、政府信息公开行政复议行政诉讼情况、存在的主要问题及改进情况、其他需要报告的事项</w:t>
      </w:r>
      <w:r>
        <w:rPr>
          <w:rFonts w:ascii="仿宋_GB2312" w:eastAsia="仿宋_GB2312" w:hint="eastAsia"/>
        </w:rPr>
        <w:t>6</w:t>
      </w:r>
      <w:r>
        <w:rPr>
          <w:rFonts w:ascii="仿宋_GB2312" w:eastAsia="仿宋_GB2312" w:hint="eastAsia"/>
        </w:rPr>
        <w:t>个部分。</w:t>
      </w:r>
    </w:p>
    <w:p w:rsidR="00250D68" w:rsidRDefault="00B41A18">
      <w:pPr>
        <w:spacing w:line="600" w:lineRule="exact"/>
        <w:ind w:firstLineChars="200" w:firstLine="640"/>
        <w:rPr>
          <w:rFonts w:ascii="微软雅黑" w:eastAsia="微软雅黑" w:hAnsi="微软雅黑"/>
          <w:color w:val="000000"/>
          <w:shd w:val="clear" w:color="auto" w:fill="FFFFFF"/>
        </w:rPr>
      </w:pPr>
      <w:r>
        <w:rPr>
          <w:rFonts w:ascii="仿宋_GB2312" w:eastAsia="仿宋_GB2312" w:hint="eastAsia"/>
        </w:rPr>
        <w:t>报告中所列数据统计期限自</w:t>
      </w:r>
      <w:r>
        <w:rPr>
          <w:rFonts w:ascii="仿宋_GB2312" w:eastAsia="仿宋_GB2312" w:hint="eastAsia"/>
        </w:rPr>
        <w:t>2021</w:t>
      </w:r>
      <w:r>
        <w:rPr>
          <w:rFonts w:ascii="仿宋_GB2312" w:eastAsia="仿宋_GB2312" w:hint="eastAsia"/>
        </w:rPr>
        <w:t>年</w:t>
      </w:r>
      <w:r>
        <w:rPr>
          <w:rFonts w:ascii="仿宋_GB2312" w:eastAsia="仿宋_GB2312" w:hint="eastAsia"/>
        </w:rPr>
        <w:t>1</w:t>
      </w:r>
      <w:r>
        <w:rPr>
          <w:rFonts w:ascii="仿宋_GB2312" w:eastAsia="仿宋_GB2312" w:hint="eastAsia"/>
        </w:rPr>
        <w:t>月</w:t>
      </w:r>
      <w:r>
        <w:rPr>
          <w:rFonts w:ascii="仿宋_GB2312" w:eastAsia="仿宋_GB2312" w:hint="eastAsia"/>
        </w:rPr>
        <w:t>1</w:t>
      </w:r>
      <w:r>
        <w:rPr>
          <w:rFonts w:ascii="仿宋_GB2312" w:eastAsia="仿宋_GB2312" w:hint="eastAsia"/>
        </w:rPr>
        <w:t>日始，至</w:t>
      </w:r>
      <w:r>
        <w:rPr>
          <w:rFonts w:ascii="仿宋_GB2312" w:eastAsia="仿宋_GB2312" w:hint="eastAsia"/>
        </w:rPr>
        <w:t>2021</w:t>
      </w:r>
      <w:r>
        <w:rPr>
          <w:rFonts w:ascii="仿宋_GB2312" w:eastAsia="仿宋_GB2312" w:hint="eastAsia"/>
        </w:rPr>
        <w:t>年</w:t>
      </w:r>
      <w:r>
        <w:rPr>
          <w:rFonts w:ascii="仿宋_GB2312" w:eastAsia="仿宋_GB2312" w:hint="eastAsia"/>
        </w:rPr>
        <w:t>12</w:t>
      </w:r>
      <w:r>
        <w:rPr>
          <w:rFonts w:ascii="仿宋_GB2312" w:eastAsia="仿宋_GB2312" w:hint="eastAsia"/>
        </w:rPr>
        <w:t>月</w:t>
      </w:r>
      <w:r>
        <w:rPr>
          <w:rFonts w:ascii="仿宋_GB2312" w:eastAsia="仿宋_GB2312" w:hint="eastAsia"/>
        </w:rPr>
        <w:t>31</w:t>
      </w:r>
      <w:r>
        <w:rPr>
          <w:rFonts w:ascii="仿宋_GB2312" w:eastAsia="仿宋_GB2312" w:hint="eastAsia"/>
        </w:rPr>
        <w:t>日止。报告电子版可在高青县人民政府门户网站（</w:t>
      </w:r>
      <w:r>
        <w:rPr>
          <w:rFonts w:ascii="仿宋_GB2312" w:eastAsia="仿宋_GB2312" w:hint="eastAsia"/>
        </w:rPr>
        <w:t>www.gaoqing.gov.cn</w:t>
      </w:r>
      <w:r>
        <w:rPr>
          <w:rFonts w:ascii="仿宋_GB2312" w:eastAsia="仿宋_GB2312" w:hint="eastAsia"/>
        </w:rPr>
        <w:t>）查阅和下载。如对报告内容有疑问，请与高青经济开发区管委会综合部联系（地址：高青县开泰大道高青经济开发区管委会；邮编：</w:t>
      </w:r>
      <w:r>
        <w:rPr>
          <w:rFonts w:ascii="仿宋_GB2312" w:eastAsia="仿宋_GB2312" w:hint="eastAsia"/>
        </w:rPr>
        <w:t>256300</w:t>
      </w:r>
      <w:r>
        <w:rPr>
          <w:rFonts w:ascii="仿宋_GB2312" w:eastAsia="仿宋_GB2312" w:hint="eastAsia"/>
        </w:rPr>
        <w:t>；电话：</w:t>
      </w:r>
      <w:r>
        <w:rPr>
          <w:rFonts w:ascii="仿宋_GB2312" w:eastAsia="仿宋_GB2312" w:hint="eastAsia"/>
        </w:rPr>
        <w:t>0533-6989719</w:t>
      </w:r>
      <w:r>
        <w:rPr>
          <w:rFonts w:ascii="仿宋_GB2312" w:eastAsia="仿宋_GB2312" w:hint="eastAsia"/>
        </w:rPr>
        <w:t>）。</w:t>
      </w:r>
    </w:p>
    <w:p w:rsidR="00250D68" w:rsidRDefault="00B41A18">
      <w:pPr>
        <w:spacing w:line="600" w:lineRule="exact"/>
        <w:ind w:firstLineChars="200" w:firstLine="640"/>
        <w:rPr>
          <w:rFonts w:ascii="黑体" w:eastAsia="黑体" w:hAnsi="黑体"/>
          <w:szCs w:val="32"/>
        </w:rPr>
      </w:pPr>
      <w:r>
        <w:rPr>
          <w:rFonts w:ascii="黑体" w:eastAsia="黑体" w:hAnsi="黑体" w:hint="eastAsia"/>
          <w:szCs w:val="32"/>
        </w:rPr>
        <w:t>一、总体情况</w:t>
      </w:r>
    </w:p>
    <w:p w:rsidR="00250D68" w:rsidRDefault="00B41A18">
      <w:pPr>
        <w:spacing w:line="600" w:lineRule="exact"/>
        <w:jc w:val="left"/>
        <w:rPr>
          <w:rFonts w:ascii="楷体_GB2312" w:eastAsia="楷体_GB2312"/>
        </w:rPr>
      </w:pPr>
      <w:r>
        <w:rPr>
          <w:rFonts w:ascii="楷体_GB2312" w:eastAsia="楷体_GB2312" w:hint="eastAsia"/>
        </w:rPr>
        <w:t>（一）主动公开</w:t>
      </w:r>
    </w:p>
    <w:p w:rsidR="00250D68" w:rsidRDefault="00B41A18">
      <w:pPr>
        <w:spacing w:line="600" w:lineRule="exact"/>
        <w:rPr>
          <w:rFonts w:ascii="仿宋_GB2312" w:eastAsia="仿宋_GB2312"/>
        </w:rPr>
      </w:pPr>
      <w:r>
        <w:rPr>
          <w:rFonts w:ascii="仿宋_GB2312" w:eastAsia="仿宋_GB2312" w:hint="eastAsia"/>
        </w:rPr>
        <w:t>认真贯彻落实《中华人民共和国政府信息公开条例》，强化组织建设，完善工作机制，开展实行月调度制度，每月向各业务科室通报不及时公开信息情况，表彰先进科室，激励后进科室。</w:t>
      </w:r>
      <w:r>
        <w:rPr>
          <w:rFonts w:ascii="仿宋_GB2312" w:eastAsia="仿宋_GB2312" w:hint="eastAsia"/>
        </w:rPr>
        <w:t>2</w:t>
      </w:r>
      <w:r>
        <w:rPr>
          <w:rFonts w:ascii="仿宋_GB2312" w:eastAsia="仿宋_GB2312" w:hint="eastAsia"/>
        </w:rPr>
        <w:t>021</w:t>
      </w:r>
      <w:r>
        <w:rPr>
          <w:rFonts w:ascii="仿宋_GB2312" w:eastAsia="仿宋_GB2312" w:hint="eastAsia"/>
        </w:rPr>
        <w:t>年通过政府门户网站主动公开重要部署执行情况信息</w:t>
      </w:r>
      <w:r>
        <w:rPr>
          <w:rFonts w:ascii="仿宋_GB2312" w:eastAsia="仿宋_GB2312" w:hint="eastAsia"/>
        </w:rPr>
        <w:t>8</w:t>
      </w:r>
      <w:r>
        <w:rPr>
          <w:rFonts w:ascii="仿宋_GB2312" w:eastAsia="仿宋_GB2312" w:hint="eastAsia"/>
        </w:rPr>
        <w:t>条；省级生态工业园区建设信息</w:t>
      </w:r>
      <w:r>
        <w:rPr>
          <w:rFonts w:ascii="仿宋_GB2312" w:eastAsia="仿宋_GB2312" w:hint="eastAsia"/>
        </w:rPr>
        <w:t>5</w:t>
      </w:r>
      <w:r>
        <w:rPr>
          <w:rFonts w:ascii="仿宋_GB2312" w:eastAsia="仿宋_GB2312" w:hint="eastAsia"/>
        </w:rPr>
        <w:t>条；主动公开部门文件</w:t>
      </w:r>
      <w:r>
        <w:rPr>
          <w:rFonts w:ascii="仿宋_GB2312" w:eastAsia="仿宋_GB2312" w:hint="eastAsia"/>
        </w:rPr>
        <w:t>2</w:t>
      </w:r>
      <w:r>
        <w:rPr>
          <w:rFonts w:ascii="仿宋_GB2312" w:eastAsia="仿宋_GB2312" w:hint="eastAsia"/>
        </w:rPr>
        <w:t>件；在财政信息专栏，主动公开本单位</w:t>
      </w:r>
      <w:r>
        <w:rPr>
          <w:rFonts w:ascii="仿宋_GB2312" w:eastAsia="仿宋_GB2312" w:hint="eastAsia"/>
        </w:rPr>
        <w:t>2020</w:t>
      </w:r>
      <w:r>
        <w:rPr>
          <w:rFonts w:ascii="仿宋_GB2312" w:eastAsia="仿宋_GB2312" w:hint="eastAsia"/>
        </w:rPr>
        <w:t>年度财政决算情况及</w:t>
      </w:r>
      <w:r>
        <w:rPr>
          <w:rFonts w:ascii="仿宋_GB2312" w:eastAsia="仿宋_GB2312" w:hint="eastAsia"/>
        </w:rPr>
        <w:t>2021</w:t>
      </w:r>
      <w:r>
        <w:rPr>
          <w:rFonts w:ascii="仿宋_GB2312" w:eastAsia="仿宋_GB2312" w:hint="eastAsia"/>
        </w:rPr>
        <w:t>年度财政预算；在公共资源配置方面，</w:t>
      </w:r>
      <w:r>
        <w:rPr>
          <w:rFonts w:ascii="仿宋_GB2312" w:eastAsia="仿宋_GB2312" w:hint="eastAsia"/>
        </w:rPr>
        <w:lastRenderedPageBreak/>
        <w:t>主动公开政府采购询价、成交公告</w:t>
      </w:r>
      <w:r>
        <w:rPr>
          <w:rFonts w:ascii="仿宋_GB2312" w:eastAsia="仿宋_GB2312" w:hint="eastAsia"/>
        </w:rPr>
        <w:t>21</w:t>
      </w:r>
      <w:r>
        <w:rPr>
          <w:rFonts w:ascii="仿宋_GB2312" w:eastAsia="仿宋_GB2312" w:hint="eastAsia"/>
        </w:rPr>
        <w:t>条。</w:t>
      </w:r>
      <w:r>
        <w:rPr>
          <w:rFonts w:ascii="仿宋_GB2312" w:eastAsia="仿宋_GB2312" w:hint="eastAsia"/>
        </w:rPr>
        <w:t>2021</w:t>
      </w:r>
      <w:r>
        <w:rPr>
          <w:rFonts w:ascii="仿宋_GB2312" w:eastAsia="仿宋_GB2312" w:hint="eastAsia"/>
        </w:rPr>
        <w:t>年共收到市民投诉</w:t>
      </w:r>
      <w:r>
        <w:rPr>
          <w:rFonts w:ascii="仿宋_GB2312" w:eastAsia="仿宋_GB2312" w:hint="eastAsia"/>
        </w:rPr>
        <w:t>61</w:t>
      </w:r>
      <w:r>
        <w:rPr>
          <w:rFonts w:ascii="仿宋_GB2312" w:eastAsia="仿宋_GB2312" w:hint="eastAsia"/>
        </w:rPr>
        <w:t>件，回复率</w:t>
      </w:r>
      <w:r>
        <w:rPr>
          <w:rFonts w:ascii="仿宋_GB2312" w:eastAsia="仿宋_GB2312" w:hint="eastAsia"/>
        </w:rPr>
        <w:t>100%</w:t>
      </w:r>
      <w:r>
        <w:rPr>
          <w:rFonts w:ascii="仿宋_GB2312" w:eastAsia="仿宋_GB2312" w:hint="eastAsia"/>
        </w:rPr>
        <w:t>，满意率</w:t>
      </w:r>
      <w:r>
        <w:rPr>
          <w:rFonts w:ascii="仿宋_GB2312" w:eastAsia="仿宋_GB2312" w:hint="eastAsia"/>
        </w:rPr>
        <w:t>96.7%</w:t>
      </w:r>
      <w:r>
        <w:rPr>
          <w:rFonts w:ascii="仿宋_GB2312" w:eastAsia="仿宋_GB2312" w:hint="eastAsia"/>
        </w:rPr>
        <w:t>。市民重点关注领域前三位分别是生态环境、交通安全、经济纠纷。</w:t>
      </w:r>
    </w:p>
    <w:p w:rsidR="00250D68" w:rsidRDefault="00B41A18">
      <w:pPr>
        <w:spacing w:line="240" w:lineRule="auto"/>
        <w:ind w:firstLine="0"/>
        <w:jc w:val="center"/>
        <w:rPr>
          <w:rFonts w:ascii="仿宋_GB2312" w:eastAsia="仿宋_GB2312"/>
        </w:rPr>
      </w:pPr>
      <w:r>
        <w:rPr>
          <w:rFonts w:ascii="仿宋_GB2312" w:eastAsia="仿宋_GB2312"/>
          <w:noProof/>
          <w:snapToGrid/>
        </w:rPr>
        <w:drawing>
          <wp:inline distT="0" distB="0" distL="0" distR="0">
            <wp:extent cx="4829810" cy="2943225"/>
            <wp:effectExtent l="19050" t="0" r="8851" b="0"/>
            <wp:docPr id="4" name="图片 3" descr="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无标题.png"/>
                    <pic:cNvPicPr>
                      <a:picLocks noChangeAspect="1"/>
                    </pic:cNvPicPr>
                  </pic:nvPicPr>
                  <pic:blipFill>
                    <a:blip r:embed="rId8"/>
                    <a:stretch>
                      <a:fillRect/>
                    </a:stretch>
                  </pic:blipFill>
                  <pic:spPr>
                    <a:xfrm>
                      <a:off x="0" y="0"/>
                      <a:ext cx="4829849" cy="2943636"/>
                    </a:xfrm>
                    <a:prstGeom prst="rect">
                      <a:avLst/>
                    </a:prstGeom>
                  </pic:spPr>
                </pic:pic>
              </a:graphicData>
            </a:graphic>
          </wp:inline>
        </w:drawing>
      </w:r>
    </w:p>
    <w:p w:rsidR="00250D68" w:rsidRDefault="00B41A18">
      <w:pPr>
        <w:spacing w:line="600" w:lineRule="exact"/>
        <w:jc w:val="left"/>
        <w:rPr>
          <w:rFonts w:ascii="楷体_GB2312" w:eastAsia="楷体_GB2312"/>
        </w:rPr>
      </w:pPr>
      <w:r>
        <w:rPr>
          <w:rFonts w:ascii="楷体_GB2312" w:eastAsia="楷体_GB2312" w:hint="eastAsia"/>
        </w:rPr>
        <w:t>（二）依申请公开</w:t>
      </w:r>
    </w:p>
    <w:p w:rsidR="00250D68" w:rsidRDefault="00B41A18">
      <w:pPr>
        <w:spacing w:line="560" w:lineRule="exact"/>
        <w:ind w:firstLineChars="200" w:firstLine="640"/>
        <w:rPr>
          <w:rFonts w:ascii="仿宋_GB2312" w:eastAsia="仿宋_GB2312"/>
          <w:szCs w:val="32"/>
        </w:rPr>
      </w:pPr>
      <w:r>
        <w:rPr>
          <w:rFonts w:ascii="仿宋_GB2312" w:eastAsia="仿宋_GB2312" w:hint="eastAsia"/>
          <w:szCs w:val="32"/>
        </w:rPr>
        <w:t>2021</w:t>
      </w:r>
      <w:r>
        <w:rPr>
          <w:rFonts w:ascii="仿宋_GB2312" w:eastAsia="仿宋_GB2312" w:hint="eastAsia"/>
          <w:szCs w:val="32"/>
        </w:rPr>
        <w:t>年未收到政府信息公开申请，上年度未结转政府信息公开申请，未因政府信息公开被申请行政复议、提起行政诉讼。</w:t>
      </w:r>
    </w:p>
    <w:p w:rsidR="00250D68" w:rsidRDefault="00B41A18">
      <w:pPr>
        <w:spacing w:line="600" w:lineRule="exact"/>
        <w:jc w:val="left"/>
        <w:rPr>
          <w:rFonts w:ascii="楷体_GB2312" w:eastAsia="楷体_GB2312"/>
        </w:rPr>
      </w:pPr>
      <w:r>
        <w:rPr>
          <w:rFonts w:ascii="楷体_GB2312" w:eastAsia="楷体_GB2312" w:hint="eastAsia"/>
        </w:rPr>
        <w:t>（三）</w:t>
      </w:r>
      <w:r>
        <w:rPr>
          <w:rFonts w:ascii="楷体_GB2312" w:eastAsia="楷体_GB2312" w:hint="eastAsia"/>
        </w:rPr>
        <w:t>政府信息管理</w:t>
      </w:r>
    </w:p>
    <w:p w:rsidR="00250D68" w:rsidRDefault="00B41A18">
      <w:pPr>
        <w:ind w:firstLine="640"/>
        <w:rPr>
          <w:rFonts w:ascii="仿宋_GB2312" w:eastAsia="仿宋_GB2312"/>
          <w:szCs w:val="32"/>
        </w:rPr>
      </w:pPr>
      <w:r>
        <w:rPr>
          <w:rFonts w:ascii="仿宋_GB2312" w:eastAsia="仿宋_GB2312" w:hint="eastAsia"/>
        </w:rPr>
        <w:t>加强政府信息公开保密审查制度，做好信息公开审核工作，确保“应公开、尽公开”，确保信息的完整性、准确性、时效性。</w:t>
      </w:r>
      <w:r>
        <w:rPr>
          <w:rFonts w:ascii="仿宋_GB2312" w:eastAsia="仿宋_GB2312" w:hAnsi="微软雅黑" w:hint="eastAsia"/>
          <w:shd w:val="clear" w:color="auto" w:fill="FFFFFF"/>
        </w:rPr>
        <w:t>建立和完善信息管理动态调整机制，及时清理废止、失效的政府信息，确保公开的信息真实有效。结合实际情况，设有政务公开栏，每月及时更新公开内容，将与群众生活息息相关重点领域信息在公开</w:t>
      </w:r>
      <w:proofErr w:type="gramStart"/>
      <w:r>
        <w:rPr>
          <w:rFonts w:ascii="仿宋_GB2312" w:eastAsia="仿宋_GB2312" w:hAnsi="微软雅黑" w:hint="eastAsia"/>
          <w:shd w:val="clear" w:color="auto" w:fill="FFFFFF"/>
        </w:rPr>
        <w:t>栏长期</w:t>
      </w:r>
      <w:proofErr w:type="gramEnd"/>
      <w:r>
        <w:rPr>
          <w:rFonts w:ascii="仿宋_GB2312" w:eastAsia="仿宋_GB2312" w:hAnsi="微软雅黑" w:hint="eastAsia"/>
          <w:shd w:val="clear" w:color="auto" w:fill="FFFFFF"/>
        </w:rPr>
        <w:t>公开，做到常规性工作定期公开，临时性工作随时公开。</w:t>
      </w:r>
    </w:p>
    <w:p w:rsidR="00250D68" w:rsidRDefault="00B41A18">
      <w:pPr>
        <w:spacing w:line="600" w:lineRule="exact"/>
        <w:jc w:val="left"/>
        <w:rPr>
          <w:rFonts w:ascii="楷体_GB2312" w:eastAsia="楷体_GB2312"/>
        </w:rPr>
      </w:pPr>
      <w:r>
        <w:rPr>
          <w:rFonts w:ascii="楷体_GB2312" w:eastAsia="楷体_GB2312" w:hint="eastAsia"/>
        </w:rPr>
        <w:lastRenderedPageBreak/>
        <w:t>（四）政府信息公开平台建设</w:t>
      </w:r>
    </w:p>
    <w:p w:rsidR="00250D68" w:rsidRDefault="00B41A18">
      <w:pPr>
        <w:spacing w:line="600" w:lineRule="exact"/>
        <w:rPr>
          <w:rFonts w:ascii="仿宋_GB2312" w:eastAsia="仿宋_GB2312"/>
        </w:rPr>
      </w:pPr>
      <w:r>
        <w:rPr>
          <w:rFonts w:ascii="仿宋_GB2312" w:eastAsia="仿宋_GB2312" w:hAnsi="微软雅黑" w:hint="eastAsia"/>
          <w:shd w:val="clear" w:color="auto" w:fill="FFFFFF"/>
        </w:rPr>
        <w:t>优化法定主动公开内容目录，</w:t>
      </w:r>
      <w:r>
        <w:rPr>
          <w:rFonts w:ascii="仿宋_GB2312" w:eastAsia="仿宋_GB2312" w:hint="eastAsia"/>
        </w:rPr>
        <w:t>根据开发区工作实际情况，专门申请设立“省级生态工业园区建设”目录，及时发布开发区省级生态工业园区建设</w:t>
      </w:r>
      <w:r>
        <w:rPr>
          <w:rFonts w:ascii="仿宋_GB2312" w:eastAsia="仿宋_GB2312" w:hint="eastAsia"/>
        </w:rPr>
        <w:t>方面的信息。并根据市民关注度，优化调整主动公开目录排列顺序，方便信息浏览查阅。</w:t>
      </w:r>
    </w:p>
    <w:p w:rsidR="00250D68" w:rsidRDefault="00B41A18">
      <w:pPr>
        <w:spacing w:line="600" w:lineRule="exact"/>
        <w:jc w:val="left"/>
        <w:rPr>
          <w:rFonts w:ascii="楷体_GB2312" w:eastAsia="楷体_GB2312"/>
        </w:rPr>
      </w:pPr>
      <w:r>
        <w:rPr>
          <w:rFonts w:ascii="楷体_GB2312" w:eastAsia="楷体_GB2312" w:hint="eastAsia"/>
        </w:rPr>
        <w:t>（五）监督保障</w:t>
      </w:r>
    </w:p>
    <w:p w:rsidR="00250D68" w:rsidRDefault="00B41A18">
      <w:pPr>
        <w:spacing w:line="560" w:lineRule="exact"/>
        <w:ind w:firstLineChars="200" w:firstLine="640"/>
        <w:rPr>
          <w:rFonts w:ascii="仿宋_GB2312" w:eastAsia="仿宋_GB2312"/>
          <w:szCs w:val="32"/>
        </w:rPr>
      </w:pPr>
      <w:r>
        <w:rPr>
          <w:rFonts w:ascii="仿宋_GB2312" w:eastAsia="仿宋_GB2312" w:hint="eastAsia"/>
        </w:rPr>
        <w:t>3</w:t>
      </w:r>
      <w:r>
        <w:rPr>
          <w:rFonts w:ascii="仿宋_GB2312" w:eastAsia="仿宋_GB2312" w:hint="eastAsia"/>
        </w:rPr>
        <w:t>月份印发了《高青经济开发区关于调整政务公开工作领导小组的通知》，明确分管领导和具体工作人员。</w:t>
      </w:r>
      <w:r>
        <w:rPr>
          <w:rFonts w:ascii="仿宋_GB2312" w:eastAsia="仿宋_GB2312" w:hAnsi="微软雅黑" w:hint="eastAsia"/>
          <w:color w:val="000000"/>
          <w:shd w:val="clear" w:color="auto" w:fill="FFFFFF"/>
        </w:rPr>
        <w:t>政务公开工作由综合部承担，配备一名专职工作人员，具体承办信息公开日常工作。</w:t>
      </w:r>
      <w:r>
        <w:rPr>
          <w:rFonts w:ascii="仿宋_GB2312" w:eastAsia="仿宋_GB2312" w:hint="eastAsia"/>
          <w:szCs w:val="32"/>
        </w:rPr>
        <w:t>2021</w:t>
      </w:r>
      <w:r>
        <w:rPr>
          <w:rFonts w:ascii="仿宋_GB2312" w:eastAsia="仿宋_GB2312" w:hint="eastAsia"/>
          <w:szCs w:val="32"/>
        </w:rPr>
        <w:t>年开发区开展政务公开业务培训</w:t>
      </w:r>
      <w:r>
        <w:rPr>
          <w:rFonts w:ascii="仿宋_GB2312" w:eastAsia="仿宋_GB2312" w:hint="eastAsia"/>
          <w:szCs w:val="32"/>
        </w:rPr>
        <w:t>2</w:t>
      </w:r>
      <w:r>
        <w:rPr>
          <w:rFonts w:ascii="仿宋_GB2312" w:eastAsia="仿宋_GB2312" w:hint="eastAsia"/>
          <w:szCs w:val="32"/>
        </w:rPr>
        <w:t>次，重点培训“依法</w:t>
      </w:r>
      <w:r>
        <w:rPr>
          <w:rFonts w:ascii="仿宋_GB2312" w:eastAsia="仿宋_GB2312" w:hAnsi="微软雅黑" w:hint="eastAsia"/>
          <w:color w:val="000000"/>
          <w:shd w:val="clear" w:color="auto" w:fill="FFFFFF"/>
        </w:rPr>
        <w:t>主动公开”，加强和改进依申请公开办理工作，提高办理时效，促使工作人员答复申请时做到依法有据、严谨规范。</w:t>
      </w:r>
    </w:p>
    <w:p w:rsidR="00250D68" w:rsidRDefault="00250D68">
      <w:pPr>
        <w:spacing w:afterLines="50" w:after="156" w:line="240" w:lineRule="auto"/>
        <w:ind w:firstLineChars="200" w:firstLine="640"/>
        <w:rPr>
          <w:rFonts w:ascii="黑体" w:eastAsia="黑体" w:hAnsi="黑体"/>
          <w:szCs w:val="32"/>
        </w:rPr>
      </w:pPr>
    </w:p>
    <w:p w:rsidR="00250D68" w:rsidRDefault="00250D68">
      <w:pPr>
        <w:spacing w:afterLines="50" w:after="156" w:line="240" w:lineRule="auto"/>
        <w:ind w:firstLineChars="200" w:firstLine="640"/>
        <w:rPr>
          <w:rFonts w:ascii="黑体" w:eastAsia="黑体" w:hAnsi="黑体"/>
          <w:szCs w:val="32"/>
        </w:rPr>
      </w:pPr>
    </w:p>
    <w:p w:rsidR="00250D68" w:rsidRDefault="00250D68">
      <w:pPr>
        <w:spacing w:afterLines="50" w:after="156" w:line="240" w:lineRule="auto"/>
        <w:ind w:firstLineChars="200" w:firstLine="640"/>
        <w:rPr>
          <w:rFonts w:ascii="黑体" w:eastAsia="黑体" w:hAnsi="黑体"/>
          <w:szCs w:val="32"/>
        </w:rPr>
      </w:pPr>
    </w:p>
    <w:p w:rsidR="00250D68" w:rsidRDefault="00250D68">
      <w:pPr>
        <w:spacing w:afterLines="50" w:after="156" w:line="240" w:lineRule="auto"/>
        <w:ind w:firstLineChars="200" w:firstLine="640"/>
        <w:rPr>
          <w:rFonts w:ascii="黑体" w:eastAsia="黑体" w:hAnsi="黑体"/>
          <w:szCs w:val="32"/>
        </w:rPr>
      </w:pPr>
    </w:p>
    <w:p w:rsidR="00250D68" w:rsidRDefault="00250D68">
      <w:pPr>
        <w:spacing w:afterLines="50" w:after="156" w:line="240" w:lineRule="auto"/>
        <w:ind w:firstLineChars="200" w:firstLine="640"/>
        <w:rPr>
          <w:rFonts w:ascii="黑体" w:eastAsia="黑体" w:hAnsi="黑体"/>
          <w:szCs w:val="32"/>
        </w:rPr>
      </w:pPr>
    </w:p>
    <w:p w:rsidR="00250D68" w:rsidRDefault="00250D68">
      <w:pPr>
        <w:spacing w:afterLines="50" w:after="156" w:line="240" w:lineRule="auto"/>
        <w:ind w:firstLineChars="200" w:firstLine="640"/>
        <w:rPr>
          <w:rFonts w:ascii="黑体" w:eastAsia="黑体" w:hAnsi="黑体"/>
          <w:szCs w:val="32"/>
        </w:rPr>
      </w:pPr>
    </w:p>
    <w:p w:rsidR="00250D68" w:rsidRDefault="00250D68">
      <w:pPr>
        <w:spacing w:afterLines="50" w:after="156" w:line="240" w:lineRule="auto"/>
        <w:ind w:firstLineChars="200" w:firstLine="640"/>
        <w:rPr>
          <w:rFonts w:ascii="黑体" w:eastAsia="黑体" w:hAnsi="黑体"/>
          <w:szCs w:val="32"/>
        </w:rPr>
      </w:pPr>
    </w:p>
    <w:p w:rsidR="00250D68" w:rsidRDefault="00250D68">
      <w:pPr>
        <w:spacing w:afterLines="50" w:after="156" w:line="240" w:lineRule="auto"/>
        <w:ind w:firstLineChars="200" w:firstLine="640"/>
        <w:rPr>
          <w:rFonts w:ascii="黑体" w:eastAsia="黑体" w:hAnsi="黑体"/>
          <w:szCs w:val="32"/>
        </w:rPr>
      </w:pPr>
    </w:p>
    <w:p w:rsidR="00250D68" w:rsidRDefault="00250D68">
      <w:pPr>
        <w:spacing w:afterLines="50" w:after="156" w:line="240" w:lineRule="auto"/>
        <w:ind w:firstLineChars="200" w:firstLine="640"/>
        <w:rPr>
          <w:rFonts w:ascii="黑体" w:eastAsia="黑体" w:hAnsi="黑体"/>
          <w:szCs w:val="32"/>
        </w:rPr>
      </w:pPr>
    </w:p>
    <w:p w:rsidR="00250D68" w:rsidRDefault="00250D68">
      <w:pPr>
        <w:spacing w:afterLines="50" w:after="156" w:line="240" w:lineRule="auto"/>
        <w:ind w:firstLineChars="200" w:firstLine="640"/>
        <w:rPr>
          <w:rFonts w:ascii="黑体" w:eastAsia="黑体" w:hAnsi="黑体"/>
          <w:szCs w:val="32"/>
        </w:rPr>
      </w:pPr>
    </w:p>
    <w:p w:rsidR="00250D68" w:rsidRDefault="00250D68">
      <w:pPr>
        <w:spacing w:afterLines="50" w:after="156" w:line="240" w:lineRule="auto"/>
        <w:ind w:firstLineChars="200" w:firstLine="640"/>
        <w:rPr>
          <w:rFonts w:ascii="黑体" w:eastAsia="黑体" w:hAnsi="黑体"/>
          <w:szCs w:val="32"/>
        </w:rPr>
      </w:pPr>
    </w:p>
    <w:p w:rsidR="00250D68" w:rsidRDefault="00B41A18">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二、主动公开政府信息情况</w:t>
      </w:r>
    </w:p>
    <w:tbl>
      <w:tblPr>
        <w:tblStyle w:val="a6"/>
        <w:tblW w:w="0" w:type="auto"/>
        <w:jc w:val="center"/>
        <w:tblLook w:val="04A0" w:firstRow="1" w:lastRow="0" w:firstColumn="1" w:lastColumn="0" w:noHBand="0" w:noVBand="1"/>
      </w:tblPr>
      <w:tblGrid>
        <w:gridCol w:w="2454"/>
        <w:gridCol w:w="2022"/>
        <w:gridCol w:w="2023"/>
        <w:gridCol w:w="2023"/>
      </w:tblGrid>
      <w:tr w:rsidR="00250D68">
        <w:trPr>
          <w:trHeight w:hRule="exact" w:val="567"/>
          <w:jc w:val="center"/>
        </w:trPr>
        <w:tc>
          <w:tcPr>
            <w:tcW w:w="8981" w:type="dxa"/>
            <w:gridSpan w:val="4"/>
            <w:vAlign w:val="center"/>
          </w:tcPr>
          <w:p w:rsidR="00250D68" w:rsidRDefault="00B41A18">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250D68">
        <w:trPr>
          <w:trHeight w:hRule="exact" w:val="567"/>
          <w:jc w:val="center"/>
        </w:trPr>
        <w:tc>
          <w:tcPr>
            <w:tcW w:w="2589" w:type="dxa"/>
            <w:vAlign w:val="center"/>
          </w:tcPr>
          <w:p w:rsidR="00250D68" w:rsidRDefault="00B41A18">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2130" w:type="dxa"/>
            <w:vAlign w:val="center"/>
          </w:tcPr>
          <w:p w:rsidR="00250D68" w:rsidRDefault="00B41A18">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250D68" w:rsidRDefault="00B41A18">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2131" w:type="dxa"/>
            <w:vAlign w:val="center"/>
          </w:tcPr>
          <w:p w:rsidR="00250D68" w:rsidRDefault="00B41A18">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250D68">
        <w:trPr>
          <w:trHeight w:hRule="exact" w:val="567"/>
          <w:jc w:val="center"/>
        </w:trPr>
        <w:tc>
          <w:tcPr>
            <w:tcW w:w="2589" w:type="dxa"/>
            <w:vAlign w:val="center"/>
          </w:tcPr>
          <w:p w:rsidR="00250D68" w:rsidRDefault="00B41A18">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2130" w:type="dxa"/>
            <w:vAlign w:val="center"/>
          </w:tcPr>
          <w:p w:rsidR="00250D68" w:rsidRDefault="00B41A18">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250D68" w:rsidRDefault="00B41A18">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250D68" w:rsidRDefault="00B41A18">
            <w:pPr>
              <w:spacing w:line="240" w:lineRule="auto"/>
              <w:ind w:firstLine="0"/>
              <w:jc w:val="center"/>
              <w:rPr>
                <w:rFonts w:ascii="黑体" w:eastAsia="黑体" w:hAnsi="黑体"/>
                <w:sz w:val="20"/>
              </w:rPr>
            </w:pPr>
            <w:r>
              <w:rPr>
                <w:rFonts w:ascii="黑体" w:eastAsia="黑体" w:hAnsi="黑体" w:hint="eastAsia"/>
                <w:sz w:val="20"/>
              </w:rPr>
              <w:t>0</w:t>
            </w:r>
          </w:p>
        </w:tc>
      </w:tr>
      <w:tr w:rsidR="00250D68">
        <w:trPr>
          <w:trHeight w:hRule="exact" w:val="567"/>
          <w:jc w:val="center"/>
        </w:trPr>
        <w:tc>
          <w:tcPr>
            <w:tcW w:w="2589" w:type="dxa"/>
            <w:vAlign w:val="center"/>
          </w:tcPr>
          <w:p w:rsidR="00250D68" w:rsidRDefault="00B41A18">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2130" w:type="dxa"/>
            <w:vAlign w:val="center"/>
          </w:tcPr>
          <w:p w:rsidR="00250D68" w:rsidRDefault="00B41A18">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250D68" w:rsidRDefault="00B41A18">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250D68" w:rsidRDefault="00B41A18">
            <w:pPr>
              <w:spacing w:line="240" w:lineRule="auto"/>
              <w:ind w:firstLine="0"/>
              <w:jc w:val="center"/>
              <w:rPr>
                <w:rFonts w:ascii="黑体" w:eastAsia="黑体" w:hAnsi="黑体"/>
                <w:sz w:val="20"/>
              </w:rPr>
            </w:pPr>
            <w:r>
              <w:rPr>
                <w:rFonts w:ascii="黑体" w:eastAsia="黑体" w:hAnsi="黑体" w:hint="eastAsia"/>
                <w:sz w:val="20"/>
              </w:rPr>
              <w:t>0</w:t>
            </w:r>
          </w:p>
        </w:tc>
      </w:tr>
      <w:tr w:rsidR="00250D68">
        <w:trPr>
          <w:trHeight w:hRule="exact" w:val="567"/>
          <w:jc w:val="center"/>
        </w:trPr>
        <w:tc>
          <w:tcPr>
            <w:tcW w:w="8981" w:type="dxa"/>
            <w:gridSpan w:val="4"/>
            <w:vAlign w:val="center"/>
          </w:tcPr>
          <w:p w:rsidR="00250D68" w:rsidRDefault="00B41A18">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250D68">
        <w:trPr>
          <w:trHeight w:hRule="exact" w:val="567"/>
          <w:jc w:val="center"/>
        </w:trPr>
        <w:tc>
          <w:tcPr>
            <w:tcW w:w="2589" w:type="dxa"/>
            <w:vAlign w:val="center"/>
          </w:tcPr>
          <w:p w:rsidR="00250D68" w:rsidRDefault="00B41A18">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250D68" w:rsidRDefault="00B41A18">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250D68">
        <w:trPr>
          <w:trHeight w:hRule="exact" w:val="567"/>
          <w:jc w:val="center"/>
        </w:trPr>
        <w:tc>
          <w:tcPr>
            <w:tcW w:w="2589" w:type="dxa"/>
            <w:vAlign w:val="center"/>
          </w:tcPr>
          <w:p w:rsidR="00250D68" w:rsidRDefault="00B41A18">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行政许可</w:t>
            </w:r>
          </w:p>
        </w:tc>
        <w:tc>
          <w:tcPr>
            <w:tcW w:w="6392" w:type="dxa"/>
            <w:gridSpan w:val="3"/>
            <w:vAlign w:val="center"/>
          </w:tcPr>
          <w:p w:rsidR="00250D68" w:rsidRDefault="00B41A18">
            <w:pPr>
              <w:spacing w:line="240" w:lineRule="auto"/>
              <w:ind w:firstLine="0"/>
              <w:jc w:val="center"/>
              <w:rPr>
                <w:rFonts w:ascii="黑体" w:eastAsia="黑体" w:hAnsi="黑体"/>
                <w:sz w:val="20"/>
              </w:rPr>
            </w:pPr>
            <w:r>
              <w:rPr>
                <w:rFonts w:ascii="黑体" w:eastAsia="黑体" w:hAnsi="黑体" w:hint="eastAsia"/>
                <w:sz w:val="20"/>
              </w:rPr>
              <w:t>0</w:t>
            </w:r>
          </w:p>
        </w:tc>
      </w:tr>
      <w:tr w:rsidR="00250D68">
        <w:trPr>
          <w:trHeight w:hRule="exact" w:val="567"/>
          <w:jc w:val="center"/>
        </w:trPr>
        <w:tc>
          <w:tcPr>
            <w:tcW w:w="8981" w:type="dxa"/>
            <w:gridSpan w:val="4"/>
            <w:vAlign w:val="center"/>
          </w:tcPr>
          <w:p w:rsidR="00250D68" w:rsidRDefault="00B41A18">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250D68">
        <w:trPr>
          <w:trHeight w:hRule="exact" w:val="567"/>
          <w:jc w:val="center"/>
        </w:trPr>
        <w:tc>
          <w:tcPr>
            <w:tcW w:w="2589" w:type="dxa"/>
            <w:vAlign w:val="center"/>
          </w:tcPr>
          <w:p w:rsidR="00250D68" w:rsidRDefault="00B41A18">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250D68" w:rsidRDefault="00B41A18">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250D68">
        <w:trPr>
          <w:trHeight w:hRule="exact" w:val="567"/>
          <w:jc w:val="center"/>
        </w:trPr>
        <w:tc>
          <w:tcPr>
            <w:tcW w:w="2589" w:type="dxa"/>
            <w:vAlign w:val="center"/>
          </w:tcPr>
          <w:p w:rsidR="00250D68" w:rsidRDefault="00B41A18">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行政处罚</w:t>
            </w:r>
          </w:p>
        </w:tc>
        <w:tc>
          <w:tcPr>
            <w:tcW w:w="6392" w:type="dxa"/>
            <w:gridSpan w:val="3"/>
            <w:vAlign w:val="center"/>
          </w:tcPr>
          <w:p w:rsidR="00250D68" w:rsidRDefault="00B41A18">
            <w:pPr>
              <w:spacing w:line="240" w:lineRule="auto"/>
              <w:ind w:firstLine="0"/>
              <w:jc w:val="center"/>
              <w:rPr>
                <w:rFonts w:ascii="黑体" w:eastAsia="黑体" w:hAnsi="黑体"/>
                <w:sz w:val="20"/>
              </w:rPr>
            </w:pPr>
            <w:r>
              <w:rPr>
                <w:rFonts w:ascii="黑体" w:eastAsia="黑体" w:hAnsi="黑体" w:hint="eastAsia"/>
                <w:sz w:val="20"/>
              </w:rPr>
              <w:t>0</w:t>
            </w:r>
          </w:p>
        </w:tc>
      </w:tr>
      <w:tr w:rsidR="00250D68">
        <w:trPr>
          <w:trHeight w:hRule="exact" w:val="567"/>
          <w:jc w:val="center"/>
        </w:trPr>
        <w:tc>
          <w:tcPr>
            <w:tcW w:w="2589" w:type="dxa"/>
            <w:vAlign w:val="center"/>
          </w:tcPr>
          <w:p w:rsidR="00250D68" w:rsidRDefault="00B41A18">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行政强制</w:t>
            </w:r>
          </w:p>
        </w:tc>
        <w:tc>
          <w:tcPr>
            <w:tcW w:w="6392" w:type="dxa"/>
            <w:gridSpan w:val="3"/>
            <w:vAlign w:val="center"/>
          </w:tcPr>
          <w:p w:rsidR="00250D68" w:rsidRDefault="00B41A18">
            <w:pPr>
              <w:spacing w:line="240" w:lineRule="auto"/>
              <w:ind w:firstLine="0"/>
              <w:jc w:val="center"/>
              <w:rPr>
                <w:rFonts w:ascii="黑体" w:eastAsia="黑体" w:hAnsi="黑体"/>
                <w:sz w:val="20"/>
              </w:rPr>
            </w:pPr>
            <w:r>
              <w:rPr>
                <w:rFonts w:ascii="黑体" w:eastAsia="黑体" w:hAnsi="黑体" w:hint="eastAsia"/>
                <w:sz w:val="20"/>
              </w:rPr>
              <w:t>0</w:t>
            </w:r>
          </w:p>
        </w:tc>
      </w:tr>
      <w:tr w:rsidR="00250D68">
        <w:trPr>
          <w:trHeight w:hRule="exact" w:val="567"/>
          <w:jc w:val="center"/>
        </w:trPr>
        <w:tc>
          <w:tcPr>
            <w:tcW w:w="8981" w:type="dxa"/>
            <w:gridSpan w:val="4"/>
            <w:vAlign w:val="center"/>
          </w:tcPr>
          <w:p w:rsidR="00250D68" w:rsidRDefault="00B41A18">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250D68">
        <w:trPr>
          <w:trHeight w:hRule="exact" w:val="567"/>
          <w:jc w:val="center"/>
        </w:trPr>
        <w:tc>
          <w:tcPr>
            <w:tcW w:w="2589" w:type="dxa"/>
            <w:vAlign w:val="center"/>
          </w:tcPr>
          <w:p w:rsidR="00250D68" w:rsidRDefault="00B41A18">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250D68" w:rsidRDefault="00B41A18">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本年收费金额（单位：万元）</w:t>
            </w:r>
          </w:p>
        </w:tc>
      </w:tr>
      <w:tr w:rsidR="00250D68">
        <w:trPr>
          <w:trHeight w:hRule="exact" w:val="567"/>
          <w:jc w:val="center"/>
        </w:trPr>
        <w:tc>
          <w:tcPr>
            <w:tcW w:w="2589" w:type="dxa"/>
            <w:vAlign w:val="center"/>
          </w:tcPr>
          <w:p w:rsidR="00250D68" w:rsidRDefault="00B41A18">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行政事业性收费</w:t>
            </w:r>
          </w:p>
        </w:tc>
        <w:tc>
          <w:tcPr>
            <w:tcW w:w="6392" w:type="dxa"/>
            <w:gridSpan w:val="3"/>
            <w:vAlign w:val="center"/>
          </w:tcPr>
          <w:p w:rsidR="00250D68" w:rsidRDefault="00B41A18">
            <w:pPr>
              <w:spacing w:line="240" w:lineRule="auto"/>
              <w:ind w:firstLine="0"/>
              <w:jc w:val="center"/>
              <w:rPr>
                <w:rFonts w:ascii="黑体" w:eastAsia="黑体" w:hAnsi="黑体"/>
                <w:sz w:val="20"/>
              </w:rPr>
            </w:pPr>
            <w:r>
              <w:rPr>
                <w:rFonts w:ascii="黑体" w:eastAsia="黑体" w:hAnsi="黑体" w:hint="eastAsia"/>
                <w:sz w:val="20"/>
              </w:rPr>
              <w:t>0</w:t>
            </w:r>
          </w:p>
        </w:tc>
      </w:tr>
    </w:tbl>
    <w:p w:rsidR="00250D68" w:rsidRDefault="00250D68">
      <w:pPr>
        <w:spacing w:line="240" w:lineRule="auto"/>
        <w:ind w:firstLineChars="200" w:firstLine="600"/>
        <w:rPr>
          <w:rFonts w:ascii="黑体" w:eastAsia="黑体" w:hAnsi="黑体"/>
          <w:sz w:val="30"/>
          <w:szCs w:val="30"/>
        </w:rPr>
      </w:pPr>
    </w:p>
    <w:p w:rsidR="00250D68" w:rsidRDefault="00250D68">
      <w:pPr>
        <w:spacing w:line="240" w:lineRule="auto"/>
        <w:ind w:firstLineChars="200" w:firstLine="600"/>
        <w:rPr>
          <w:rFonts w:ascii="黑体" w:eastAsia="黑体" w:hAnsi="黑体"/>
          <w:sz w:val="30"/>
          <w:szCs w:val="30"/>
        </w:rPr>
      </w:pPr>
    </w:p>
    <w:p w:rsidR="00250D68" w:rsidRDefault="00250D68">
      <w:pPr>
        <w:spacing w:line="240" w:lineRule="auto"/>
        <w:ind w:firstLineChars="200" w:firstLine="600"/>
        <w:rPr>
          <w:rFonts w:ascii="黑体" w:eastAsia="黑体" w:hAnsi="黑体"/>
          <w:sz w:val="30"/>
          <w:szCs w:val="30"/>
        </w:rPr>
      </w:pPr>
    </w:p>
    <w:p w:rsidR="00250D68" w:rsidRDefault="00250D68">
      <w:pPr>
        <w:spacing w:line="240" w:lineRule="auto"/>
        <w:ind w:firstLineChars="200" w:firstLine="600"/>
        <w:rPr>
          <w:rFonts w:ascii="黑体" w:eastAsia="黑体" w:hAnsi="黑体"/>
          <w:sz w:val="30"/>
          <w:szCs w:val="30"/>
        </w:rPr>
      </w:pPr>
    </w:p>
    <w:p w:rsidR="00250D68" w:rsidRDefault="00250D68">
      <w:pPr>
        <w:spacing w:line="240" w:lineRule="auto"/>
        <w:ind w:firstLineChars="200" w:firstLine="600"/>
        <w:rPr>
          <w:rFonts w:ascii="黑体" w:eastAsia="黑体" w:hAnsi="黑体"/>
          <w:sz w:val="30"/>
          <w:szCs w:val="30"/>
        </w:rPr>
      </w:pPr>
    </w:p>
    <w:p w:rsidR="00250D68" w:rsidRDefault="00250D68">
      <w:pPr>
        <w:spacing w:line="240" w:lineRule="auto"/>
        <w:ind w:firstLineChars="200" w:firstLine="600"/>
        <w:rPr>
          <w:rFonts w:ascii="黑体" w:eastAsia="黑体" w:hAnsi="黑体"/>
          <w:sz w:val="30"/>
          <w:szCs w:val="30"/>
        </w:rPr>
      </w:pPr>
    </w:p>
    <w:p w:rsidR="00250D68" w:rsidRDefault="00250D68">
      <w:pPr>
        <w:spacing w:line="240" w:lineRule="auto"/>
        <w:ind w:firstLineChars="200" w:firstLine="600"/>
        <w:rPr>
          <w:rFonts w:ascii="黑体" w:eastAsia="黑体" w:hAnsi="黑体"/>
          <w:sz w:val="30"/>
          <w:szCs w:val="30"/>
        </w:rPr>
      </w:pPr>
    </w:p>
    <w:p w:rsidR="00250D68" w:rsidRDefault="00250D68">
      <w:pPr>
        <w:spacing w:line="240" w:lineRule="auto"/>
        <w:ind w:firstLineChars="200" w:firstLine="600"/>
        <w:rPr>
          <w:rFonts w:ascii="黑体" w:eastAsia="黑体" w:hAnsi="黑体"/>
          <w:sz w:val="30"/>
          <w:szCs w:val="30"/>
        </w:rPr>
      </w:pPr>
    </w:p>
    <w:p w:rsidR="00250D68" w:rsidRDefault="00250D68">
      <w:pPr>
        <w:spacing w:line="240" w:lineRule="auto"/>
        <w:ind w:firstLineChars="200" w:firstLine="600"/>
        <w:rPr>
          <w:rFonts w:ascii="黑体" w:eastAsia="黑体" w:hAnsi="黑体"/>
          <w:sz w:val="30"/>
          <w:szCs w:val="30"/>
        </w:rPr>
      </w:pPr>
    </w:p>
    <w:p w:rsidR="00250D68" w:rsidRDefault="00250D68">
      <w:pPr>
        <w:spacing w:line="240" w:lineRule="auto"/>
        <w:ind w:firstLineChars="200" w:firstLine="600"/>
        <w:rPr>
          <w:rFonts w:ascii="黑体" w:eastAsia="黑体" w:hAnsi="黑体"/>
          <w:sz w:val="30"/>
          <w:szCs w:val="30"/>
        </w:rPr>
      </w:pPr>
    </w:p>
    <w:p w:rsidR="00250D68" w:rsidRDefault="00250D68">
      <w:pPr>
        <w:spacing w:line="240" w:lineRule="auto"/>
        <w:ind w:firstLineChars="200" w:firstLine="600"/>
        <w:rPr>
          <w:rFonts w:ascii="黑体" w:eastAsia="黑体" w:hAnsi="黑体"/>
          <w:sz w:val="30"/>
          <w:szCs w:val="30"/>
        </w:rPr>
      </w:pPr>
    </w:p>
    <w:p w:rsidR="00250D68" w:rsidRDefault="00250D68">
      <w:pPr>
        <w:spacing w:line="240" w:lineRule="auto"/>
        <w:ind w:firstLineChars="200" w:firstLine="600"/>
        <w:rPr>
          <w:rFonts w:ascii="黑体" w:eastAsia="黑体" w:hAnsi="黑体"/>
          <w:sz w:val="30"/>
          <w:szCs w:val="30"/>
        </w:rPr>
      </w:pPr>
    </w:p>
    <w:p w:rsidR="00250D68" w:rsidRDefault="00250D68">
      <w:pPr>
        <w:spacing w:line="240" w:lineRule="auto"/>
        <w:ind w:firstLineChars="200" w:firstLine="600"/>
        <w:rPr>
          <w:rFonts w:ascii="黑体" w:eastAsia="黑体" w:hAnsi="黑体"/>
          <w:sz w:val="30"/>
          <w:szCs w:val="30"/>
        </w:rPr>
      </w:pPr>
    </w:p>
    <w:p w:rsidR="00250D68" w:rsidRDefault="00B41A18">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250D68">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250D68">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250D68">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r>
      <w:tr w:rsidR="00250D68">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250D68">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r>
      <w:tr w:rsidR="00250D68">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r>
      <w:tr w:rsidR="00250D68">
        <w:trPr>
          <w:jc w:val="center"/>
        </w:trPr>
        <w:tc>
          <w:tcPr>
            <w:tcW w:w="0" w:type="auto"/>
            <w:vMerge/>
            <w:tcBorders>
              <w:top w:val="nil"/>
              <w:left w:val="single" w:sz="8" w:space="0" w:color="auto"/>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250D68">
        <w:trPr>
          <w:jc w:val="center"/>
        </w:trPr>
        <w:tc>
          <w:tcPr>
            <w:tcW w:w="0" w:type="auto"/>
            <w:vMerge/>
            <w:tcBorders>
              <w:top w:val="nil"/>
              <w:left w:val="single" w:sz="8" w:space="0" w:color="auto"/>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r>
      <w:tr w:rsidR="00250D68">
        <w:trPr>
          <w:jc w:val="center"/>
        </w:trPr>
        <w:tc>
          <w:tcPr>
            <w:tcW w:w="0" w:type="auto"/>
            <w:vMerge/>
            <w:tcBorders>
              <w:top w:val="nil"/>
              <w:left w:val="single" w:sz="8" w:space="0" w:color="auto"/>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r>
      <w:tr w:rsidR="00250D68">
        <w:trPr>
          <w:jc w:val="center"/>
        </w:trPr>
        <w:tc>
          <w:tcPr>
            <w:tcW w:w="0" w:type="auto"/>
            <w:vMerge/>
            <w:tcBorders>
              <w:top w:val="nil"/>
              <w:left w:val="single" w:sz="8" w:space="0" w:color="auto"/>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r>
      <w:tr w:rsidR="00250D68">
        <w:trPr>
          <w:jc w:val="center"/>
        </w:trPr>
        <w:tc>
          <w:tcPr>
            <w:tcW w:w="0" w:type="auto"/>
            <w:vMerge/>
            <w:tcBorders>
              <w:top w:val="nil"/>
              <w:left w:val="single" w:sz="8" w:space="0" w:color="auto"/>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w:t>
            </w:r>
            <w:r>
              <w:rPr>
                <w:rFonts w:ascii="宋体" w:eastAsia="宋体" w:hAnsi="宋体" w:cs="宋体" w:hint="eastAsia"/>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r>
      <w:tr w:rsidR="00250D68">
        <w:trPr>
          <w:jc w:val="center"/>
        </w:trPr>
        <w:tc>
          <w:tcPr>
            <w:tcW w:w="0" w:type="auto"/>
            <w:vMerge/>
            <w:tcBorders>
              <w:top w:val="nil"/>
              <w:left w:val="single" w:sz="8" w:space="0" w:color="auto"/>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w:t>
            </w:r>
            <w:r>
              <w:rPr>
                <w:rFonts w:ascii="宋体" w:eastAsia="宋体" w:hAnsi="宋体" w:cs="宋体" w:hint="eastAsia"/>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r>
      <w:tr w:rsidR="00250D68">
        <w:trPr>
          <w:jc w:val="center"/>
        </w:trPr>
        <w:tc>
          <w:tcPr>
            <w:tcW w:w="0" w:type="auto"/>
            <w:vMerge/>
            <w:tcBorders>
              <w:top w:val="nil"/>
              <w:left w:val="single" w:sz="8" w:space="0" w:color="auto"/>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w:t>
            </w:r>
            <w:r>
              <w:rPr>
                <w:rFonts w:ascii="宋体" w:eastAsia="宋体" w:hAnsi="宋体" w:cs="宋体" w:hint="eastAsia"/>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r>
      <w:tr w:rsidR="00250D68">
        <w:trPr>
          <w:jc w:val="center"/>
        </w:trPr>
        <w:tc>
          <w:tcPr>
            <w:tcW w:w="0" w:type="auto"/>
            <w:vMerge/>
            <w:tcBorders>
              <w:top w:val="nil"/>
              <w:left w:val="single" w:sz="8" w:space="0" w:color="auto"/>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w:t>
            </w:r>
            <w:r>
              <w:rPr>
                <w:rFonts w:ascii="宋体" w:eastAsia="宋体" w:hAnsi="宋体" w:cs="宋体" w:hint="eastAsia"/>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r>
      <w:tr w:rsidR="00250D68">
        <w:trPr>
          <w:jc w:val="center"/>
        </w:trPr>
        <w:tc>
          <w:tcPr>
            <w:tcW w:w="0" w:type="auto"/>
            <w:vMerge/>
            <w:tcBorders>
              <w:top w:val="nil"/>
              <w:left w:val="single" w:sz="8" w:space="0" w:color="auto"/>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w:t>
            </w:r>
            <w:r>
              <w:rPr>
                <w:rFonts w:ascii="宋体" w:eastAsia="宋体" w:hAnsi="宋体" w:cs="宋体" w:hint="eastAsia"/>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r>
      <w:tr w:rsidR="00250D68">
        <w:trPr>
          <w:jc w:val="center"/>
        </w:trPr>
        <w:tc>
          <w:tcPr>
            <w:tcW w:w="0" w:type="auto"/>
            <w:vMerge/>
            <w:tcBorders>
              <w:top w:val="nil"/>
              <w:left w:val="single" w:sz="8" w:space="0" w:color="auto"/>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r>
      <w:tr w:rsidR="00250D68">
        <w:trPr>
          <w:jc w:val="center"/>
        </w:trPr>
        <w:tc>
          <w:tcPr>
            <w:tcW w:w="0" w:type="auto"/>
            <w:vMerge/>
            <w:tcBorders>
              <w:top w:val="nil"/>
              <w:left w:val="single" w:sz="8" w:space="0" w:color="auto"/>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r>
      <w:tr w:rsidR="00250D68">
        <w:trPr>
          <w:jc w:val="center"/>
        </w:trPr>
        <w:tc>
          <w:tcPr>
            <w:tcW w:w="0" w:type="auto"/>
            <w:vMerge/>
            <w:tcBorders>
              <w:top w:val="nil"/>
              <w:left w:val="single" w:sz="8" w:space="0" w:color="auto"/>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r>
      <w:tr w:rsidR="00250D68">
        <w:trPr>
          <w:jc w:val="center"/>
        </w:trPr>
        <w:tc>
          <w:tcPr>
            <w:tcW w:w="0" w:type="auto"/>
            <w:vMerge/>
            <w:tcBorders>
              <w:top w:val="nil"/>
              <w:left w:val="single" w:sz="8" w:space="0" w:color="auto"/>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r>
      <w:tr w:rsidR="00250D68">
        <w:trPr>
          <w:jc w:val="center"/>
        </w:trPr>
        <w:tc>
          <w:tcPr>
            <w:tcW w:w="0" w:type="auto"/>
            <w:vMerge/>
            <w:tcBorders>
              <w:top w:val="nil"/>
              <w:left w:val="single" w:sz="8" w:space="0" w:color="auto"/>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r>
      <w:tr w:rsidR="00250D68">
        <w:trPr>
          <w:jc w:val="center"/>
        </w:trPr>
        <w:tc>
          <w:tcPr>
            <w:tcW w:w="0" w:type="auto"/>
            <w:vMerge/>
            <w:tcBorders>
              <w:top w:val="nil"/>
              <w:left w:val="single" w:sz="8" w:space="0" w:color="auto"/>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r>
      <w:tr w:rsidR="00250D68">
        <w:trPr>
          <w:jc w:val="center"/>
        </w:trPr>
        <w:tc>
          <w:tcPr>
            <w:tcW w:w="0" w:type="auto"/>
            <w:vMerge/>
            <w:tcBorders>
              <w:top w:val="nil"/>
              <w:left w:val="single" w:sz="8" w:space="0" w:color="auto"/>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w:t>
            </w:r>
            <w:r>
              <w:rPr>
                <w:rFonts w:ascii="宋体" w:eastAsia="宋体" w:hAnsi="宋体" w:cs="宋体" w:hint="eastAsia"/>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r>
      <w:tr w:rsidR="00250D68">
        <w:trPr>
          <w:trHeight w:val="779"/>
          <w:jc w:val="center"/>
        </w:trPr>
        <w:tc>
          <w:tcPr>
            <w:tcW w:w="0" w:type="auto"/>
            <w:vMerge/>
            <w:tcBorders>
              <w:top w:val="nil"/>
              <w:left w:val="single" w:sz="8" w:space="0" w:color="auto"/>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w:t>
            </w:r>
            <w:r>
              <w:rPr>
                <w:rFonts w:ascii="宋体" w:eastAsia="宋体" w:hAnsi="宋体" w:cs="宋体" w:hint="eastAsia"/>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inset"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inset"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inset"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inset"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r>
      <w:tr w:rsidR="00250D68">
        <w:trPr>
          <w:jc w:val="center"/>
        </w:trPr>
        <w:tc>
          <w:tcPr>
            <w:tcW w:w="0" w:type="auto"/>
            <w:vMerge/>
            <w:tcBorders>
              <w:top w:val="nil"/>
              <w:left w:val="single" w:sz="8" w:space="0" w:color="auto"/>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r>
      <w:tr w:rsidR="00250D68">
        <w:trPr>
          <w:jc w:val="center"/>
        </w:trPr>
        <w:tc>
          <w:tcPr>
            <w:tcW w:w="0" w:type="auto"/>
            <w:vMerge/>
            <w:tcBorders>
              <w:top w:val="nil"/>
              <w:left w:val="single" w:sz="8" w:space="0" w:color="auto"/>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inset" w:sz="8" w:space="0" w:color="auto"/>
              <w:left w:val="nil"/>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r>
      <w:tr w:rsidR="00250D68">
        <w:trPr>
          <w:jc w:val="center"/>
        </w:trPr>
        <w:tc>
          <w:tcPr>
            <w:tcW w:w="0" w:type="auto"/>
            <w:vMerge/>
            <w:tcBorders>
              <w:top w:val="nil"/>
              <w:left w:val="single" w:sz="8" w:space="0" w:color="auto"/>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inset" w:sz="8" w:space="0" w:color="auto"/>
              <w:left w:val="nil"/>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r>
      <w:tr w:rsidR="00250D68">
        <w:trPr>
          <w:jc w:val="center"/>
        </w:trPr>
        <w:tc>
          <w:tcPr>
            <w:tcW w:w="0" w:type="auto"/>
            <w:vMerge/>
            <w:tcBorders>
              <w:top w:val="nil"/>
              <w:left w:val="single" w:sz="8" w:space="0" w:color="auto"/>
              <w:bottom w:val="inset"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r>
      <w:tr w:rsidR="00250D68">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250D68" w:rsidRDefault="00B41A1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r>
    </w:tbl>
    <w:p w:rsidR="00250D68" w:rsidRDefault="00250D68">
      <w:pPr>
        <w:spacing w:line="240" w:lineRule="auto"/>
        <w:ind w:firstLineChars="200" w:firstLine="600"/>
        <w:rPr>
          <w:rFonts w:ascii="黑体" w:eastAsia="黑体" w:hAnsi="黑体"/>
          <w:sz w:val="30"/>
          <w:szCs w:val="30"/>
        </w:rPr>
      </w:pPr>
    </w:p>
    <w:p w:rsidR="00250D68" w:rsidRDefault="00250D68">
      <w:pPr>
        <w:spacing w:line="240" w:lineRule="auto"/>
        <w:ind w:firstLineChars="200" w:firstLine="600"/>
        <w:rPr>
          <w:rFonts w:ascii="黑体" w:eastAsia="黑体" w:hAnsi="黑体"/>
          <w:sz w:val="30"/>
          <w:szCs w:val="30"/>
        </w:rPr>
      </w:pPr>
    </w:p>
    <w:p w:rsidR="00250D68" w:rsidRDefault="00250D68">
      <w:pPr>
        <w:spacing w:line="240" w:lineRule="auto"/>
        <w:ind w:firstLineChars="200" w:firstLine="600"/>
        <w:rPr>
          <w:rFonts w:ascii="黑体" w:eastAsia="黑体" w:hAnsi="黑体"/>
          <w:sz w:val="30"/>
          <w:szCs w:val="30"/>
        </w:rPr>
      </w:pPr>
    </w:p>
    <w:p w:rsidR="00250D68" w:rsidRDefault="00250D68">
      <w:pPr>
        <w:spacing w:line="240" w:lineRule="auto"/>
        <w:ind w:firstLineChars="200" w:firstLine="600"/>
        <w:rPr>
          <w:rFonts w:ascii="黑体" w:eastAsia="黑体" w:hAnsi="黑体"/>
          <w:sz w:val="30"/>
          <w:szCs w:val="30"/>
        </w:rPr>
      </w:pPr>
    </w:p>
    <w:p w:rsidR="00250D68" w:rsidRDefault="00B41A18">
      <w:pPr>
        <w:spacing w:afterLines="50" w:after="156" w:line="240" w:lineRule="auto"/>
        <w:ind w:firstLineChars="200" w:firstLine="640"/>
        <w:rPr>
          <w:rFonts w:ascii="黑体" w:eastAsia="黑体" w:hAnsi="黑体"/>
          <w:sz w:val="30"/>
          <w:szCs w:val="30"/>
        </w:rPr>
      </w:pPr>
      <w:r>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250D68">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250D68">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r>
            <w:r>
              <w:rPr>
                <w:rFonts w:ascii="宋体" w:eastAsia="宋体" w:hAnsi="宋体" w:cs="宋体" w:hint="eastAsia"/>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r>
            <w:r>
              <w:rPr>
                <w:rFonts w:ascii="宋体" w:eastAsia="宋体" w:hAnsi="宋体" w:cs="宋体" w:hint="eastAsia"/>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250D68">
        <w:trPr>
          <w:jc w:val="center"/>
        </w:trPr>
        <w:tc>
          <w:tcPr>
            <w:tcW w:w="0" w:type="auto"/>
            <w:vMerge/>
            <w:tcBorders>
              <w:top w:val="nil"/>
              <w:left w:val="single" w:sz="8" w:space="0" w:color="auto"/>
              <w:bottom w:val="single"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250D68" w:rsidRDefault="00250D68">
            <w:pPr>
              <w:widowControl/>
              <w:autoSpaceDE/>
              <w:autoSpaceDN/>
              <w:snapToGrid/>
              <w:spacing w:line="240" w:lineRule="auto"/>
              <w:ind w:firstLine="0"/>
              <w:jc w:val="left"/>
              <w:rPr>
                <w:rFonts w:ascii="宋体" w:eastAsia="宋体" w:hAnsi="宋体" w:cs="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r>
            <w:r>
              <w:rPr>
                <w:rFonts w:ascii="宋体" w:eastAsia="宋体" w:hAnsi="宋体" w:cs="宋体" w:hint="eastAsia"/>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r>
            <w:r>
              <w:rPr>
                <w:rFonts w:ascii="宋体" w:eastAsia="宋体" w:hAnsi="宋体" w:cs="宋体" w:hint="eastAsia"/>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其他</w:t>
            </w:r>
            <w:r>
              <w:rPr>
                <w:rFonts w:ascii="宋体" w:eastAsia="宋体" w:hAnsi="宋体" w:cs="宋体" w:hint="eastAsia"/>
                <w:snapToGrid/>
                <w:color w:val="000000"/>
                <w:sz w:val="20"/>
              </w:rPr>
              <w:br/>
            </w:r>
            <w:r>
              <w:rPr>
                <w:rFonts w:ascii="宋体" w:eastAsia="宋体" w:hAnsi="宋体" w:cs="宋体" w:hint="eastAsia"/>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r>
            <w:r>
              <w:rPr>
                <w:rFonts w:ascii="宋体" w:eastAsia="宋体" w:hAnsi="宋体" w:cs="宋体" w:hint="eastAsia"/>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250D68">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 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 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 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0 </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 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0 </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0 </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 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0 </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0 </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 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 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0D68" w:rsidRDefault="00B41A1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4"/>
                <w:szCs w:val="24"/>
              </w:rPr>
              <w:t>0</w:t>
            </w:r>
          </w:p>
        </w:tc>
      </w:tr>
    </w:tbl>
    <w:p w:rsidR="00250D68" w:rsidRDefault="00250D68">
      <w:pPr>
        <w:spacing w:line="240" w:lineRule="auto"/>
        <w:ind w:firstLineChars="200" w:firstLine="640"/>
        <w:rPr>
          <w:rFonts w:ascii="黑体" w:eastAsia="黑体" w:hAnsi="黑体"/>
          <w:szCs w:val="32"/>
        </w:rPr>
      </w:pPr>
    </w:p>
    <w:p w:rsidR="00250D68" w:rsidRDefault="00B41A18">
      <w:pPr>
        <w:spacing w:line="56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250D68" w:rsidRDefault="00B41A18">
      <w:pPr>
        <w:spacing w:line="560" w:lineRule="exact"/>
        <w:ind w:firstLineChars="200" w:firstLine="640"/>
        <w:rPr>
          <w:rFonts w:ascii="楷体_GB2312" w:eastAsia="楷体_GB2312" w:hAnsi="黑体"/>
          <w:szCs w:val="32"/>
        </w:rPr>
      </w:pPr>
      <w:r>
        <w:rPr>
          <w:rFonts w:ascii="楷体_GB2312" w:eastAsia="楷体_GB2312" w:hAnsi="黑体" w:hint="eastAsia"/>
          <w:szCs w:val="32"/>
        </w:rPr>
        <w:t>（一）存在问题</w:t>
      </w:r>
    </w:p>
    <w:p w:rsidR="00250D68" w:rsidRDefault="00B41A18">
      <w:pPr>
        <w:spacing w:line="560" w:lineRule="exact"/>
        <w:ind w:firstLineChars="200" w:firstLine="640"/>
        <w:jc w:val="left"/>
        <w:rPr>
          <w:rFonts w:ascii="仿宋_GB2312" w:eastAsia="仿宋_GB2312"/>
          <w:color w:val="FF0000"/>
          <w:szCs w:val="32"/>
        </w:rPr>
      </w:pPr>
      <w:r>
        <w:rPr>
          <w:rFonts w:ascii="仿宋_GB2312" w:eastAsia="仿宋_GB2312" w:hint="eastAsia"/>
          <w:szCs w:val="32"/>
        </w:rPr>
        <w:t>在政府信息公开工作中，主要存在以下几方面不足：一是在落实政务公开制度上不够严格，存在“打折扣”、“应付”的工作态度。二是政务公开培训内容和形式不够丰富多彩，取得的培训效果不够好。三是各部门之间的信息沟通还不够通畅，信息形成后的发布不够及时。</w:t>
      </w:r>
    </w:p>
    <w:p w:rsidR="00250D68" w:rsidRDefault="00B41A18">
      <w:pPr>
        <w:spacing w:line="560" w:lineRule="exact"/>
        <w:ind w:firstLineChars="200" w:firstLine="640"/>
        <w:rPr>
          <w:rFonts w:ascii="楷体_GB2312" w:eastAsia="楷体_GB2312" w:hAnsi="黑体"/>
          <w:szCs w:val="32"/>
        </w:rPr>
      </w:pPr>
      <w:r>
        <w:rPr>
          <w:rFonts w:ascii="楷体_GB2312" w:eastAsia="楷体_GB2312" w:hAnsi="黑体" w:hint="eastAsia"/>
          <w:szCs w:val="32"/>
        </w:rPr>
        <w:t>（二）改进措施</w:t>
      </w:r>
    </w:p>
    <w:p w:rsidR="00250D68" w:rsidRDefault="00B41A18">
      <w:pPr>
        <w:spacing w:line="560" w:lineRule="exact"/>
        <w:ind w:firstLineChars="200" w:firstLine="640"/>
        <w:rPr>
          <w:rFonts w:ascii="仿宋_GB2312" w:eastAsia="仿宋_GB2312"/>
          <w:szCs w:val="32"/>
        </w:rPr>
      </w:pPr>
      <w:r>
        <w:rPr>
          <w:rFonts w:ascii="仿宋_GB2312" w:eastAsia="仿宋_GB2312" w:hint="eastAsia"/>
          <w:szCs w:val="32"/>
        </w:rPr>
        <w:t>结合工作中存在的问题和不足，下一步将</w:t>
      </w:r>
      <w:proofErr w:type="gramStart"/>
      <w:r>
        <w:rPr>
          <w:rFonts w:ascii="仿宋_GB2312" w:eastAsia="仿宋_GB2312" w:hint="eastAsia"/>
          <w:szCs w:val="32"/>
        </w:rPr>
        <w:t>持续抓好</w:t>
      </w:r>
      <w:proofErr w:type="gramEnd"/>
      <w:r>
        <w:rPr>
          <w:rFonts w:ascii="仿宋_GB2312" w:eastAsia="仿宋_GB2312" w:hint="eastAsia"/>
          <w:szCs w:val="32"/>
        </w:rPr>
        <w:t>政府信息公开工作</w:t>
      </w:r>
      <w:r>
        <w:rPr>
          <w:rFonts w:ascii="仿宋_GB2312" w:eastAsia="仿宋_GB2312" w:hint="eastAsia"/>
          <w:szCs w:val="32"/>
        </w:rPr>
        <w:t>:</w:t>
      </w:r>
      <w:r>
        <w:rPr>
          <w:rFonts w:ascii="仿宋_GB2312" w:eastAsia="仿宋_GB2312" w:hint="eastAsia"/>
          <w:szCs w:val="32"/>
        </w:rPr>
        <w:t>一是严抓制度落实，由综合部对各科室的政务公开情况进行定期督查检查，督促制度落实落地。二是向政务公开工作先进省市县学习工作经验，开展</w:t>
      </w:r>
      <w:proofErr w:type="gramStart"/>
      <w:r>
        <w:rPr>
          <w:rFonts w:ascii="仿宋_GB2312" w:eastAsia="仿宋_GB2312" w:hint="eastAsia"/>
          <w:szCs w:val="32"/>
        </w:rPr>
        <w:t>多种学比赶超</w:t>
      </w:r>
      <w:proofErr w:type="gramEnd"/>
      <w:r>
        <w:rPr>
          <w:rFonts w:ascii="仿宋_GB2312" w:eastAsia="仿宋_GB2312" w:hint="eastAsia"/>
          <w:szCs w:val="32"/>
        </w:rPr>
        <w:t>培训，丰富学习内容，以学促干。三是通过机关全体会议的形式，强调政务公开工作中部门配合的重要性，各科室指定专人负责信息公开工作，做到信息形成后及时公开。</w:t>
      </w:r>
    </w:p>
    <w:p w:rsidR="00250D68" w:rsidRDefault="00B41A18">
      <w:pPr>
        <w:spacing w:line="560" w:lineRule="exact"/>
        <w:ind w:firstLineChars="200" w:firstLine="640"/>
        <w:rPr>
          <w:rFonts w:ascii="黑体" w:eastAsia="黑体" w:hAnsi="黑体"/>
          <w:szCs w:val="32"/>
        </w:rPr>
      </w:pPr>
      <w:r>
        <w:rPr>
          <w:rFonts w:ascii="黑体" w:eastAsia="黑体" w:hAnsi="黑体" w:hint="eastAsia"/>
          <w:szCs w:val="32"/>
        </w:rPr>
        <w:t>六、其他需要报告的事项</w:t>
      </w:r>
    </w:p>
    <w:p w:rsidR="00250D68" w:rsidRDefault="00B41A18">
      <w:pPr>
        <w:ind w:firstLineChars="200" w:firstLine="640"/>
        <w:jc w:val="left"/>
        <w:rPr>
          <w:rFonts w:ascii="楷体_GB2312" w:eastAsia="楷体_GB2312" w:hAnsi="黑体"/>
          <w:szCs w:val="32"/>
        </w:rPr>
      </w:pPr>
      <w:r>
        <w:rPr>
          <w:rFonts w:ascii="楷体_GB2312" w:eastAsia="楷体_GB2312" w:hAnsi="黑体" w:hint="eastAsia"/>
          <w:szCs w:val="32"/>
        </w:rPr>
        <w:t>（一）收取信息处理费情况</w:t>
      </w:r>
    </w:p>
    <w:p w:rsidR="00250D68" w:rsidRDefault="00B41A18">
      <w:pPr>
        <w:spacing w:line="560" w:lineRule="exact"/>
        <w:ind w:firstLineChars="200" w:firstLine="640"/>
        <w:rPr>
          <w:rFonts w:ascii="仿宋_GB2312" w:eastAsia="仿宋_GB2312"/>
          <w:szCs w:val="32"/>
        </w:rPr>
      </w:pPr>
      <w:r>
        <w:rPr>
          <w:rFonts w:ascii="仿宋_GB2312" w:eastAsia="仿宋_GB2312" w:hint="eastAsia"/>
          <w:szCs w:val="32"/>
        </w:rPr>
        <w:t>本机关依申请提供政府信息，按照《国务院办公厅关于印发</w:t>
      </w:r>
      <w:r>
        <w:rPr>
          <w:rFonts w:ascii="仿宋_GB2312" w:eastAsia="仿宋_GB2312" w:hint="eastAsia"/>
          <w:szCs w:val="32"/>
        </w:rPr>
        <w:t>&lt;</w:t>
      </w:r>
      <w:r>
        <w:rPr>
          <w:rFonts w:ascii="仿宋_GB2312" w:eastAsia="仿宋_GB2312" w:hint="eastAsia"/>
          <w:szCs w:val="32"/>
        </w:rPr>
        <w:t>政府信息公开信息处理费管理办法</w:t>
      </w:r>
      <w:r>
        <w:rPr>
          <w:rFonts w:ascii="仿宋_GB2312" w:eastAsia="仿宋_GB2312" w:hint="eastAsia"/>
          <w:szCs w:val="32"/>
        </w:rPr>
        <w:t>&gt;</w:t>
      </w:r>
      <w:r>
        <w:rPr>
          <w:rFonts w:ascii="仿宋_GB2312" w:eastAsia="仿宋_GB2312" w:hint="eastAsia"/>
          <w:szCs w:val="32"/>
        </w:rPr>
        <w:t>的通知》（国办函</w:t>
      </w:r>
      <w:r>
        <w:rPr>
          <w:rFonts w:ascii="仿宋_GB2312" w:eastAsia="仿宋_GB2312" w:hint="eastAsia"/>
          <w:szCs w:val="32"/>
        </w:rPr>
        <w:lastRenderedPageBreak/>
        <w:t>〔</w:t>
      </w:r>
      <w:r>
        <w:rPr>
          <w:rFonts w:ascii="仿宋_GB2312" w:eastAsia="仿宋_GB2312" w:hint="eastAsia"/>
          <w:szCs w:val="32"/>
        </w:rPr>
        <w:t>2</w:t>
      </w:r>
      <w:r>
        <w:rPr>
          <w:rFonts w:ascii="仿宋_GB2312" w:eastAsia="仿宋_GB2312" w:hint="eastAsia"/>
          <w:szCs w:val="32"/>
        </w:rPr>
        <w:t>020</w:t>
      </w:r>
      <w:r>
        <w:rPr>
          <w:rFonts w:ascii="仿宋_GB2312" w:eastAsia="仿宋_GB2312" w:hint="eastAsia"/>
          <w:szCs w:val="32"/>
        </w:rPr>
        <w:t>〕</w:t>
      </w:r>
      <w:r>
        <w:rPr>
          <w:rFonts w:ascii="仿宋_GB2312" w:eastAsia="仿宋_GB2312" w:hint="eastAsia"/>
          <w:szCs w:val="32"/>
        </w:rPr>
        <w:t>109</w:t>
      </w:r>
      <w:r>
        <w:rPr>
          <w:rFonts w:ascii="仿宋_GB2312" w:eastAsia="仿宋_GB2312" w:hint="eastAsia"/>
          <w:szCs w:val="32"/>
        </w:rPr>
        <w:t>号）和《山东省人民政府办公厅关于做好政府信息公开信息处理费管理工作有关事项的通知》（鲁政办字〔</w:t>
      </w:r>
      <w:r>
        <w:rPr>
          <w:rFonts w:ascii="仿宋_GB2312" w:eastAsia="仿宋_GB2312" w:hint="eastAsia"/>
          <w:szCs w:val="32"/>
        </w:rPr>
        <w:t>2020</w:t>
      </w:r>
      <w:r>
        <w:rPr>
          <w:rFonts w:ascii="仿宋_GB2312" w:eastAsia="仿宋_GB2312" w:hint="eastAsia"/>
          <w:szCs w:val="32"/>
        </w:rPr>
        <w:t>〕</w:t>
      </w:r>
      <w:r>
        <w:rPr>
          <w:rFonts w:ascii="仿宋_GB2312" w:eastAsia="仿宋_GB2312" w:hint="eastAsia"/>
          <w:szCs w:val="32"/>
        </w:rPr>
        <w:t>179</w:t>
      </w:r>
      <w:r>
        <w:rPr>
          <w:rFonts w:ascii="仿宋_GB2312" w:eastAsia="仿宋_GB2312" w:hint="eastAsia"/>
          <w:szCs w:val="32"/>
        </w:rPr>
        <w:t>号）收取信息处理费。</w:t>
      </w:r>
      <w:r>
        <w:rPr>
          <w:rFonts w:ascii="仿宋_GB2312" w:eastAsia="仿宋_GB2312" w:hint="eastAsia"/>
          <w:szCs w:val="32"/>
        </w:rPr>
        <w:t>2021</w:t>
      </w:r>
      <w:r>
        <w:rPr>
          <w:rFonts w:ascii="仿宋_GB2312" w:eastAsia="仿宋_GB2312" w:hint="eastAsia"/>
          <w:szCs w:val="32"/>
        </w:rPr>
        <w:t>年，本机关依申请公开政府信息未收取任何费用。</w:t>
      </w:r>
    </w:p>
    <w:p w:rsidR="00250D68" w:rsidRDefault="00B41A18">
      <w:pPr>
        <w:ind w:firstLineChars="200" w:firstLine="640"/>
        <w:jc w:val="left"/>
        <w:rPr>
          <w:rFonts w:ascii="楷体_GB2312" w:eastAsia="楷体_GB2312" w:hAnsi="黑体"/>
          <w:szCs w:val="32"/>
        </w:rPr>
      </w:pPr>
      <w:r>
        <w:rPr>
          <w:rFonts w:ascii="楷体_GB2312" w:eastAsia="楷体_GB2312" w:hAnsi="黑体" w:hint="eastAsia"/>
          <w:szCs w:val="32"/>
        </w:rPr>
        <w:t>（二）落实上级年度政务公开工作要点情况</w:t>
      </w:r>
    </w:p>
    <w:p w:rsidR="00250D68" w:rsidRDefault="00B41A18">
      <w:pPr>
        <w:spacing w:line="560" w:lineRule="exact"/>
        <w:ind w:firstLineChars="200" w:firstLine="640"/>
        <w:rPr>
          <w:rFonts w:ascii="仿宋_GB2312" w:eastAsia="仿宋_GB2312"/>
          <w:szCs w:val="32"/>
        </w:rPr>
      </w:pPr>
      <w:r>
        <w:rPr>
          <w:rFonts w:ascii="仿宋_GB2312" w:eastAsia="仿宋_GB2312" w:hint="eastAsia"/>
          <w:szCs w:val="32"/>
        </w:rPr>
        <w:t>严格落实《国务院办公厅关于印发</w:t>
      </w:r>
      <w:r>
        <w:rPr>
          <w:rFonts w:ascii="仿宋_GB2312" w:eastAsia="仿宋_GB2312" w:hint="eastAsia"/>
          <w:szCs w:val="32"/>
        </w:rPr>
        <w:t>2021</w:t>
      </w:r>
      <w:r>
        <w:rPr>
          <w:rFonts w:ascii="仿宋_GB2312" w:eastAsia="仿宋_GB2312" w:hint="eastAsia"/>
          <w:szCs w:val="32"/>
        </w:rPr>
        <w:t>年政务公开工作要点的通知》（国办发〔</w:t>
      </w:r>
      <w:r>
        <w:rPr>
          <w:rFonts w:ascii="仿宋_GB2312" w:eastAsia="仿宋_GB2312" w:hint="eastAsia"/>
          <w:szCs w:val="32"/>
        </w:rPr>
        <w:t>2021</w:t>
      </w:r>
      <w:r>
        <w:rPr>
          <w:rFonts w:ascii="仿宋_GB2312" w:eastAsia="仿宋_GB2312" w:hint="eastAsia"/>
          <w:szCs w:val="32"/>
        </w:rPr>
        <w:t>〕</w:t>
      </w:r>
      <w:r>
        <w:rPr>
          <w:rFonts w:ascii="仿宋_GB2312" w:eastAsia="仿宋_GB2312" w:hint="eastAsia"/>
          <w:szCs w:val="32"/>
        </w:rPr>
        <w:t>12</w:t>
      </w:r>
      <w:r>
        <w:rPr>
          <w:rFonts w:ascii="仿宋_GB2312" w:eastAsia="仿宋_GB2312" w:hint="eastAsia"/>
          <w:szCs w:val="32"/>
        </w:rPr>
        <w:t>号）、《山东省人民政府办公厅关于印发</w:t>
      </w:r>
      <w:r>
        <w:rPr>
          <w:rFonts w:ascii="仿宋_GB2312" w:eastAsia="仿宋_GB2312" w:hint="eastAsia"/>
          <w:szCs w:val="32"/>
        </w:rPr>
        <w:t>2021</w:t>
      </w:r>
      <w:r>
        <w:rPr>
          <w:rFonts w:ascii="仿宋_GB2312" w:eastAsia="仿宋_GB2312" w:hint="eastAsia"/>
          <w:szCs w:val="32"/>
        </w:rPr>
        <w:t>年山东省政务公开工作要点的通知》（鲁政办发〔</w:t>
      </w:r>
      <w:r>
        <w:rPr>
          <w:rFonts w:ascii="仿宋_GB2312" w:eastAsia="仿宋_GB2312" w:hint="eastAsia"/>
          <w:szCs w:val="32"/>
        </w:rPr>
        <w:t>2021</w:t>
      </w:r>
      <w:r>
        <w:rPr>
          <w:rFonts w:ascii="仿宋_GB2312" w:eastAsia="仿宋_GB2312" w:hint="eastAsia"/>
          <w:szCs w:val="32"/>
        </w:rPr>
        <w:t>〕</w:t>
      </w:r>
      <w:r>
        <w:rPr>
          <w:rFonts w:ascii="仿宋_GB2312" w:eastAsia="仿宋_GB2312" w:hint="eastAsia"/>
          <w:szCs w:val="32"/>
        </w:rPr>
        <w:t>5</w:t>
      </w:r>
      <w:r>
        <w:rPr>
          <w:rFonts w:ascii="仿宋_GB2312" w:eastAsia="仿宋_GB2312" w:hint="eastAsia"/>
          <w:szCs w:val="32"/>
        </w:rPr>
        <w:t>号）、《淄博市人民政府办公室关于印发</w:t>
      </w:r>
      <w:r>
        <w:rPr>
          <w:rFonts w:ascii="仿宋_GB2312" w:eastAsia="仿宋_GB2312" w:hint="eastAsia"/>
          <w:szCs w:val="32"/>
        </w:rPr>
        <w:t>2021</w:t>
      </w:r>
      <w:r>
        <w:rPr>
          <w:rFonts w:ascii="仿宋_GB2312" w:eastAsia="仿宋_GB2312" w:hint="eastAsia"/>
          <w:szCs w:val="32"/>
        </w:rPr>
        <w:t>年淄博市政务公开工作要点的通知》（</w:t>
      </w:r>
      <w:proofErr w:type="gramStart"/>
      <w:r>
        <w:rPr>
          <w:rFonts w:ascii="仿宋_GB2312" w:eastAsia="仿宋_GB2312" w:hint="eastAsia"/>
          <w:szCs w:val="32"/>
        </w:rPr>
        <w:t>淄</w:t>
      </w:r>
      <w:proofErr w:type="gramEnd"/>
      <w:r>
        <w:rPr>
          <w:rFonts w:ascii="仿宋_GB2312" w:eastAsia="仿宋_GB2312" w:hint="eastAsia"/>
          <w:szCs w:val="32"/>
        </w:rPr>
        <w:t>政办字</w:t>
      </w:r>
      <w:r>
        <w:rPr>
          <w:rFonts w:ascii="仿宋_GB2312" w:eastAsia="仿宋_GB2312" w:hint="eastAsia"/>
          <w:szCs w:val="32"/>
        </w:rPr>
        <w:t>〔</w:t>
      </w:r>
      <w:r>
        <w:rPr>
          <w:rFonts w:ascii="仿宋_GB2312" w:eastAsia="仿宋_GB2312" w:hint="eastAsia"/>
          <w:szCs w:val="32"/>
        </w:rPr>
        <w:t>2021</w:t>
      </w:r>
      <w:r>
        <w:rPr>
          <w:rFonts w:ascii="仿宋_GB2312" w:eastAsia="仿宋_GB2312" w:hint="eastAsia"/>
          <w:szCs w:val="32"/>
        </w:rPr>
        <w:t>〕</w:t>
      </w:r>
      <w:r>
        <w:rPr>
          <w:rFonts w:ascii="仿宋_GB2312" w:eastAsia="仿宋_GB2312" w:hint="eastAsia"/>
          <w:szCs w:val="32"/>
        </w:rPr>
        <w:t>39</w:t>
      </w:r>
      <w:r>
        <w:rPr>
          <w:rFonts w:ascii="仿宋_GB2312" w:eastAsia="仿宋_GB2312" w:hint="eastAsia"/>
          <w:szCs w:val="32"/>
        </w:rPr>
        <w:t>号）各项规定，制定了《高青经济开发区</w:t>
      </w:r>
      <w:r>
        <w:rPr>
          <w:rFonts w:ascii="仿宋_GB2312" w:eastAsia="仿宋_GB2312" w:hint="eastAsia"/>
          <w:szCs w:val="32"/>
        </w:rPr>
        <w:t>2021</w:t>
      </w:r>
      <w:r>
        <w:rPr>
          <w:rFonts w:ascii="仿宋_GB2312" w:eastAsia="仿宋_GB2312" w:hint="eastAsia"/>
          <w:szCs w:val="32"/>
        </w:rPr>
        <w:t>年政务公开工作实施方案》，并根据方案要求，重点做好重要部署执行及省级生态工业园区建设领域信息公开工作，目前各项工作已落实到位。</w:t>
      </w:r>
    </w:p>
    <w:p w:rsidR="00250D68" w:rsidRDefault="00B41A18">
      <w:pPr>
        <w:ind w:firstLineChars="200" w:firstLine="640"/>
        <w:jc w:val="left"/>
        <w:rPr>
          <w:rFonts w:ascii="楷体_GB2312" w:eastAsia="楷体_GB2312" w:hAnsi="黑体"/>
          <w:szCs w:val="32"/>
        </w:rPr>
      </w:pPr>
      <w:r>
        <w:rPr>
          <w:rFonts w:ascii="楷体_GB2312" w:eastAsia="楷体_GB2312" w:hAnsi="黑体" w:hint="eastAsia"/>
          <w:szCs w:val="32"/>
        </w:rPr>
        <w:t>（三）人大代表建议和政协委员提案办理结果公开情况</w:t>
      </w:r>
    </w:p>
    <w:p w:rsidR="00250D68" w:rsidRDefault="00B41A18">
      <w:pPr>
        <w:spacing w:line="560" w:lineRule="exact"/>
        <w:ind w:firstLineChars="200" w:firstLine="640"/>
        <w:rPr>
          <w:rFonts w:ascii="仿宋_GB2312" w:eastAsia="仿宋_GB2312"/>
          <w:szCs w:val="32"/>
        </w:rPr>
      </w:pPr>
      <w:r>
        <w:rPr>
          <w:rFonts w:ascii="仿宋_GB2312" w:eastAsia="仿宋_GB2312" w:hint="eastAsia"/>
          <w:szCs w:val="32"/>
        </w:rPr>
        <w:t>2021</w:t>
      </w:r>
      <w:r>
        <w:rPr>
          <w:rFonts w:ascii="仿宋_GB2312" w:eastAsia="仿宋_GB2312" w:hint="eastAsia"/>
          <w:szCs w:val="32"/>
        </w:rPr>
        <w:t>年共</w:t>
      </w:r>
      <w:proofErr w:type="gramStart"/>
      <w:r>
        <w:rPr>
          <w:rFonts w:ascii="仿宋_GB2312" w:eastAsia="仿宋_GB2312" w:hint="eastAsia"/>
          <w:szCs w:val="32"/>
        </w:rPr>
        <w:t>承办县</w:t>
      </w:r>
      <w:proofErr w:type="gramEnd"/>
      <w:r>
        <w:rPr>
          <w:rFonts w:ascii="仿宋_GB2312" w:eastAsia="仿宋_GB2312" w:hint="eastAsia"/>
          <w:szCs w:val="32"/>
        </w:rPr>
        <w:t>十七届人大五次会议建议</w:t>
      </w:r>
      <w:r>
        <w:rPr>
          <w:rFonts w:ascii="仿宋_GB2312" w:eastAsia="仿宋_GB2312" w:hint="eastAsia"/>
          <w:szCs w:val="32"/>
        </w:rPr>
        <w:t>0</w:t>
      </w:r>
      <w:r>
        <w:rPr>
          <w:rFonts w:ascii="仿宋_GB2312" w:eastAsia="仿宋_GB2312" w:hint="eastAsia"/>
          <w:szCs w:val="32"/>
        </w:rPr>
        <w:t>件，</w:t>
      </w:r>
      <w:proofErr w:type="gramStart"/>
      <w:r>
        <w:rPr>
          <w:rFonts w:ascii="仿宋_GB2312" w:eastAsia="仿宋_GB2312" w:hint="eastAsia"/>
          <w:szCs w:val="32"/>
        </w:rPr>
        <w:t>承办县</w:t>
      </w:r>
      <w:proofErr w:type="gramEnd"/>
      <w:r>
        <w:rPr>
          <w:rFonts w:ascii="仿宋_GB2312" w:eastAsia="仿宋_GB2312" w:hint="eastAsia"/>
          <w:szCs w:val="32"/>
        </w:rPr>
        <w:t>政协十四届五次会议提案</w:t>
      </w:r>
      <w:r>
        <w:rPr>
          <w:rFonts w:ascii="仿宋_GB2312" w:eastAsia="仿宋_GB2312" w:hint="eastAsia"/>
          <w:szCs w:val="32"/>
        </w:rPr>
        <w:t>1</w:t>
      </w:r>
      <w:r>
        <w:rPr>
          <w:rFonts w:ascii="仿宋_GB2312" w:eastAsia="仿宋_GB2312" w:hint="eastAsia"/>
          <w:szCs w:val="32"/>
        </w:rPr>
        <w:t>件。</w:t>
      </w:r>
      <w:r>
        <w:rPr>
          <w:rFonts w:ascii="仿宋_GB2312" w:eastAsia="仿宋_GB2312" w:hint="eastAsia"/>
          <w:szCs w:val="32"/>
        </w:rPr>
        <w:t>1</w:t>
      </w:r>
      <w:r>
        <w:rPr>
          <w:rFonts w:ascii="仿宋_GB2312" w:eastAsia="仿宋_GB2312" w:hint="eastAsia"/>
          <w:szCs w:val="32"/>
        </w:rPr>
        <w:t>件政协委员提案在县政府网站建议提案专题集中公开提案人、提案原文、提案办理结果等信息。</w:t>
      </w:r>
    </w:p>
    <w:p w:rsidR="00250D68" w:rsidRDefault="00B41A18">
      <w:pPr>
        <w:ind w:firstLineChars="200" w:firstLine="640"/>
        <w:jc w:val="left"/>
        <w:rPr>
          <w:rFonts w:ascii="楷体_GB2312" w:eastAsia="楷体_GB2312" w:hAnsi="黑体"/>
          <w:szCs w:val="32"/>
        </w:rPr>
      </w:pPr>
      <w:r>
        <w:rPr>
          <w:rFonts w:ascii="楷体_GB2312" w:eastAsia="楷体_GB2312" w:hAnsi="黑体" w:hint="eastAsia"/>
          <w:szCs w:val="32"/>
        </w:rPr>
        <w:t>（四）政务公开工作创新情况</w:t>
      </w:r>
    </w:p>
    <w:p w:rsidR="00250D68" w:rsidRDefault="00B41A18">
      <w:pPr>
        <w:ind w:firstLineChars="200" w:firstLine="640"/>
        <w:rPr>
          <w:rFonts w:ascii="仿宋_GB2312" w:eastAsia="仿宋_GB2312" w:hAnsi="仿宋" w:cs="仿宋"/>
          <w:szCs w:val="32"/>
        </w:rPr>
      </w:pPr>
      <w:r>
        <w:rPr>
          <w:rFonts w:ascii="仿宋_GB2312" w:eastAsia="仿宋_GB2312" w:hAnsi="黑体" w:hint="eastAsia"/>
          <w:szCs w:val="32"/>
        </w:rPr>
        <w:t>创新重大建设项目信息公开工作，</w:t>
      </w:r>
      <w:r>
        <w:rPr>
          <w:rFonts w:ascii="仿宋_GB2312" w:eastAsia="仿宋_GB2312" w:hAnsi="仿宋" w:cs="仿宋" w:hint="eastAsia"/>
          <w:szCs w:val="32"/>
        </w:rPr>
        <w:t>每周调度重点项目进度，将项目建设进度表包括项目建设中存在的问题通过办公楼大厅</w:t>
      </w:r>
      <w:r>
        <w:rPr>
          <w:rFonts w:ascii="仿宋_GB2312" w:eastAsia="仿宋_GB2312" w:hAnsi="仿宋" w:cs="仿宋" w:hint="eastAsia"/>
          <w:szCs w:val="32"/>
        </w:rPr>
        <w:t>LED</w:t>
      </w:r>
      <w:proofErr w:type="gramStart"/>
      <w:r>
        <w:rPr>
          <w:rFonts w:ascii="仿宋_GB2312" w:eastAsia="仿宋_GB2312" w:hAnsi="仿宋" w:cs="仿宋" w:hint="eastAsia"/>
          <w:szCs w:val="32"/>
        </w:rPr>
        <w:t>屏进行</w:t>
      </w:r>
      <w:proofErr w:type="gramEnd"/>
      <w:r>
        <w:rPr>
          <w:rFonts w:ascii="仿宋_GB2312" w:eastAsia="仿宋_GB2312" w:hAnsi="仿宋" w:cs="仿宋" w:hint="eastAsia"/>
          <w:szCs w:val="32"/>
        </w:rPr>
        <w:t>项目建设信息公开，并将需解决的问题</w:t>
      </w:r>
      <w:proofErr w:type="gramStart"/>
      <w:r>
        <w:rPr>
          <w:rFonts w:ascii="仿宋_GB2312" w:eastAsia="仿宋_GB2312" w:hAnsi="仿宋" w:cs="仿宋" w:hint="eastAsia"/>
          <w:szCs w:val="32"/>
        </w:rPr>
        <w:t>着重标红显示</w:t>
      </w:r>
      <w:proofErr w:type="gramEnd"/>
      <w:r>
        <w:rPr>
          <w:rFonts w:ascii="仿宋_GB2312" w:eastAsia="仿宋_GB2312" w:hAnsi="仿宋" w:cs="仿宋" w:hint="eastAsia"/>
          <w:szCs w:val="32"/>
        </w:rPr>
        <w:t>，接受监督、自我加压、分析原因、靶向施策、</w:t>
      </w:r>
      <w:r>
        <w:rPr>
          <w:rFonts w:ascii="仿宋_GB2312" w:eastAsia="仿宋_GB2312" w:hAnsi="仿宋" w:cs="仿宋" w:hint="eastAsia"/>
          <w:szCs w:val="32"/>
        </w:rPr>
        <w:lastRenderedPageBreak/>
        <w:t>明确解决时限，助</w:t>
      </w:r>
      <w:proofErr w:type="gramStart"/>
      <w:r>
        <w:rPr>
          <w:rFonts w:ascii="仿宋_GB2312" w:eastAsia="仿宋_GB2312" w:hAnsi="仿宋" w:cs="仿宋" w:hint="eastAsia"/>
          <w:szCs w:val="32"/>
        </w:rPr>
        <w:t>推项目</w:t>
      </w:r>
      <w:proofErr w:type="gramEnd"/>
      <w:r>
        <w:rPr>
          <w:rFonts w:ascii="仿宋_GB2312" w:eastAsia="仿宋_GB2312" w:hAnsi="仿宋" w:cs="仿宋" w:hint="eastAsia"/>
          <w:szCs w:val="32"/>
        </w:rPr>
        <w:t>进度。</w:t>
      </w:r>
    </w:p>
    <w:p w:rsidR="00250D68" w:rsidRDefault="00B41A18">
      <w:pPr>
        <w:ind w:firstLineChars="200" w:firstLine="640"/>
        <w:jc w:val="left"/>
        <w:rPr>
          <w:rFonts w:ascii="楷体_GB2312" w:eastAsia="楷体_GB2312" w:hAnsi="黑体"/>
          <w:szCs w:val="32"/>
        </w:rPr>
      </w:pPr>
      <w:r>
        <w:rPr>
          <w:rFonts w:ascii="楷体_GB2312" w:eastAsia="楷体_GB2312" w:hAnsi="黑体" w:hint="eastAsia"/>
          <w:szCs w:val="32"/>
        </w:rPr>
        <w:t>（五）有关数据统计说明</w:t>
      </w:r>
    </w:p>
    <w:p w:rsidR="00250D68" w:rsidRDefault="00B41A18">
      <w:pPr>
        <w:spacing w:line="560" w:lineRule="exact"/>
        <w:ind w:firstLineChars="200" w:firstLine="640"/>
        <w:rPr>
          <w:rFonts w:ascii="仿宋_GB2312" w:eastAsia="仿宋_GB2312"/>
          <w:szCs w:val="32"/>
        </w:rPr>
      </w:pPr>
      <w:r>
        <w:rPr>
          <w:rFonts w:ascii="仿宋_GB2312" w:eastAsia="仿宋_GB2312" w:hint="eastAsia"/>
          <w:szCs w:val="32"/>
        </w:rPr>
        <w:t>报告中所列数据可能因四舍五入原因与数据直接相加之和存在尾数差异。</w:t>
      </w:r>
    </w:p>
    <w:sectPr w:rsidR="00250D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A18" w:rsidRDefault="00B41A18">
      <w:pPr>
        <w:spacing w:line="240" w:lineRule="auto"/>
      </w:pPr>
      <w:r>
        <w:separator/>
      </w:r>
    </w:p>
  </w:endnote>
  <w:endnote w:type="continuationSeparator" w:id="0">
    <w:p w:rsidR="00B41A18" w:rsidRDefault="00B41A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default"/>
    <w:sig w:usb0="00000000" w:usb1="38CF7CFA"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altName w:val="方正黑体_GBK"/>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A18" w:rsidRDefault="00B41A18">
      <w:pPr>
        <w:spacing w:line="240" w:lineRule="auto"/>
      </w:pPr>
      <w:r>
        <w:separator/>
      </w:r>
    </w:p>
  </w:footnote>
  <w:footnote w:type="continuationSeparator" w:id="0">
    <w:p w:rsidR="00B41A18" w:rsidRDefault="00B41A1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E3543"/>
    <w:rsid w:val="96FEF168"/>
    <w:rsid w:val="A6FBF8D8"/>
    <w:rsid w:val="AE779786"/>
    <w:rsid w:val="AF213AB8"/>
    <w:rsid w:val="AF3F6B0B"/>
    <w:rsid w:val="AFCF68D9"/>
    <w:rsid w:val="B7F762F2"/>
    <w:rsid w:val="B7FB4AA7"/>
    <w:rsid w:val="B7FBE937"/>
    <w:rsid w:val="B7FE601A"/>
    <w:rsid w:val="BAFFE44E"/>
    <w:rsid w:val="BD1DC1E6"/>
    <w:rsid w:val="BEFF4BCD"/>
    <w:rsid w:val="BFFF0B40"/>
    <w:rsid w:val="BFFFD86E"/>
    <w:rsid w:val="C69E4133"/>
    <w:rsid w:val="C6D65CE7"/>
    <w:rsid w:val="C7EBCEAA"/>
    <w:rsid w:val="CFD34B19"/>
    <w:rsid w:val="CFF96943"/>
    <w:rsid w:val="D1FD533F"/>
    <w:rsid w:val="D3A7A8A3"/>
    <w:rsid w:val="D4EF9330"/>
    <w:rsid w:val="D77F2EE8"/>
    <w:rsid w:val="DCDE6932"/>
    <w:rsid w:val="DDBFA064"/>
    <w:rsid w:val="DFA58EB8"/>
    <w:rsid w:val="DFBFD60D"/>
    <w:rsid w:val="DFC5CCDE"/>
    <w:rsid w:val="DFD70045"/>
    <w:rsid w:val="DFF56DEC"/>
    <w:rsid w:val="DFF70C0E"/>
    <w:rsid w:val="DFFA80D6"/>
    <w:rsid w:val="DFFB451E"/>
    <w:rsid w:val="DFFB7207"/>
    <w:rsid w:val="DFFFA057"/>
    <w:rsid w:val="E6770153"/>
    <w:rsid w:val="E9EF2717"/>
    <w:rsid w:val="EAEDD64F"/>
    <w:rsid w:val="EAFFA84D"/>
    <w:rsid w:val="ED77173F"/>
    <w:rsid w:val="EDEDCEFD"/>
    <w:rsid w:val="EFF6AA7E"/>
    <w:rsid w:val="F1EF650C"/>
    <w:rsid w:val="F3DB5BBF"/>
    <w:rsid w:val="F3FF150D"/>
    <w:rsid w:val="F6F5F3CE"/>
    <w:rsid w:val="F7AA93A6"/>
    <w:rsid w:val="F7B3B604"/>
    <w:rsid w:val="F87F4899"/>
    <w:rsid w:val="FB8E51EA"/>
    <w:rsid w:val="FB9F6409"/>
    <w:rsid w:val="FBFE7C1C"/>
    <w:rsid w:val="FCE58BFF"/>
    <w:rsid w:val="FD3DA7B5"/>
    <w:rsid w:val="FD7FB136"/>
    <w:rsid w:val="FDF75C68"/>
    <w:rsid w:val="FECF6A26"/>
    <w:rsid w:val="FEFF6353"/>
    <w:rsid w:val="FF28BED4"/>
    <w:rsid w:val="FF39B6EC"/>
    <w:rsid w:val="FF3FC48D"/>
    <w:rsid w:val="FF7A2ED1"/>
    <w:rsid w:val="FF9FEC3F"/>
    <w:rsid w:val="FFCFAFC7"/>
    <w:rsid w:val="FFDA9B98"/>
    <w:rsid w:val="FFDFFBEB"/>
    <w:rsid w:val="FFF4ED25"/>
    <w:rsid w:val="FFFB1682"/>
    <w:rsid w:val="FFFE374A"/>
    <w:rsid w:val="FFFF1667"/>
    <w:rsid w:val="FFFF28B8"/>
    <w:rsid w:val="000010AD"/>
    <w:rsid w:val="00011FBF"/>
    <w:rsid w:val="00024945"/>
    <w:rsid w:val="00082C02"/>
    <w:rsid w:val="00094E4C"/>
    <w:rsid w:val="000A3D07"/>
    <w:rsid w:val="00111316"/>
    <w:rsid w:val="001142E9"/>
    <w:rsid w:val="0011553F"/>
    <w:rsid w:val="00117733"/>
    <w:rsid w:val="00121DCF"/>
    <w:rsid w:val="0014297E"/>
    <w:rsid w:val="0015050E"/>
    <w:rsid w:val="00166C61"/>
    <w:rsid w:val="00184000"/>
    <w:rsid w:val="001A723C"/>
    <w:rsid w:val="002044E4"/>
    <w:rsid w:val="002114B7"/>
    <w:rsid w:val="00211942"/>
    <w:rsid w:val="002370AB"/>
    <w:rsid w:val="00250D68"/>
    <w:rsid w:val="002739F2"/>
    <w:rsid w:val="002E0F01"/>
    <w:rsid w:val="002E3543"/>
    <w:rsid w:val="003303D5"/>
    <w:rsid w:val="003937C8"/>
    <w:rsid w:val="003E0C8B"/>
    <w:rsid w:val="004030CC"/>
    <w:rsid w:val="004101A5"/>
    <w:rsid w:val="00410CB6"/>
    <w:rsid w:val="00411CA2"/>
    <w:rsid w:val="00415AB1"/>
    <w:rsid w:val="00425927"/>
    <w:rsid w:val="004335B6"/>
    <w:rsid w:val="0043428A"/>
    <w:rsid w:val="004979BF"/>
    <w:rsid w:val="004A33CB"/>
    <w:rsid w:val="004B3A43"/>
    <w:rsid w:val="00560D34"/>
    <w:rsid w:val="00591E5D"/>
    <w:rsid w:val="00594BE9"/>
    <w:rsid w:val="00594F68"/>
    <w:rsid w:val="005C335C"/>
    <w:rsid w:val="005D43FE"/>
    <w:rsid w:val="005D50AD"/>
    <w:rsid w:val="005E172E"/>
    <w:rsid w:val="00634BF6"/>
    <w:rsid w:val="00673AC7"/>
    <w:rsid w:val="00673D01"/>
    <w:rsid w:val="006E53BE"/>
    <w:rsid w:val="006E78E3"/>
    <w:rsid w:val="00704FCD"/>
    <w:rsid w:val="00741AAE"/>
    <w:rsid w:val="00761B18"/>
    <w:rsid w:val="007827ED"/>
    <w:rsid w:val="00783F7E"/>
    <w:rsid w:val="007947A6"/>
    <w:rsid w:val="007C15F7"/>
    <w:rsid w:val="007D018A"/>
    <w:rsid w:val="007D30F6"/>
    <w:rsid w:val="007D7BD5"/>
    <w:rsid w:val="007E2EC3"/>
    <w:rsid w:val="00862D75"/>
    <w:rsid w:val="008814F5"/>
    <w:rsid w:val="00887260"/>
    <w:rsid w:val="008A28B0"/>
    <w:rsid w:val="008A2E6A"/>
    <w:rsid w:val="008C4ED2"/>
    <w:rsid w:val="009049EB"/>
    <w:rsid w:val="009133E9"/>
    <w:rsid w:val="00927E64"/>
    <w:rsid w:val="00997F6F"/>
    <w:rsid w:val="009B028C"/>
    <w:rsid w:val="009D10F6"/>
    <w:rsid w:val="009D1962"/>
    <w:rsid w:val="00A5748F"/>
    <w:rsid w:val="00A704E5"/>
    <w:rsid w:val="00AA0C16"/>
    <w:rsid w:val="00AB16D2"/>
    <w:rsid w:val="00AB75E9"/>
    <w:rsid w:val="00AC244B"/>
    <w:rsid w:val="00AC72F7"/>
    <w:rsid w:val="00AE66CF"/>
    <w:rsid w:val="00AF5AE8"/>
    <w:rsid w:val="00B04960"/>
    <w:rsid w:val="00B1599C"/>
    <w:rsid w:val="00B41A18"/>
    <w:rsid w:val="00B454A0"/>
    <w:rsid w:val="00B465D2"/>
    <w:rsid w:val="00B60A18"/>
    <w:rsid w:val="00B70607"/>
    <w:rsid w:val="00BB7EA7"/>
    <w:rsid w:val="00BC6DB0"/>
    <w:rsid w:val="00C06181"/>
    <w:rsid w:val="00C100A2"/>
    <w:rsid w:val="00C10560"/>
    <w:rsid w:val="00C210AC"/>
    <w:rsid w:val="00C35783"/>
    <w:rsid w:val="00C51817"/>
    <w:rsid w:val="00C67940"/>
    <w:rsid w:val="00C7089E"/>
    <w:rsid w:val="00CB7C43"/>
    <w:rsid w:val="00CC2BE7"/>
    <w:rsid w:val="00CD1D00"/>
    <w:rsid w:val="00CD6BB3"/>
    <w:rsid w:val="00CE7710"/>
    <w:rsid w:val="00CF4A47"/>
    <w:rsid w:val="00D03127"/>
    <w:rsid w:val="00D22F38"/>
    <w:rsid w:val="00D543C5"/>
    <w:rsid w:val="00D760F2"/>
    <w:rsid w:val="00D8276A"/>
    <w:rsid w:val="00D94980"/>
    <w:rsid w:val="00DB3A77"/>
    <w:rsid w:val="00DB5B42"/>
    <w:rsid w:val="00DC7B36"/>
    <w:rsid w:val="00E30717"/>
    <w:rsid w:val="00E57B58"/>
    <w:rsid w:val="00E9208A"/>
    <w:rsid w:val="00E9602C"/>
    <w:rsid w:val="00EA0721"/>
    <w:rsid w:val="00EA34B7"/>
    <w:rsid w:val="00EA7230"/>
    <w:rsid w:val="00EF5607"/>
    <w:rsid w:val="00F1154E"/>
    <w:rsid w:val="00F6200F"/>
    <w:rsid w:val="00F656FE"/>
    <w:rsid w:val="00F65B1B"/>
    <w:rsid w:val="00F85EC7"/>
    <w:rsid w:val="00FA216A"/>
    <w:rsid w:val="00FD2D03"/>
    <w:rsid w:val="00FD5381"/>
    <w:rsid w:val="00FF08CA"/>
    <w:rsid w:val="1AFBDF78"/>
    <w:rsid w:val="1F7F2E3F"/>
    <w:rsid w:val="1FB3D855"/>
    <w:rsid w:val="1FEFB139"/>
    <w:rsid w:val="26FEC2BF"/>
    <w:rsid w:val="2DF93EFF"/>
    <w:rsid w:val="2EBBB8CF"/>
    <w:rsid w:val="2EF0C54D"/>
    <w:rsid w:val="34BFB74F"/>
    <w:rsid w:val="39FF8F59"/>
    <w:rsid w:val="3DD35B08"/>
    <w:rsid w:val="3DFF052A"/>
    <w:rsid w:val="3ED9A899"/>
    <w:rsid w:val="3FDB2104"/>
    <w:rsid w:val="477740BC"/>
    <w:rsid w:val="4F9B7AD6"/>
    <w:rsid w:val="4FA77B3D"/>
    <w:rsid w:val="555E76F1"/>
    <w:rsid w:val="5FFC5567"/>
    <w:rsid w:val="5FFF1AE9"/>
    <w:rsid w:val="639D77E6"/>
    <w:rsid w:val="63DE8BC7"/>
    <w:rsid w:val="6A9701EB"/>
    <w:rsid w:val="6F8FD8B2"/>
    <w:rsid w:val="75FF7429"/>
    <w:rsid w:val="77B63072"/>
    <w:rsid w:val="77FE4B4E"/>
    <w:rsid w:val="77FE6AA3"/>
    <w:rsid w:val="77FFED2E"/>
    <w:rsid w:val="7AAD75E1"/>
    <w:rsid w:val="7AEFC8F4"/>
    <w:rsid w:val="7BDB304E"/>
    <w:rsid w:val="7BDDA9B3"/>
    <w:rsid w:val="7BF94F61"/>
    <w:rsid w:val="7CFB8982"/>
    <w:rsid w:val="7D7551D7"/>
    <w:rsid w:val="7DFA31CF"/>
    <w:rsid w:val="7E733417"/>
    <w:rsid w:val="7E7F2737"/>
    <w:rsid w:val="7EF39869"/>
    <w:rsid w:val="7F7F1C43"/>
    <w:rsid w:val="7FBBF0AB"/>
    <w:rsid w:val="7FDB23E4"/>
    <w:rsid w:val="7FE63434"/>
    <w:rsid w:val="7FF75D5C"/>
    <w:rsid w:val="7FFB7F6D"/>
    <w:rsid w:val="7FFBF749"/>
    <w:rsid w:val="7FFD41C1"/>
    <w:rsid w:val="7FFFAE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ascii="Times New Roman" w:eastAsia="方正仿宋_GBK" w:hAnsi="Times New Roman" w:cs="Times New Roman"/>
      <w:snapToGrid w:val="0"/>
      <w:sz w:val="32"/>
    </w:rPr>
  </w:style>
  <w:style w:type="paragraph" w:styleId="1">
    <w:name w:val="heading 1"/>
    <w:basedOn w:val="a"/>
    <w:next w:val="a"/>
    <w:link w:val="1Char"/>
    <w:uiPriority w:val="9"/>
    <w:qFormat/>
    <w:pPr>
      <w:widowControl/>
      <w:autoSpaceDE/>
      <w:autoSpaceDN/>
      <w:snapToGrid/>
      <w:spacing w:before="100" w:beforeAutospacing="1" w:after="100" w:afterAutospacing="1" w:line="240" w:lineRule="auto"/>
      <w:ind w:firstLine="0"/>
      <w:jc w:val="left"/>
      <w:outlineLvl w:val="0"/>
    </w:pPr>
    <w:rPr>
      <w:rFonts w:ascii="宋体" w:eastAsia="宋体" w:hAnsi="宋体" w:cs="宋体"/>
      <w:b/>
      <w:bCs/>
      <w:snapToGrid/>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0">
    <w:name w:val="页脚 Char"/>
    <w:basedOn w:val="a0"/>
    <w:link w:val="a4"/>
    <w:uiPriority w:val="99"/>
    <w:qFormat/>
    <w:rPr>
      <w:rFonts w:ascii="Times New Roman" w:eastAsia="方正仿宋_GBK" w:hAnsi="Times New Roman" w:cs="Times New Roman"/>
      <w:snapToGrid w:val="0"/>
      <w:kern w:val="0"/>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styleId="a7">
    <w:name w:val="List Paragraph"/>
    <w:basedOn w:val="a"/>
    <w:uiPriority w:val="34"/>
    <w:qFormat/>
    <w:pPr>
      <w:ind w:firstLineChars="200" w:firstLine="420"/>
    </w:pPr>
  </w:style>
  <w:style w:type="character" w:customStyle="1" w:styleId="Char">
    <w:name w:val="批注框文本 Char"/>
    <w:basedOn w:val="a0"/>
    <w:link w:val="a3"/>
    <w:uiPriority w:val="99"/>
    <w:semiHidden/>
    <w:qFormat/>
    <w:rPr>
      <w:rFonts w:ascii="Times New Roman" w:eastAsia="方正仿宋_GBK" w:hAnsi="Times New Roman" w:cs="Times New Roman"/>
      <w:snapToGrid w:val="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551</Words>
  <Characters>3141</Characters>
  <Application>Microsoft Office Word</Application>
  <DocSecurity>0</DocSecurity>
  <Lines>26</Lines>
  <Paragraphs>7</Paragraphs>
  <ScaleCrop>false</ScaleCrop>
  <Company>gq</Company>
  <LinksUpToDate>false</LinksUpToDate>
  <CharactersWithSpaces>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122</cp:revision>
  <dcterms:created xsi:type="dcterms:W3CDTF">2022-01-03T09:04:00Z</dcterms:created>
  <dcterms:modified xsi:type="dcterms:W3CDTF">2023-02-21T03:23:00Z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