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年《政府工作报告》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eastAsia="zh-CN"/>
        </w:rPr>
        <w:t>重点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任务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eastAsia="zh-CN"/>
        </w:rPr>
        <w:t>三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季度进展情况汇总表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870"/>
        <w:gridCol w:w="2684"/>
        <w:gridCol w:w="4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项目内容及目标要求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责任单位</w:t>
            </w:r>
          </w:p>
        </w:tc>
        <w:tc>
          <w:tcPr>
            <w:tcW w:w="4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紧紧围绕抓“六稳”促“六保”，全面落实各级税费减免、金融支持、贷款贴息、用工补贴等援企政策，完善企业挂包帮扶机制，主动为企业纾危解困，力促在产企业满负荷运转，新投产项目达产达效。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县发改局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县工信局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县财政局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县税务局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县人社局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县金融证券服务中心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县商务外事服务中心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经济开发区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化工产业园区</w:t>
            </w:r>
          </w:p>
        </w:tc>
        <w:tc>
          <w:tcPr>
            <w:tcW w:w="4205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帮助企业用好平台各项功能，进行贴息申请等工作。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贷款贴息申报工作正在进行中，截止日期为10月31日。截至目前，已有68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家企业进行贴息申报，其中45家企业通过县级审核,申请贴息额为132.62万元。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建立完善金融风险预警处置机制，严厉打击恶意逃废银行债务、非法集资、金融诈骗等违法犯罪行为，推动金融环境持续优化。加强国有企业监管，严格财政预算管理，有效防范政府债务风险。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县金融证券服务中心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县公安局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县财政局</w:t>
            </w:r>
          </w:p>
        </w:tc>
        <w:tc>
          <w:tcPr>
            <w:tcW w:w="4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检察院正在办理审查起诉骗取贷款案件1件1人；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eastAsia="zh-CN"/>
              </w:rPr>
              <w:t>检察院与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公安机关共同梳理了5件逃废银行债务案件，对恶意逃废银行债务，可能涉嫌骗取贷款罪、金融诈骗罪案件进行重点查处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eastAsia="zh-CN"/>
              </w:rPr>
              <w:t>。今年全县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涉金融案件立案176起，涉案金额2.2亿元，执行结案129起，挽回经济损失6628.6万元，依法对561人实施限制高消费惩戒。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76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实施信贷扩容工程，密切政银企合作，常态化开展金融机构进园区、进企业对接推介活动，让更多的资金流向实体经济，力争年内存贷比提高3个百分点。深化与优质社会资本合作，以更大力度搭建基金平台，形成更多实质性合作项目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县金融证券服务中心</w:t>
            </w:r>
          </w:p>
        </w:tc>
        <w:tc>
          <w:tcPr>
            <w:tcW w:w="4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积极引导各金融机构灵活采取运用各项金融政策，从稳存量、促投放、降成本等多方面为企业发展提供支持。帮助多家企业顺利完成15.53亿元到期贷款还续贷；提供应急转贷资金14.5亿元；较年初新增企业贷款投放7.3亿元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4月份开展金融机构进园区活动，5月21日召开“淄博市金融顾问团高青行”暨“金融赋能”产业兴县工作会议。截至目前，通过多种途径集中推介和宣传，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截至8月31日，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各金融机构与各企业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签约金额40.94亿元，到位资金12.21亿元，到位率29.82%。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截至8月末，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存款余额207.6亿元，贷款余额156.26亿元，存贷比为75.27%。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加强与盈科资本公司合作，组建2亿元的股权投资基金，已与盈科资本基本对接好合作事宜，双方正在根据政府法律顾问的意见修改合伙协议，修改完后立即注册基金公司，根据双方约定出资到位后，选择企业投资。拟与山东中城银信组建规模1.2亿元的飞源新材料产业项目基金，已调整好基金组建方案。拟设立3000万元规模的农业扶持专项基金，由县农商行列入专项基金投资计划。继续推进嘉实资本基金组建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7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用好应急转贷资金，做大政府性融资担保体系，帮助企业缓解融资困难。实施企业上市培育行动，扩大直接融资规模。用好政府专项债券、国际金融贷款等政策工具，争取将更多信贷资源投入到高青发展上来。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县金融证券服务中心</w:t>
            </w:r>
          </w:p>
        </w:tc>
        <w:tc>
          <w:tcPr>
            <w:tcW w:w="4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目前隆华新材料公司上市审核材料7月已获得深交所受理，目前正处于答复深交所问询阶段。天恒纳米公司新三板挂牌材料已上报处于反馈阶段。飞源化工于2020年8月已完成内部职工持股，券商、会计师事务所、律师事务所已进入并完成初步尽调。已组建规模1亿元的高青众珩中小企业服务有限公司；规模5000万元的山东鸿昶应急转贷基金有限公司；规模5000万元的山东舜源应急转贷基金有限公司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  <w:t>截至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2020年8月，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三家应急转贷公司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  <w:t>及联翔、元润、慢城合伙、众成、信达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累计为企业提供应急转贷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14亿余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元。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A2468"/>
    <w:rsid w:val="123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2020-11-06T01:02:00Z</dcterms:created>
  <dc:creator>Pioneer</dc:creator>
  <cp:lastModifiedBy>Pioneer</cp:lastModifiedBy>
  <dcterms:modified xsi:type="dcterms:W3CDTF">2020-11-06T01:04:00Z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