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44"/>
          <w:szCs w:val="44"/>
        </w:rPr>
        <w:t>20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44"/>
          <w:szCs w:val="44"/>
          <w:lang w:val="en-US" w:eastAsia="zh-CN"/>
        </w:rPr>
        <w:t>20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44"/>
          <w:szCs w:val="44"/>
        </w:rPr>
        <w:t>年《政府工作报告》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44"/>
          <w:szCs w:val="44"/>
          <w:lang w:eastAsia="zh-CN"/>
        </w:rPr>
        <w:t>重点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44"/>
          <w:szCs w:val="44"/>
        </w:rPr>
        <w:t>任务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44"/>
          <w:szCs w:val="44"/>
          <w:lang w:val="en-US" w:eastAsia="zh-CN"/>
        </w:rPr>
        <w:t>四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44"/>
          <w:szCs w:val="44"/>
        </w:rPr>
        <w:t>季度进展情况汇总表</w:t>
      </w:r>
    </w:p>
    <w:p>
      <w:pPr>
        <w:rPr>
          <w:rFonts w:hint="default" w:ascii="Times New Roman" w:hAnsi="Times New Roman" w:eastAsia="仿宋_GB2312" w:cs="Times New Roman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6870"/>
        <w:gridCol w:w="2610"/>
        <w:gridCol w:w="4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项目内容及目标要求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责任单位</w:t>
            </w:r>
          </w:p>
        </w:tc>
        <w:tc>
          <w:tcPr>
            <w:tcW w:w="41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进展情况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</w:trPr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紧紧围绕抓“六稳”促“六保”，全面落实各级税费减免、金融支持、贷款贴息、用工补贴等援企政策，完善企业挂包帮扶机制，主动为企业纾危解困，力促在产企业满负荷运转，新投产项目达产达效。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县发改局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县工信局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县财政局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县税务局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县人社局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县金融证券服务中心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县商务外事服务中心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经济开发区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化工产业园区</w:t>
            </w:r>
          </w:p>
        </w:tc>
        <w:tc>
          <w:tcPr>
            <w:tcW w:w="4124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积极引导各金融机构灵活采取运用各项金融政策，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稳定金融供给，顺利完成续贷22.98亿元，办理中小微企业延期还本付息10.42亿元；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帮助企业用好平台各项功能，进行贴息申请等工作。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贷款贴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息申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报工作正在进行中，截止日期为</w:t>
            </w:r>
            <w:r>
              <w:rPr>
                <w:rFonts w:hint="eastAsia" w:eastAsia="仿宋_GB2312" w:cs="Times New Roman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2020年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10月31日。截至目前，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县级审核通过65家企业92笔贷款贴息申请，预计贴息金额278万元。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6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建立完善金融风险预警处置机制，严厉打击恶意逃废银行债务、非法集资、金融诈骗等违法犯罪行为，推动金融环境持续优化。加强国有企业监管，严格财政预算管理，有效防范政府债务风险。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县金融证券服务中心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县公安局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县财政局</w:t>
            </w:r>
          </w:p>
        </w:tc>
        <w:tc>
          <w:tcPr>
            <w:tcW w:w="41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完成。制定了《高青县金融风险监测预警工作实施意见》，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完善金融风险预警处置机制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；积极开展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打击恶意逃费银行债务专项行动，</w:t>
            </w:r>
            <w:r>
              <w:rPr>
                <w:rFonts w:hint="eastAsia" w:eastAsia="仿宋_GB2312" w:cs="Times New Roman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2020年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全县涉金融案件立案243起，涉案金额3.09亿元，执行结案241起，挽回经济损失5.53亿元，依法对1050人实施限制高消费惩戒。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6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实施信贷扩容工程，密切政银企合作，常态化开展金融机构进园区、进企业对接推介活动，让更多的资金流向实体经济，力争年内存贷比提高3个百分点。深化与优质社会资本合作，以更大力度搭建基金平台，形成更多实质性合作项目。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县金融证券服务中心</w:t>
            </w:r>
          </w:p>
        </w:tc>
        <w:tc>
          <w:tcPr>
            <w:tcW w:w="41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完成。积极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实施信贷扩容工程，密切政银企合作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4月份开展金融机构进园区活动，5月21日召开“淄博市金融顾问团高青行”暨“金融赋能”产业兴县工作会议，8月份组织召开全县金融工作座谈会，通过多种途径集中推介和宣传。重点项目得到有效支持，截至12月末，各金融机构与各企业签约金额40.94亿元，到位资金12.66亿元，到位率30.92%，全县金融各项指标持续稳定向好。截至12月末，存款余额213.06亿元，较年初增长30.73亿元，增幅为16.85%；贷款余额160.96亿元，较年初增长19.64亿元，增幅为13.9%。已与北京嘉实资本合作设立规模1.5亿元众赢（高青）新旧动能转换股权投资基金合伙企业（有限合伙），完成有限合伙企业工商注册，力争尽快投资到位。拟与深圳飞马天成投资管理有限公司设立5亿元股权投资基金，力争尽快注册公司并取得实质性进展。继续推进与上海盈科资本2亿元基金组建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6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用好应急转贷资金，做大政府性融资担保体系，帮助企业缓解融资困难。实施企业上市培育行动，扩大直接融资规模。用好政府专项债券、国际金融贷款等政策工具，争取将更多信贷资源投入到高青发展上来。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县金融证券服务中心</w:t>
            </w:r>
          </w:p>
        </w:tc>
        <w:tc>
          <w:tcPr>
            <w:tcW w:w="41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完成。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隆华新材料于</w:t>
            </w:r>
            <w:r>
              <w:rPr>
                <w:rFonts w:hint="eastAsia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2020年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12月3日在创业板首发过会；天恒纳米</w:t>
            </w:r>
            <w:r>
              <w:rPr>
                <w:rFonts w:hint="eastAsia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于2020年10月28日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实现新三板挂牌</w:t>
            </w:r>
            <w:r>
              <w:rPr>
                <w:rFonts w:hint="eastAsia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飞源</w:t>
            </w:r>
            <w:r>
              <w:rPr>
                <w:rFonts w:hint="eastAsia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化工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已完成员工入股增资</w:t>
            </w:r>
            <w:r>
              <w:rPr>
                <w:rFonts w:hint="eastAsia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，今年将进行股改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。已组建规模1亿元的高青众珩中小企业服务有限公司；规模5000万元的山东鸿昶应急转贷基金有限公司；规模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5000万元的山东舜源应急转贷基金有限公司。截至2020年12月，三家应急转贷公司及联翔、元润、慢城合伙、众成、信达累计为企业提供应急转贷18.9亿余元。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1337D"/>
    <w:rsid w:val="3641337D"/>
    <w:rsid w:val="770E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2021-01-08T06:08:00Z</dcterms:created>
  <dc:creator>Pioneer</dc:creator>
  <cp:lastModifiedBy>Pioneer</cp:lastModifiedBy>
  <dcterms:modified xsi:type="dcterms:W3CDTF">2021-01-08T06:31:06Z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