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32" w:name="_GoBack"/>
      <w:bookmarkEnd w:id="32"/>
    </w:p>
    <w:p/>
    <w:p>
      <w:pPr>
        <w:pStyle w:val="4"/>
        <w:rPr>
          <w:rFonts w:hint="default"/>
        </w:rPr>
      </w:pPr>
    </w:p>
    <w:p/>
    <w:p>
      <w:pPr>
        <w:pStyle w:val="4"/>
        <w:jc w:val="center"/>
        <w:rPr>
          <w:rFonts w:hint="default" w:ascii="方正小标宋简体" w:hAnsi="方正小标宋简体" w:eastAsia="方正小标宋简体"/>
          <w:b w:val="0"/>
          <w:sz w:val="56"/>
          <w:szCs w:val="56"/>
        </w:rPr>
      </w:pPr>
      <w:r>
        <w:rPr>
          <w:rFonts w:hint="eastAsia" w:ascii="方正小标宋简体" w:hAnsi="方正小标宋简体" w:eastAsia="方正小标宋简体"/>
          <w:b w:val="0"/>
          <w:sz w:val="56"/>
          <w:szCs w:val="56"/>
          <w:lang w:val="en-US" w:eastAsia="zh-CN"/>
        </w:rPr>
        <w:t>高青县</w:t>
      </w:r>
      <w:r>
        <w:rPr>
          <w:rFonts w:hint="eastAsia" w:ascii="方正小标宋简体" w:hAnsi="方正小标宋简体" w:eastAsia="方正小标宋简体"/>
          <w:b w:val="0"/>
          <w:sz w:val="56"/>
          <w:szCs w:val="56"/>
          <w:lang w:eastAsia="zh-CN"/>
        </w:rPr>
        <w:t>交通运输局</w:t>
      </w:r>
      <w:r>
        <w:rPr>
          <w:rFonts w:ascii="方正小标宋简体" w:hAnsi="方正小标宋简体" w:eastAsia="方正小标宋简体"/>
          <w:b w:val="0"/>
          <w:sz w:val="56"/>
          <w:szCs w:val="56"/>
        </w:rPr>
        <w:t>“双随机、一公开”</w:t>
      </w:r>
    </w:p>
    <w:p>
      <w:pPr>
        <w:pStyle w:val="4"/>
        <w:jc w:val="center"/>
        <w:rPr>
          <w:rFonts w:hint="eastAsia" w:ascii="方正小标宋简体" w:hAnsi="方正小标宋简体" w:eastAsia="方正小标宋简体"/>
          <w:b w:val="0"/>
          <w:sz w:val="56"/>
          <w:szCs w:val="56"/>
          <w:lang w:eastAsia="zh-CN"/>
        </w:rPr>
      </w:pPr>
      <w:r>
        <w:rPr>
          <w:rFonts w:ascii="方正小标宋简体" w:hAnsi="方正小标宋简体" w:eastAsia="方正小标宋简体"/>
          <w:b w:val="0"/>
          <w:sz w:val="56"/>
          <w:szCs w:val="56"/>
        </w:rPr>
        <w:t>抽查工作指引汇编</w:t>
      </w:r>
      <w:r>
        <w:rPr>
          <w:rFonts w:hint="eastAsia" w:ascii="方正小标宋简体" w:hAnsi="方正小标宋简体" w:eastAsia="方正小标宋简体"/>
          <w:b w:val="0"/>
          <w:sz w:val="56"/>
          <w:szCs w:val="56"/>
          <w:lang w:eastAsia="zh-CN"/>
        </w:rPr>
        <w:t>（</w:t>
      </w:r>
      <w:r>
        <w:rPr>
          <w:rFonts w:hint="eastAsia" w:ascii="方正小标宋简体" w:hAnsi="方正小标宋简体" w:eastAsia="方正小标宋简体"/>
          <w:b w:val="0"/>
          <w:sz w:val="56"/>
          <w:szCs w:val="56"/>
          <w:lang w:val="en-US" w:eastAsia="zh-CN"/>
        </w:rPr>
        <w:t>2023年版</w:t>
      </w:r>
      <w:r>
        <w:rPr>
          <w:rFonts w:hint="eastAsia" w:ascii="方正小标宋简体" w:hAnsi="方正小标宋简体" w:eastAsia="方正小标宋简体"/>
          <w:b w:val="0"/>
          <w:sz w:val="56"/>
          <w:szCs w:val="56"/>
          <w:lang w:eastAsia="zh-CN"/>
        </w:rPr>
        <w:t>）</w:t>
      </w:r>
    </w:p>
    <w:p/>
    <w:p/>
    <w:p>
      <w:pPr>
        <w:pStyle w:val="4"/>
        <w:rPr>
          <w:rFonts w:hint="default"/>
        </w:rPr>
      </w:pPr>
    </w:p>
    <w:p/>
    <w:p>
      <w:pPr>
        <w:pStyle w:val="4"/>
        <w:rPr>
          <w:rFonts w:hint="default"/>
        </w:rPr>
      </w:pPr>
    </w:p>
    <w:p>
      <w:pPr>
        <w:pStyle w:val="4"/>
        <w:rPr>
          <w:rFonts w:hint="default"/>
        </w:rPr>
      </w:pPr>
    </w:p>
    <w:p>
      <w:pPr>
        <w:pStyle w:val="4"/>
        <w:jc w:val="center"/>
        <w:rPr>
          <w:rFonts w:hint="eastAsia" w:ascii="楷体" w:hAnsi="楷体" w:eastAsia="楷体"/>
          <w:lang w:eastAsia="zh-CN"/>
        </w:rPr>
      </w:pPr>
      <w:r>
        <w:rPr>
          <w:rFonts w:hint="eastAsia" w:ascii="楷体" w:hAnsi="楷体" w:eastAsia="楷体"/>
          <w:lang w:val="en-US" w:eastAsia="zh-CN"/>
        </w:rPr>
        <w:t>高青县</w:t>
      </w:r>
      <w:r>
        <w:rPr>
          <w:rFonts w:hint="eastAsia" w:ascii="楷体" w:hAnsi="楷体" w:eastAsia="楷体"/>
          <w:lang w:eastAsia="zh-CN"/>
        </w:rPr>
        <w:t>交通运输局</w:t>
      </w:r>
    </w:p>
    <w:p>
      <w:pPr>
        <w:jc w:val="center"/>
        <w:rPr>
          <w:rFonts w:hint="eastAsia" w:ascii="楷体" w:hAnsi="楷体" w:eastAsia="楷体"/>
          <w:sz w:val="36"/>
          <w:szCs w:val="36"/>
        </w:rPr>
      </w:pPr>
      <w:r>
        <w:rPr>
          <w:rFonts w:hint="eastAsia" w:ascii="楷体" w:hAnsi="楷体" w:eastAsia="楷体"/>
          <w:sz w:val="36"/>
          <w:szCs w:val="36"/>
        </w:rPr>
        <w:t>202</w:t>
      </w:r>
      <w:r>
        <w:rPr>
          <w:rFonts w:hint="eastAsia" w:ascii="楷体" w:hAnsi="楷体" w:eastAsia="楷体"/>
          <w:sz w:val="36"/>
          <w:szCs w:val="36"/>
          <w:lang w:val="en-US" w:eastAsia="zh-CN"/>
        </w:rPr>
        <w:t>3</w:t>
      </w:r>
      <w:r>
        <w:rPr>
          <w:rFonts w:hint="eastAsia" w:ascii="楷体" w:hAnsi="楷体" w:eastAsia="楷体"/>
          <w:sz w:val="36"/>
          <w:szCs w:val="36"/>
        </w:rPr>
        <w:t>年</w:t>
      </w:r>
      <w:r>
        <w:rPr>
          <w:rFonts w:hint="eastAsia" w:ascii="楷体" w:hAnsi="楷体" w:eastAsia="楷体"/>
          <w:sz w:val="36"/>
          <w:szCs w:val="36"/>
          <w:lang w:val="en-US" w:eastAsia="zh-CN"/>
        </w:rPr>
        <w:t>3</w:t>
      </w:r>
      <w:r>
        <w:rPr>
          <w:rFonts w:hint="eastAsia" w:ascii="楷体" w:hAnsi="楷体" w:eastAsia="楷体"/>
          <w:sz w:val="36"/>
          <w:szCs w:val="36"/>
        </w:rPr>
        <w:t>月</w:t>
      </w:r>
    </w:p>
    <w:p>
      <w:pPr>
        <w:rPr>
          <w:rFonts w:hint="eastAsia" w:ascii="楷体" w:hAnsi="楷体" w:eastAsia="楷体"/>
          <w:sz w:val="36"/>
          <w:szCs w:val="36"/>
        </w:rPr>
      </w:pPr>
      <w:r>
        <w:rPr>
          <w:rFonts w:hint="eastAsia" w:ascii="楷体" w:hAnsi="楷体" w:eastAsia="楷体"/>
          <w:sz w:val="36"/>
          <w:szCs w:val="36"/>
        </w:rPr>
        <w:br w:type="page"/>
      </w:r>
    </w:p>
    <w:sdt>
      <w:sdtPr>
        <w:rPr>
          <w:rFonts w:ascii="宋体" w:hAnsi="宋体" w:eastAsia="宋体" w:cs="Times New Roman"/>
          <w:kern w:val="2"/>
          <w:sz w:val="21"/>
          <w:szCs w:val="32"/>
          <w:lang w:val="en-US" w:eastAsia="zh-CN" w:bidi="ar-SA"/>
        </w:rPr>
        <w:id w:val="147479176"/>
        <w15:color w:val="DBDBDB"/>
        <w:docPartObj>
          <w:docPartGallery w:val="Table of Contents"/>
          <w:docPartUnique/>
        </w:docPartObj>
      </w:sdtPr>
      <w:sdtEndPr>
        <w:rPr>
          <w:rFonts w:hint="eastAsia" w:ascii="宋体" w:hAnsi="宋体" w:eastAsia="宋体" w:cs="Times New Roman"/>
          <w:color w:val="000000"/>
          <w:kern w:val="2"/>
          <w:sz w:val="21"/>
          <w:szCs w:val="32"/>
          <w:lang w:val="en-US" w:eastAsia="zh-CN" w:bidi="ar-SA"/>
        </w:rPr>
      </w:sdtEndPr>
      <w:sdtContent>
        <w:sdt>
          <w:sdtPr>
            <w:rPr>
              <w:rFonts w:ascii="宋体" w:hAnsi="宋体" w:eastAsia="宋体" w:cs="Times New Roman"/>
              <w:kern w:val="2"/>
              <w:sz w:val="21"/>
              <w:szCs w:val="32"/>
              <w:lang w:val="en-US" w:eastAsia="zh-CN" w:bidi="ar-SA"/>
            </w:rPr>
            <w:id w:val="147479176"/>
            <w15:color w:val="DBDBDB"/>
            <w:docPartObj>
              <w:docPartGallery w:val="Table of Contents"/>
              <w:docPartUnique/>
            </w:docPartObj>
          </w:sdtPr>
          <w:sdtEndPr>
            <w:rPr>
              <w:rFonts w:hint="eastAsia" w:ascii="Calibri" w:hAnsi="Calibri" w:eastAsia="仿宋_GB2312"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8"/>
                </w:rPr>
              </w:pPr>
              <w:r>
                <w:rPr>
                  <w:rFonts w:ascii="宋体" w:hAnsi="宋体" w:eastAsia="宋体"/>
                  <w:b/>
                  <w:bCs/>
                  <w:sz w:val="32"/>
                  <w:szCs w:val="48"/>
                </w:rPr>
                <w:t>目录</w:t>
              </w:r>
            </w:p>
            <w:p>
              <w:pPr>
                <w:pStyle w:val="2"/>
              </w:pPr>
            </w:p>
            <w:p>
              <w:pPr>
                <w:pStyle w:val="2"/>
                <w:tabs>
                  <w:tab w:val="right" w:leader="dot" w:pos="8730"/>
                </w:tabs>
                <w:rPr>
                  <w:sz w:val="24"/>
                  <w:szCs w:val="24"/>
                </w:rPr>
              </w:pPr>
              <w:r>
                <w:rPr>
                  <w:rFonts w:hint="eastAsia"/>
                  <w:lang w:val="en-US"/>
                </w:rPr>
                <w:fldChar w:fldCharType="begin"/>
              </w:r>
              <w:r>
                <w:rPr>
                  <w:rFonts w:hint="eastAsia"/>
                  <w:lang w:val="en-US"/>
                </w:rPr>
                <w:instrText xml:space="preserve">TOC \o "1-1" \h \u </w:instrText>
              </w:r>
              <w:r>
                <w:rPr>
                  <w:rFonts w:hint="eastAsia"/>
                  <w:lang w:val="en-US"/>
                </w:rPr>
                <w:fldChar w:fldCharType="separate"/>
              </w:r>
              <w:r>
                <w:rPr>
                  <w:rFonts w:hint="eastAsia"/>
                  <w:sz w:val="24"/>
                  <w:szCs w:val="24"/>
                  <w:lang w:val="en-US"/>
                </w:rPr>
                <w:fldChar w:fldCharType="begin"/>
              </w:r>
              <w:r>
                <w:rPr>
                  <w:rFonts w:hint="eastAsia"/>
                  <w:sz w:val="24"/>
                  <w:szCs w:val="24"/>
                  <w:lang w:val="en-US"/>
                </w:rPr>
                <w:instrText xml:space="preserve"> HYPERLINK \l _Toc7354 </w:instrText>
              </w:r>
              <w:r>
                <w:rPr>
                  <w:rFonts w:hint="eastAsia"/>
                  <w:sz w:val="24"/>
                  <w:szCs w:val="24"/>
                  <w:lang w:val="en-US"/>
                </w:rPr>
                <w:fldChar w:fldCharType="separate"/>
              </w:r>
              <w:r>
                <w:rPr>
                  <w:rFonts w:hint="eastAsia" w:ascii="黑体" w:hAnsi="黑体" w:eastAsia="黑体" w:cs="黑体"/>
                  <w:sz w:val="24"/>
                  <w:szCs w:val="24"/>
                  <w:lang w:val="en-US" w:eastAsia="zh-CN"/>
                </w:rPr>
                <w:t>第一章 对公路水运建设市场的监督检查工作指引</w:t>
              </w:r>
              <w:r>
                <w:rPr>
                  <w:sz w:val="24"/>
                  <w:szCs w:val="24"/>
                </w:rPr>
                <w:tab/>
              </w:r>
              <w:r>
                <w:rPr>
                  <w:sz w:val="24"/>
                  <w:szCs w:val="24"/>
                </w:rPr>
                <w:fldChar w:fldCharType="begin"/>
              </w:r>
              <w:r>
                <w:rPr>
                  <w:sz w:val="24"/>
                  <w:szCs w:val="24"/>
                </w:rPr>
                <w:instrText xml:space="preserve"> PAGEREF _Toc7354 \h </w:instrText>
              </w:r>
              <w:r>
                <w:rPr>
                  <w:sz w:val="24"/>
                  <w:szCs w:val="24"/>
                </w:rPr>
                <w:fldChar w:fldCharType="separate"/>
              </w:r>
              <w:r>
                <w:rPr>
                  <w:sz w:val="24"/>
                  <w:szCs w:val="24"/>
                </w:rPr>
                <w:t>4</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_Toc24135 </w:instrText>
              </w:r>
              <w:r>
                <w:rPr>
                  <w:rFonts w:hint="eastAsia"/>
                  <w:sz w:val="24"/>
                  <w:szCs w:val="24"/>
                  <w:lang w:val="en-US"/>
                </w:rPr>
                <w:fldChar w:fldCharType="separate"/>
              </w:r>
              <w:r>
                <w:rPr>
                  <w:rFonts w:hint="eastAsia" w:ascii="黑体" w:hAnsi="黑体" w:eastAsia="黑体" w:cs="黑体"/>
                  <w:sz w:val="24"/>
                  <w:szCs w:val="24"/>
                  <w:lang w:val="en-US" w:eastAsia="zh-CN"/>
                </w:rPr>
                <w:t>第二章  对车辆维修企业经营情况的监督检查工作指引</w:t>
              </w:r>
              <w:r>
                <w:rPr>
                  <w:sz w:val="24"/>
                  <w:szCs w:val="24"/>
                </w:rPr>
                <w:tab/>
              </w:r>
              <w:r>
                <w:rPr>
                  <w:sz w:val="24"/>
                  <w:szCs w:val="24"/>
                </w:rPr>
                <w:fldChar w:fldCharType="begin"/>
              </w:r>
              <w:r>
                <w:rPr>
                  <w:sz w:val="24"/>
                  <w:szCs w:val="24"/>
                </w:rPr>
                <w:instrText xml:space="preserve"> PAGEREF _Toc24135 \h </w:instrText>
              </w:r>
              <w:r>
                <w:rPr>
                  <w:sz w:val="24"/>
                  <w:szCs w:val="24"/>
                </w:rPr>
                <w:fldChar w:fldCharType="separate"/>
              </w:r>
              <w:r>
                <w:rPr>
                  <w:sz w:val="24"/>
                  <w:szCs w:val="24"/>
                </w:rPr>
                <w:t>6</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_Toc24266 </w:instrText>
              </w:r>
              <w:r>
                <w:rPr>
                  <w:rFonts w:hint="eastAsia"/>
                  <w:sz w:val="24"/>
                  <w:szCs w:val="24"/>
                  <w:lang w:val="en-US"/>
                </w:rPr>
                <w:fldChar w:fldCharType="separate"/>
              </w:r>
              <w:r>
                <w:rPr>
                  <w:rFonts w:hint="eastAsia" w:ascii="黑体" w:hAnsi="黑体" w:eastAsia="黑体" w:cs="黑体"/>
                  <w:sz w:val="24"/>
                  <w:szCs w:val="24"/>
                  <w:lang w:val="en-US" w:eastAsia="zh-CN"/>
                </w:rPr>
                <w:t>第三章 对城市公共汽电车客运（含线路经营）的监督检查工作指引</w:t>
              </w:r>
              <w:r>
                <w:rPr>
                  <w:sz w:val="24"/>
                  <w:szCs w:val="24"/>
                </w:rPr>
                <w:tab/>
              </w:r>
              <w:r>
                <w:rPr>
                  <w:sz w:val="24"/>
                  <w:szCs w:val="24"/>
                </w:rPr>
                <w:fldChar w:fldCharType="begin"/>
              </w:r>
              <w:r>
                <w:rPr>
                  <w:sz w:val="24"/>
                  <w:szCs w:val="24"/>
                </w:rPr>
                <w:instrText xml:space="preserve"> PAGEREF _Toc24266 \h </w:instrText>
              </w:r>
              <w:r>
                <w:rPr>
                  <w:sz w:val="24"/>
                  <w:szCs w:val="24"/>
                </w:rPr>
                <w:fldChar w:fldCharType="separate"/>
              </w:r>
              <w:r>
                <w:rPr>
                  <w:sz w:val="24"/>
                  <w:szCs w:val="24"/>
                </w:rPr>
                <w:t>7</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_Toc13397 </w:instrText>
              </w:r>
              <w:r>
                <w:rPr>
                  <w:rFonts w:hint="eastAsia"/>
                  <w:sz w:val="24"/>
                  <w:szCs w:val="24"/>
                  <w:lang w:val="en-US"/>
                </w:rPr>
                <w:fldChar w:fldCharType="separate"/>
              </w:r>
              <w:r>
                <w:rPr>
                  <w:rFonts w:hint="eastAsia" w:ascii="黑体" w:hAnsi="黑体" w:eastAsia="黑体" w:cs="黑体"/>
                  <w:sz w:val="24"/>
                  <w:szCs w:val="24"/>
                  <w:lang w:val="en-US" w:eastAsia="zh-CN"/>
                </w:rPr>
                <w:t>第四章 对巡游出租汽车客运经营的的监督检查工作指引</w:t>
              </w:r>
              <w:r>
                <w:rPr>
                  <w:sz w:val="24"/>
                  <w:szCs w:val="24"/>
                </w:rPr>
                <w:tab/>
              </w:r>
              <w:r>
                <w:rPr>
                  <w:sz w:val="24"/>
                  <w:szCs w:val="24"/>
                </w:rPr>
                <w:fldChar w:fldCharType="begin"/>
              </w:r>
              <w:r>
                <w:rPr>
                  <w:sz w:val="24"/>
                  <w:szCs w:val="24"/>
                </w:rPr>
                <w:instrText xml:space="preserve"> PAGEREF _Toc13397 \h </w:instrText>
              </w:r>
              <w:r>
                <w:rPr>
                  <w:sz w:val="24"/>
                  <w:szCs w:val="24"/>
                </w:rPr>
                <w:fldChar w:fldCharType="separate"/>
              </w:r>
              <w:r>
                <w:rPr>
                  <w:sz w:val="24"/>
                  <w:szCs w:val="24"/>
                </w:rPr>
                <w:t>8</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_Toc25761 </w:instrText>
              </w:r>
              <w:r>
                <w:rPr>
                  <w:rFonts w:hint="eastAsia"/>
                  <w:sz w:val="24"/>
                  <w:szCs w:val="24"/>
                  <w:lang w:val="en-US"/>
                </w:rPr>
                <w:fldChar w:fldCharType="separate"/>
              </w:r>
              <w:r>
                <w:rPr>
                  <w:rFonts w:hint="eastAsia" w:ascii="黑体" w:hAnsi="黑体" w:eastAsia="黑体" w:cs="黑体"/>
                  <w:sz w:val="24"/>
                  <w:szCs w:val="24"/>
                  <w:lang w:val="en-US" w:eastAsia="zh-CN"/>
                </w:rPr>
                <w:t>第五章 对涉路工程建设项目的监督检查工作指引</w:t>
              </w:r>
              <w:r>
                <w:rPr>
                  <w:sz w:val="24"/>
                  <w:szCs w:val="24"/>
                </w:rPr>
                <w:tab/>
              </w:r>
              <w:r>
                <w:rPr>
                  <w:sz w:val="24"/>
                  <w:szCs w:val="24"/>
                </w:rPr>
                <w:fldChar w:fldCharType="begin"/>
              </w:r>
              <w:r>
                <w:rPr>
                  <w:sz w:val="24"/>
                  <w:szCs w:val="24"/>
                </w:rPr>
                <w:instrText xml:space="preserve"> PAGEREF _Toc25761 \h </w:instrText>
              </w:r>
              <w:r>
                <w:rPr>
                  <w:sz w:val="24"/>
                  <w:szCs w:val="24"/>
                </w:rPr>
                <w:fldChar w:fldCharType="separate"/>
              </w:r>
              <w:r>
                <w:rPr>
                  <w:sz w:val="24"/>
                  <w:szCs w:val="24"/>
                </w:rPr>
                <w:t>9</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_Toc18153 </w:instrText>
              </w:r>
              <w:r>
                <w:rPr>
                  <w:rFonts w:hint="eastAsia"/>
                  <w:sz w:val="24"/>
                  <w:szCs w:val="24"/>
                  <w:lang w:val="en-US"/>
                </w:rPr>
                <w:fldChar w:fldCharType="separate"/>
              </w:r>
              <w:r>
                <w:rPr>
                  <w:rFonts w:hint="eastAsia" w:ascii="黑体" w:hAnsi="黑体" w:eastAsia="黑体" w:cs="黑体"/>
                  <w:sz w:val="24"/>
                  <w:szCs w:val="24"/>
                  <w:lang w:val="en-US" w:eastAsia="zh-CN"/>
                </w:rPr>
                <w:t>第六章 对水路运输经营市场的监督检查工作指引</w:t>
              </w:r>
              <w:r>
                <w:rPr>
                  <w:sz w:val="24"/>
                  <w:szCs w:val="24"/>
                </w:rPr>
                <w:tab/>
              </w:r>
              <w:r>
                <w:rPr>
                  <w:sz w:val="24"/>
                  <w:szCs w:val="24"/>
                </w:rPr>
                <w:fldChar w:fldCharType="begin"/>
              </w:r>
              <w:r>
                <w:rPr>
                  <w:sz w:val="24"/>
                  <w:szCs w:val="24"/>
                </w:rPr>
                <w:instrText xml:space="preserve"> PAGEREF _Toc18153 \h </w:instrText>
              </w:r>
              <w:r>
                <w:rPr>
                  <w:sz w:val="24"/>
                  <w:szCs w:val="24"/>
                </w:rPr>
                <w:fldChar w:fldCharType="separate"/>
              </w:r>
              <w:r>
                <w:rPr>
                  <w:sz w:val="24"/>
                  <w:szCs w:val="24"/>
                </w:rPr>
                <w:t>10</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_Toc11089 </w:instrText>
              </w:r>
              <w:r>
                <w:rPr>
                  <w:rFonts w:hint="eastAsia"/>
                  <w:sz w:val="24"/>
                  <w:szCs w:val="24"/>
                  <w:lang w:val="en-US"/>
                </w:rPr>
                <w:fldChar w:fldCharType="separate"/>
              </w:r>
              <w:r>
                <w:rPr>
                  <w:rFonts w:hint="eastAsia" w:ascii="黑体" w:hAnsi="黑体" w:eastAsia="黑体" w:cs="黑体"/>
                  <w:sz w:val="24"/>
                  <w:szCs w:val="24"/>
                  <w:lang w:val="en-US" w:eastAsia="zh-CN"/>
                </w:rPr>
                <w:t>第七章 对道路危险货物运输企业的监督检查工作指引</w:t>
              </w:r>
              <w:r>
                <w:rPr>
                  <w:sz w:val="24"/>
                  <w:szCs w:val="24"/>
                </w:rPr>
                <w:tab/>
              </w:r>
              <w:r>
                <w:rPr>
                  <w:sz w:val="24"/>
                  <w:szCs w:val="24"/>
                </w:rPr>
                <w:fldChar w:fldCharType="begin"/>
              </w:r>
              <w:r>
                <w:rPr>
                  <w:sz w:val="24"/>
                  <w:szCs w:val="24"/>
                </w:rPr>
                <w:instrText xml:space="preserve"> PAGEREF _Toc11089 \h </w:instrText>
              </w:r>
              <w:r>
                <w:rPr>
                  <w:sz w:val="24"/>
                  <w:szCs w:val="24"/>
                </w:rPr>
                <w:fldChar w:fldCharType="separate"/>
              </w:r>
              <w:r>
                <w:rPr>
                  <w:sz w:val="24"/>
                  <w:szCs w:val="24"/>
                </w:rPr>
                <w:t>11</w:t>
              </w:r>
              <w:r>
                <w:rPr>
                  <w:sz w:val="24"/>
                  <w:szCs w:val="24"/>
                </w:rPr>
                <w:fldChar w:fldCharType="end"/>
              </w:r>
              <w:r>
                <w:rPr>
                  <w:rFonts w:hint="eastAsia"/>
                  <w:sz w:val="24"/>
                  <w:szCs w:val="24"/>
                  <w:lang w:val="en-US"/>
                </w:rPr>
                <w:fldChar w:fldCharType="end"/>
              </w:r>
            </w:p>
            <w:p>
              <w:pPr>
                <w:pStyle w:val="2"/>
                <w:tabs>
                  <w:tab w:val="right" w:leader="dot" w:pos="8730"/>
                </w:tabs>
                <w:rPr>
                  <w:sz w:val="24"/>
                  <w:szCs w:val="24"/>
                </w:rPr>
              </w:pPr>
              <w:r>
                <w:rPr>
                  <w:rFonts w:hint="eastAsia"/>
                  <w:sz w:val="24"/>
                  <w:szCs w:val="24"/>
                  <w:lang w:val="en-US"/>
                </w:rPr>
                <w:fldChar w:fldCharType="begin"/>
              </w:r>
              <w:r>
                <w:rPr>
                  <w:rFonts w:hint="eastAsia"/>
                  <w:sz w:val="24"/>
                  <w:szCs w:val="24"/>
                  <w:lang w:val="en-US"/>
                </w:rPr>
                <w:instrText xml:space="preserve"> HYPERLINK \l _Toc31774 </w:instrText>
              </w:r>
              <w:r>
                <w:rPr>
                  <w:rFonts w:hint="eastAsia"/>
                  <w:sz w:val="24"/>
                  <w:szCs w:val="24"/>
                  <w:lang w:val="en-US"/>
                </w:rPr>
                <w:fldChar w:fldCharType="separate"/>
              </w:r>
              <w:r>
                <w:rPr>
                  <w:rFonts w:hint="eastAsia" w:ascii="黑体" w:hAnsi="黑体" w:eastAsia="黑体" w:cs="黑体"/>
                  <w:sz w:val="24"/>
                  <w:szCs w:val="24"/>
                  <w:lang w:val="en-US" w:eastAsia="zh-CN"/>
                </w:rPr>
                <w:t>第八章 对道路普通货物运输企业的监督检查工作指引</w:t>
              </w:r>
              <w:r>
                <w:rPr>
                  <w:sz w:val="24"/>
                  <w:szCs w:val="24"/>
                </w:rPr>
                <w:tab/>
              </w:r>
              <w:r>
                <w:rPr>
                  <w:sz w:val="24"/>
                  <w:szCs w:val="24"/>
                </w:rPr>
                <w:fldChar w:fldCharType="begin"/>
              </w:r>
              <w:r>
                <w:rPr>
                  <w:sz w:val="24"/>
                  <w:szCs w:val="24"/>
                </w:rPr>
                <w:instrText xml:space="preserve"> PAGEREF _Toc31774 \h </w:instrText>
              </w:r>
              <w:r>
                <w:rPr>
                  <w:sz w:val="24"/>
                  <w:szCs w:val="24"/>
                </w:rPr>
                <w:fldChar w:fldCharType="separate"/>
              </w:r>
              <w:r>
                <w:rPr>
                  <w:sz w:val="24"/>
                  <w:szCs w:val="24"/>
                </w:rPr>
                <w:t>14</w:t>
              </w:r>
              <w:r>
                <w:rPr>
                  <w:sz w:val="24"/>
                  <w:szCs w:val="24"/>
                </w:rPr>
                <w:fldChar w:fldCharType="end"/>
              </w:r>
              <w:r>
                <w:rPr>
                  <w:rFonts w:hint="eastAsia"/>
                  <w:sz w:val="24"/>
                  <w:szCs w:val="24"/>
                  <w:lang w:val="en-US"/>
                </w:rPr>
                <w:fldChar w:fldCharType="end"/>
              </w:r>
            </w:p>
            <w:p>
              <w:pPr>
                <w:pStyle w:val="2"/>
                <w:tabs>
                  <w:tab w:val="right" w:leader="dot" w:pos="8730"/>
                </w:tabs>
                <w:rPr>
                  <w:rFonts w:hint="eastAsia"/>
                  <w:sz w:val="24"/>
                  <w:szCs w:val="24"/>
                  <w:lang w:val="en-US"/>
                </w:rPr>
              </w:pPr>
              <w:r>
                <w:rPr>
                  <w:rFonts w:hint="eastAsia"/>
                  <w:sz w:val="24"/>
                  <w:szCs w:val="24"/>
                  <w:lang w:val="en-US"/>
                </w:rPr>
                <w:fldChar w:fldCharType="begin"/>
              </w:r>
              <w:r>
                <w:rPr>
                  <w:rFonts w:hint="eastAsia"/>
                  <w:sz w:val="24"/>
                  <w:szCs w:val="24"/>
                  <w:lang w:val="en-US"/>
                </w:rPr>
                <w:instrText xml:space="preserve"> HYPERLINK \l _Toc7275 </w:instrText>
              </w:r>
              <w:r>
                <w:rPr>
                  <w:rFonts w:hint="eastAsia"/>
                  <w:sz w:val="24"/>
                  <w:szCs w:val="24"/>
                  <w:lang w:val="en-US"/>
                </w:rPr>
                <w:fldChar w:fldCharType="separate"/>
              </w:r>
              <w:r>
                <w:rPr>
                  <w:rFonts w:hint="eastAsia" w:ascii="黑体" w:hAnsi="黑体" w:eastAsia="黑体" w:cs="黑体"/>
                  <w:sz w:val="24"/>
                  <w:szCs w:val="24"/>
                  <w:lang w:val="en-US" w:eastAsia="zh-CN"/>
                </w:rPr>
                <w:t>第九章 对公路水运工程试验检测机构的监督检查工作指引</w:t>
              </w:r>
              <w:r>
                <w:rPr>
                  <w:sz w:val="24"/>
                  <w:szCs w:val="24"/>
                </w:rPr>
                <w:tab/>
              </w:r>
              <w:r>
                <w:rPr>
                  <w:sz w:val="24"/>
                  <w:szCs w:val="24"/>
                </w:rPr>
                <w:fldChar w:fldCharType="begin"/>
              </w:r>
              <w:r>
                <w:rPr>
                  <w:sz w:val="24"/>
                  <w:szCs w:val="24"/>
                </w:rPr>
                <w:instrText xml:space="preserve"> PAGEREF _Toc7275 \h </w:instrText>
              </w:r>
              <w:r>
                <w:rPr>
                  <w:sz w:val="24"/>
                  <w:szCs w:val="24"/>
                </w:rPr>
                <w:fldChar w:fldCharType="separate"/>
              </w:r>
              <w:r>
                <w:rPr>
                  <w:sz w:val="24"/>
                  <w:szCs w:val="24"/>
                </w:rPr>
                <w:t>15</w:t>
              </w:r>
              <w:r>
                <w:rPr>
                  <w:sz w:val="24"/>
                  <w:szCs w:val="24"/>
                </w:rPr>
                <w:fldChar w:fldCharType="end"/>
              </w:r>
              <w:r>
                <w:rPr>
                  <w:rFonts w:hint="eastAsia"/>
                  <w:sz w:val="24"/>
                  <w:szCs w:val="24"/>
                  <w:lang w:val="en-US"/>
                </w:rPr>
                <w:fldChar w:fldCharType="end"/>
              </w:r>
            </w:p>
            <w:p>
              <w:pPr>
                <w:pStyle w:val="2"/>
                <w:tabs>
                  <w:tab w:val="right" w:leader="dot" w:pos="8730"/>
                </w:tabs>
                <w:rPr>
                  <w:rFonts w:hint="default" w:ascii="黑体" w:hAnsi="黑体" w:eastAsia="仿宋_GB2312" w:cs="黑体"/>
                  <w:sz w:val="24"/>
                  <w:szCs w:val="24"/>
                  <w:lang w:val="en-US" w:eastAsia="zh-CN"/>
                </w:rPr>
              </w:pPr>
              <w:r>
                <w:rPr>
                  <w:rFonts w:hint="eastAsia" w:ascii="黑体" w:hAnsi="黑体" w:eastAsia="黑体" w:cs="黑体"/>
                  <w:sz w:val="24"/>
                  <w:szCs w:val="24"/>
                  <w:lang w:val="zh-CN" w:eastAsia="zh-CN"/>
                </w:rPr>
                <w:t>第</w:t>
              </w:r>
              <w:r>
                <w:rPr>
                  <w:rFonts w:hint="eastAsia" w:ascii="黑体" w:hAnsi="黑体" w:eastAsia="黑体" w:cs="黑体"/>
                  <w:sz w:val="24"/>
                  <w:szCs w:val="24"/>
                  <w:lang w:val="en-US" w:eastAsia="zh-CN"/>
                </w:rPr>
                <w:t>十</w:t>
              </w:r>
              <w:r>
                <w:rPr>
                  <w:rFonts w:hint="eastAsia" w:ascii="黑体" w:hAnsi="黑体" w:eastAsia="黑体" w:cs="黑体"/>
                  <w:sz w:val="24"/>
                  <w:szCs w:val="24"/>
                  <w:lang w:val="zh-CN" w:eastAsia="zh-CN"/>
                </w:rPr>
                <w:t>章 对港口岸线使用情况的监督检查工作指引</w:t>
              </w:r>
              <w:r>
                <w:rPr>
                  <w:sz w:val="24"/>
                  <w:szCs w:val="24"/>
                </w:rPr>
                <w:tab/>
              </w:r>
              <w:r>
                <w:rPr>
                  <w:rFonts w:hint="eastAsia"/>
                  <w:sz w:val="24"/>
                  <w:szCs w:val="24"/>
                  <w:lang w:val="en-US" w:eastAsia="zh-CN"/>
                </w:rPr>
                <w:t>16</w:t>
              </w:r>
            </w:p>
            <w:p>
              <w:pPr>
                <w:pStyle w:val="2"/>
                <w:tabs>
                  <w:tab w:val="right" w:leader="dot" w:pos="8730"/>
                </w:tabs>
                <w:rPr>
                  <w:rFonts w:hint="default" w:ascii="黑体" w:hAnsi="黑体" w:eastAsia="仿宋_GB2312" w:cs="黑体"/>
                  <w:sz w:val="24"/>
                  <w:szCs w:val="24"/>
                  <w:lang w:val="en-US" w:eastAsia="zh-CN"/>
                </w:rPr>
              </w:pPr>
              <w:r>
                <w:rPr>
                  <w:rFonts w:hint="eastAsia" w:ascii="黑体" w:hAnsi="黑体" w:eastAsia="黑体" w:cs="黑体"/>
                  <w:sz w:val="24"/>
                  <w:szCs w:val="24"/>
                  <w:lang w:val="en-US" w:eastAsia="zh-CN"/>
                </w:rPr>
                <w:t>第十一章 对交通建设工程的安全生产监督检查工作指引</w:t>
              </w:r>
              <w:r>
                <w:rPr>
                  <w:sz w:val="24"/>
                  <w:szCs w:val="24"/>
                </w:rPr>
                <w:tab/>
              </w:r>
              <w:r>
                <w:rPr>
                  <w:rFonts w:hint="eastAsia"/>
                  <w:sz w:val="24"/>
                  <w:szCs w:val="24"/>
                  <w:lang w:val="en-US" w:eastAsia="zh-CN"/>
                </w:rPr>
                <w:t>17</w:t>
              </w:r>
            </w:p>
            <w:p>
              <w:pPr>
                <w:pStyle w:val="2"/>
                <w:tabs>
                  <w:tab w:val="right" w:leader="dot" w:pos="8730"/>
                </w:tabs>
                <w:rPr>
                  <w:rFonts w:hint="default" w:ascii="黑体" w:hAnsi="黑体" w:eastAsia="仿宋_GB2312" w:cs="黑体"/>
                  <w:sz w:val="24"/>
                  <w:szCs w:val="24"/>
                  <w:lang w:val="en-US" w:eastAsia="zh-CN"/>
                </w:rPr>
              </w:pPr>
              <w:r>
                <w:rPr>
                  <w:rFonts w:hint="eastAsia" w:ascii="黑体" w:hAnsi="黑体" w:eastAsia="黑体" w:cs="黑体"/>
                  <w:sz w:val="24"/>
                  <w:szCs w:val="24"/>
                  <w:lang w:val="en-US" w:eastAsia="zh-CN"/>
                </w:rPr>
                <w:t>第十二章 对航道通航情况的监督检查工作指引</w:t>
              </w:r>
              <w:r>
                <w:rPr>
                  <w:sz w:val="24"/>
                  <w:szCs w:val="24"/>
                </w:rPr>
                <w:tab/>
              </w:r>
              <w:r>
                <w:rPr>
                  <w:rFonts w:hint="eastAsia"/>
                  <w:sz w:val="24"/>
                  <w:szCs w:val="24"/>
                  <w:lang w:val="en-US" w:eastAsia="zh-CN"/>
                </w:rPr>
                <w:t>18</w:t>
              </w:r>
            </w:p>
            <w:p>
              <w:pPr>
                <w:pStyle w:val="2"/>
                <w:tabs>
                  <w:tab w:val="right" w:leader="dot" w:pos="8730"/>
                </w:tabs>
                <w:rPr>
                  <w:rFonts w:hint="default" w:ascii="黑体" w:hAnsi="黑体" w:eastAsia="仿宋_GB2312" w:cs="黑体"/>
                  <w:sz w:val="24"/>
                  <w:szCs w:val="24"/>
                  <w:lang w:val="en-US" w:eastAsia="zh-CN"/>
                </w:rPr>
              </w:pPr>
              <w:r>
                <w:rPr>
                  <w:rFonts w:hint="eastAsia" w:ascii="黑体" w:hAnsi="黑体" w:eastAsia="黑体" w:cs="黑体"/>
                  <w:sz w:val="24"/>
                  <w:szCs w:val="24"/>
                  <w:lang w:val="en-US" w:eastAsia="zh-CN"/>
                </w:rPr>
                <w:t>第十三章 对省管内河通航水域水上交通安全及船舶污染防治工作的监督检查工作指引</w:t>
              </w:r>
              <w:r>
                <w:rPr>
                  <w:sz w:val="24"/>
                  <w:szCs w:val="24"/>
                </w:rPr>
                <w:tab/>
              </w:r>
              <w:r>
                <w:rPr>
                  <w:rFonts w:hint="eastAsia"/>
                  <w:sz w:val="24"/>
                  <w:szCs w:val="24"/>
                  <w:lang w:val="en-US" w:eastAsia="zh-CN"/>
                </w:rPr>
                <w:t>19</w:t>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p>
            <w:p>
              <w:pPr>
                <w:pStyle w:val="12"/>
                <w:spacing w:before="280" w:after="280" w:line="310" w:lineRule="exact"/>
                <w:ind w:firstLine="0"/>
                <w:jc w:val="center"/>
                <w:outlineLvl w:val="0"/>
                <w:rPr>
                  <w:rFonts w:hint="eastAsia" w:ascii="黑体" w:hAnsi="黑体" w:eastAsia="黑体" w:cs="黑体"/>
                  <w:color w:val="000000"/>
                  <w:sz w:val="32"/>
                  <w:szCs w:val="32"/>
                  <w:lang w:val="zh-CN" w:eastAsia="zh-CN"/>
                </w:rPr>
              </w:pPr>
            </w:p>
            <w:p/>
            <w:p>
              <w:pPr>
                <w:pStyle w:val="2"/>
                <w:rPr>
                  <w:rFonts w:hint="eastAsia"/>
                  <w:lang w:val="en-US"/>
                </w:rPr>
              </w:pPr>
              <w:r>
                <w:rPr>
                  <w:rFonts w:hint="eastAsia"/>
                  <w:lang w:val="en-US"/>
                </w:rPr>
                <w:fldChar w:fldCharType="end"/>
              </w:r>
            </w:p>
          </w:sdtContent>
        </w:sdt>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0" w:name="_Toc7354"/>
          <w:r>
            <w:rPr>
              <w:rFonts w:hint="eastAsia" w:ascii="黑体" w:hAnsi="黑体" w:eastAsia="黑体" w:cs="黑体"/>
              <w:color w:val="000000"/>
              <w:sz w:val="32"/>
              <w:szCs w:val="32"/>
              <w:lang w:val="en-US" w:eastAsia="zh-CN"/>
            </w:rPr>
            <w:t>第一章 对公路水运建设市场的监督检查工作指引</w:t>
          </w:r>
          <w:bookmarkEnd w:id="0"/>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pPr>
            <w:pStyle w:val="12"/>
            <w:snapToGrid w:val="0"/>
            <w:spacing w:line="310" w:lineRule="exact"/>
            <w:ind w:firstLineChars="200"/>
            <w:textAlignment w:val="baseline"/>
            <w:rPr>
              <w:rFonts w:hint="eastAsia" w:eastAsia="宋体"/>
              <w:color w:val="000000"/>
              <w:lang w:val="en-US"/>
            </w:rPr>
          </w:pPr>
          <w:r>
            <w:rPr>
              <w:rFonts w:hint="eastAsia" w:eastAsia="宋体"/>
              <w:color w:val="000000"/>
              <w:lang w:val="en-US"/>
            </w:rPr>
            <w:t>公路</w:t>
          </w:r>
          <w:r>
            <w:rPr>
              <w:rFonts w:hint="eastAsia" w:eastAsia="宋体"/>
              <w:color w:val="000000"/>
              <w:lang w:val="en-US" w:eastAsia="zh-CN"/>
            </w:rPr>
            <w:t>水运</w:t>
          </w:r>
          <w:r>
            <w:rPr>
              <w:rFonts w:hint="eastAsia" w:eastAsia="宋体"/>
              <w:color w:val="000000"/>
              <w:lang w:val="en-US"/>
            </w:rPr>
            <w:t>建设市场督查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（一）检查内容</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1.项目基本情况。包括工程建设标准、规模、投资、工期、开竣（交）工时间以及目前实施情况等。</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2.项目基本建设程序执行情况。包括工程可行性研究报告批复、项目核准立项、设计文件审查、施工许可、质量监督等基本建设程序落实等情况。</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3.项目招标投标情况。包括招标程序、招标文件（资格预审文件）编制、专家抽取、评标、定标、合同签订、投诉举报受理与处理等情况。</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5.项目参与单位合同履约情况。包括人员履约、工程变更、工期控制、工程质量、安全生产、环境保护和廉政等情况。</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6.农民工工资支付保障工作情况。包括有关制度落实，农民工工资支付监管平台使用等情况。</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7.项目资金落实和支付情况。</w:t>
          </w:r>
        </w:p>
        <w:p>
          <w:pPr>
            <w:pStyle w:val="12"/>
            <w:snapToGrid w:val="0"/>
            <w:spacing w:line="310" w:lineRule="exact"/>
            <w:ind w:firstLineChars="200"/>
            <w:textAlignment w:val="baseline"/>
            <w:rPr>
              <w:rFonts w:hint="eastAsia"/>
              <w:color w:val="000000"/>
              <w:lang w:val="en-US"/>
            </w:rPr>
          </w:pPr>
          <w:r>
            <w:rPr>
              <w:rFonts w:hint="eastAsia" w:asciiTheme="minorEastAsia" w:hAnsiTheme="minorEastAsia" w:eastAsiaTheme="minorEastAsia" w:cstheme="minorEastAsia"/>
              <w:color w:val="000000"/>
              <w:lang w:val="en-US"/>
            </w:rPr>
            <w:t>8.项目建设存在的问题和整改落实情况。</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（二）检查方法</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采取现场检查方式，组织行政执法人员、业内专家，从</w:t>
          </w:r>
          <w:r>
            <w:rPr>
              <w:rFonts w:hint="eastAsia" w:asciiTheme="minorEastAsia" w:hAnsiTheme="minorEastAsia" w:eastAsiaTheme="minorEastAsia" w:cstheme="minorEastAsia"/>
              <w:color w:val="000000"/>
              <w:lang w:val="en-US" w:eastAsia="zh-CN"/>
            </w:rPr>
            <w:t>市</w:t>
          </w:r>
          <w:r>
            <w:rPr>
              <w:rFonts w:hint="eastAsia" w:asciiTheme="minorEastAsia" w:hAnsiTheme="minorEastAsia" w:eastAsiaTheme="minorEastAsia" w:cstheme="minorEastAsia"/>
              <w:color w:val="000000"/>
              <w:lang w:val="en-US"/>
            </w:rPr>
            <w:t>重点公路工程项目中，根据信用分级分类监管相关要求，按照不低于10%的比例从</w:t>
          </w:r>
          <w:r>
            <w:rPr>
              <w:rFonts w:hint="eastAsia" w:asciiTheme="minorEastAsia" w:hAnsiTheme="minorEastAsia" w:eastAsiaTheme="minorEastAsia" w:cstheme="minorEastAsia"/>
              <w:color w:val="000000"/>
              <w:lang w:val="en-US" w:eastAsia="zh-CN"/>
            </w:rPr>
            <w:t>市</w:t>
          </w:r>
          <w:r>
            <w:rPr>
              <w:rFonts w:hint="eastAsia" w:asciiTheme="minorEastAsia" w:hAnsiTheme="minorEastAsia" w:eastAsiaTheme="minorEastAsia" w:cstheme="minorEastAsia"/>
              <w:color w:val="000000"/>
              <w:lang w:val="en-US"/>
            </w:rPr>
            <w:t>“双随机、一公开”平台中随机抽取建设项目。对公路</w:t>
          </w:r>
          <w:r>
            <w:rPr>
              <w:rFonts w:hint="eastAsia" w:asciiTheme="minorEastAsia" w:hAnsiTheme="minorEastAsia" w:eastAsiaTheme="minorEastAsia" w:cstheme="minorEastAsia"/>
              <w:color w:val="000000"/>
              <w:lang w:val="en-US" w:eastAsia="zh-CN"/>
            </w:rPr>
            <w:t>水运</w:t>
          </w:r>
          <w:r>
            <w:rPr>
              <w:rFonts w:hint="eastAsia" w:asciiTheme="minorEastAsia" w:hAnsiTheme="minorEastAsia" w:eastAsiaTheme="minorEastAsia" w:cstheme="minorEastAsia"/>
              <w:color w:val="000000"/>
              <w:lang w:val="en-US"/>
            </w:rPr>
            <w:t>建设市场监管和市场主体行为，主要包括：建设程序、市场准入、招标投标、合同履约、农民工工资保障等方面法规制度的执行和监管情况，信用体系建设和应用情况，以及其他相关工作情况进行检查。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1" w:name="bookmark3651"/>
          <w:r>
            <w:rPr>
              <w:rFonts w:hint="eastAsia" w:ascii="楷体_GB2312" w:hAnsi="楷体_GB2312" w:eastAsia="楷体_GB2312" w:cs="楷体_GB2312"/>
              <w:color w:val="000000"/>
              <w:lang w:val="en-US"/>
            </w:rPr>
            <w:t>1</w:t>
          </w:r>
          <w:bookmarkEnd w:id="1"/>
          <w:r>
            <w:rPr>
              <w:rFonts w:hint="eastAsia" w:ascii="楷体_GB2312" w:hAnsi="楷体_GB2312" w:eastAsia="楷体_GB2312" w:cs="楷体_GB2312"/>
              <w:color w:val="000000"/>
              <w:lang w:val="en-US"/>
            </w:rPr>
            <w:t>、《中华人民共和国建筑法》（中华人民共和国国主席令第29号）</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2" w:name="bookmark3652"/>
          <w:r>
            <w:rPr>
              <w:rFonts w:hint="eastAsia" w:ascii="楷体_GB2312" w:hAnsi="楷体_GB2312" w:eastAsia="楷体_GB2312" w:cs="楷体_GB2312"/>
              <w:color w:val="000000"/>
              <w:lang w:val="en-US"/>
            </w:rPr>
            <w:t>2</w:t>
          </w:r>
          <w:bookmarkEnd w:id="2"/>
          <w:r>
            <w:rPr>
              <w:rFonts w:hint="eastAsia" w:ascii="楷体_GB2312" w:hAnsi="楷体_GB2312" w:eastAsia="楷体_GB2312" w:cs="楷体_GB2312"/>
              <w:color w:val="000000"/>
              <w:lang w:val="en-US"/>
            </w:rPr>
            <w:t>、《中华人民共和国公路法》（2017年修订）</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3、</w:t>
          </w:r>
          <w:r>
            <w:rPr>
              <w:rFonts w:hint="eastAsia" w:ascii="楷体_GB2312" w:hAnsi="楷体_GB2312" w:eastAsia="楷体_GB2312" w:cs="楷体_GB2312"/>
              <w:color w:val="000000"/>
              <w:lang w:val="en-US"/>
            </w:rPr>
            <w:t>《中华人民共和国港口法》（2015年修订）</w:t>
          </w:r>
        </w:p>
        <w:p>
          <w:pPr>
            <w:pStyle w:val="12"/>
            <w:snapToGrid w:val="0"/>
            <w:spacing w:line="310" w:lineRule="exact"/>
            <w:ind w:firstLineChars="200"/>
            <w:textAlignment w:val="baseline"/>
            <w:rPr>
              <w:rFonts w:hint="default"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4、</w:t>
          </w:r>
          <w:r>
            <w:rPr>
              <w:rFonts w:hint="eastAsia" w:ascii="楷体_GB2312" w:hAnsi="楷体_GB2312" w:eastAsia="楷体_GB2312" w:cs="楷体_GB2312"/>
              <w:color w:val="000000"/>
              <w:lang w:val="en-US"/>
            </w:rPr>
            <w:t>《中华人民共和国航道法》（2015年施行）</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5</w:t>
          </w:r>
          <w:r>
            <w:rPr>
              <w:rFonts w:hint="eastAsia" w:ascii="楷体_GB2312" w:hAnsi="楷体_GB2312" w:eastAsia="楷体_GB2312" w:cs="楷体_GB2312"/>
              <w:color w:val="000000"/>
              <w:lang w:val="en-US"/>
            </w:rPr>
            <w:t>、《中华人民共和国招标投标法》（2017年修订）</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6</w:t>
          </w:r>
          <w:r>
            <w:rPr>
              <w:rFonts w:hint="eastAsia" w:ascii="楷体_GB2312" w:hAnsi="楷体_GB2312" w:eastAsia="楷体_GB2312" w:cs="楷体_GB2312"/>
              <w:color w:val="000000"/>
              <w:lang w:val="en-US"/>
            </w:rPr>
            <w:t>、《建设工程质量管理条例》（中华人民共和国国务院令第279号）</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7</w:t>
          </w:r>
          <w:r>
            <w:rPr>
              <w:rFonts w:hint="eastAsia" w:ascii="楷体_GB2312" w:hAnsi="楷体_GB2312" w:eastAsia="楷体_GB2312" w:cs="楷体_GB2312"/>
              <w:color w:val="000000"/>
              <w:lang w:val="en-US"/>
            </w:rPr>
            <w:t>、《保障农民工工资支付条例》（中华人民共和国国务院令第724号）</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第四十三条相关行业工程建设主管部门应当依法规范本领域建设市场秩序，对违法发包、 转包、违法分包、挂靠等行为进行查处，并对导致拖欠农民工工资的违法行为及时予以制止、纠正。</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8</w:t>
          </w:r>
          <w:r>
            <w:rPr>
              <w:rFonts w:hint="eastAsia" w:ascii="楷体_GB2312" w:hAnsi="楷体_GB2312" w:eastAsia="楷体_GB2312" w:cs="楷体_GB2312"/>
              <w:color w:val="000000"/>
              <w:lang w:val="en-US"/>
            </w:rPr>
            <w:t>、《公路建设市场管理办法》（2015年修订）</w:t>
          </w:r>
        </w:p>
        <w:p>
          <w:pPr>
            <w:pStyle w:val="12"/>
            <w:snapToGrid w:val="0"/>
            <w:spacing w:line="310" w:lineRule="exact"/>
            <w:ind w:firstLineChars="200"/>
            <w:textAlignment w:val="baseline"/>
            <w:rPr>
              <w:rFonts w:hint="eastAsia" w:asciiTheme="minorEastAsia" w:hAnsiTheme="minorEastAsia" w:eastAsiaTheme="minorEastAsia" w:cstheme="minorEastAsia"/>
              <w:color w:val="000000"/>
              <w:lang w:val="en-US"/>
            </w:rPr>
          </w:pPr>
          <w:r>
            <w:rPr>
              <w:rFonts w:hint="eastAsia" w:asciiTheme="minorEastAsia" w:hAnsiTheme="minorEastAsia" w:eastAsiaTheme="minorEastAsia" w:cstheme="minorEastAsia"/>
              <w:color w:val="000000"/>
              <w:lang w:val="en-US"/>
            </w:rPr>
            <w:t>第九条省级以下地方人民政府交通运输主管部门负责本行政区域内公路建设市场的监督管理工作，主要职责是:（三）对本行政区域内公路建设市场进行监督检查；</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9</w:t>
          </w:r>
          <w:r>
            <w:rPr>
              <w:rFonts w:hint="eastAsia" w:ascii="楷体_GB2312" w:hAnsi="楷体_GB2312" w:eastAsia="楷体_GB2312" w:cs="楷体_GB2312"/>
              <w:color w:val="000000"/>
              <w:lang w:val="en-US"/>
            </w:rPr>
            <w:t>、《公路建设市场督查工作规则》（交公路发〔2015〕59号）</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10</w:t>
          </w:r>
          <w:r>
            <w:rPr>
              <w:rFonts w:hint="eastAsia" w:ascii="楷体_GB2312" w:hAnsi="楷体_GB2312" w:eastAsia="楷体_GB2312" w:cs="楷体_GB2312"/>
              <w:color w:val="000000"/>
              <w:lang w:val="en-US"/>
            </w:rPr>
            <w:t>、《公路工程施工分包管理办法》（2021年修订）</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eastAsia="zh-CN"/>
            </w:rPr>
            <w:t>11、</w:t>
          </w:r>
          <w:r>
            <w:rPr>
              <w:rFonts w:hint="eastAsia" w:ascii="楷体_GB2312" w:hAnsi="楷体_GB2312" w:eastAsia="楷体_GB2312" w:cs="楷体_GB2312"/>
              <w:color w:val="000000"/>
              <w:lang w:val="en-US"/>
            </w:rPr>
            <w:t>《水运建设市场督查管理办法》（交通运输部令2016年第74号）</w:t>
          </w:r>
        </w:p>
        <w:p>
          <w:pPr>
            <w:pStyle w:val="12"/>
            <w:snapToGrid w:val="0"/>
            <w:spacing w:line="310" w:lineRule="exact"/>
            <w:ind w:firstLineChars="200"/>
            <w:textAlignment w:val="baseline"/>
            <w:rPr>
              <w:rFonts w:hint="eastAsia" w:eastAsia="宋体"/>
              <w:color w:val="000000"/>
              <w:lang w:val="en-US"/>
            </w:rPr>
          </w:pPr>
          <w:r>
            <w:rPr>
              <w:rFonts w:hint="eastAsia" w:eastAsia="宋体"/>
              <w:color w:val="000000"/>
              <w:lang w:val="en-US"/>
            </w:rPr>
            <w:t>第二十六条各级交通运输主管部门应当加强对水运建设市场的监督检查，对发现的违法、违规行为依法及时处理，及时向社会公开水运建设市场管理相关信息。监督检查可以根据市场情况采取综合检查、专项检查、随机抽查等方式。</w:t>
          </w:r>
        </w:p>
        <w:p>
          <w:pPr>
            <w:pStyle w:val="12"/>
            <w:snapToGrid w:val="0"/>
            <w:spacing w:line="310" w:lineRule="exact"/>
            <w:ind w:firstLineChars="200"/>
            <w:textAlignment w:val="baseline"/>
            <w:rPr>
              <w:rFonts w:hint="eastAsia" w:eastAsia="宋体"/>
              <w:color w:val="000000"/>
              <w:lang w:val="en-US"/>
            </w:rPr>
          </w:pPr>
          <w:r>
            <w:rPr>
              <w:rFonts w:hint="eastAsia" w:eastAsia="宋体"/>
              <w:color w:val="000000"/>
              <w:lang w:val="en-US"/>
            </w:rPr>
            <w:t>地方交通运输主管部门应当加强对本行政区域的水运建设市场从业行为和下级交通运输主管部门履行水运建设管理职能情况进行监督检查。</w:t>
          </w:r>
        </w:p>
        <w:p>
          <w:pPr>
            <w:pStyle w:val="12"/>
            <w:snapToGrid w:val="0"/>
            <w:spacing w:line="310" w:lineRule="exact"/>
            <w:ind w:firstLineChars="200"/>
            <w:textAlignment w:val="baseline"/>
            <w:rPr>
              <w:rFonts w:hint="default" w:ascii="楷体_GB2312" w:hAnsi="楷体_GB2312" w:eastAsia="楷体_GB2312" w:cs="楷体_GB2312"/>
              <w:color w:val="000000"/>
              <w:lang w:val="en-US" w:eastAsia="zh-CN"/>
            </w:rPr>
          </w:pPr>
          <w:r>
            <w:rPr>
              <w:rFonts w:hint="eastAsia" w:eastAsia="宋体"/>
              <w:color w:val="000000"/>
              <w:lang w:val="en-US"/>
            </w:rPr>
            <w:t>各级交通运输主管部门应当建立随机抽取被检查对象、随机选派检查人员的抽查机制，合理确定抽查比例和抽查频次。</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p>
        <w:p>
          <w:pPr>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3" w:name="_Toc24135"/>
          <w:r>
            <w:rPr>
              <w:rFonts w:hint="eastAsia" w:ascii="黑体" w:hAnsi="黑体" w:eastAsia="黑体" w:cs="黑体"/>
              <w:color w:val="000000"/>
              <w:sz w:val="32"/>
              <w:szCs w:val="32"/>
              <w:lang w:val="en-US" w:eastAsia="zh-CN"/>
            </w:rPr>
            <w:t>第二章  对车辆维修企业经营情况的监督检查工作指引</w:t>
          </w:r>
          <w:bookmarkEnd w:id="3"/>
        </w:p>
        <w:p>
          <w:pPr>
            <w:pStyle w:val="12"/>
            <w:snapToGrid w:val="0"/>
            <w:spacing w:line="310" w:lineRule="exact"/>
            <w:ind w:firstLineChars="200"/>
            <w:textAlignment w:val="baseline"/>
            <w:rPr>
              <w:rFonts w:hint="eastAsia" w:eastAsia="黑体" w:cs="黑体"/>
              <w:color w:val="000000"/>
              <w:lang w:val="en-US"/>
            </w:rPr>
          </w:pPr>
          <w:r>
            <w:rPr>
              <w:rFonts w:hint="eastAsia" w:eastAsia="黑体" w:cs="黑体"/>
              <w:color w:val="000000"/>
              <w:lang w:val="en-US"/>
            </w:rPr>
            <w:t>一、抽查事项</w:t>
          </w:r>
        </w:p>
        <w:p>
          <w:pPr>
            <w:pStyle w:val="12"/>
            <w:snapToGrid w:val="0"/>
            <w:spacing w:line="310" w:lineRule="exact"/>
            <w:ind w:firstLine="400" w:firstLineChars="200"/>
            <w:textAlignment w:val="baseline"/>
            <w:rPr>
              <w:rFonts w:eastAsia="宋体"/>
              <w:color w:val="000000"/>
              <w:lang w:val="en-US"/>
            </w:rPr>
          </w:pPr>
          <w:bookmarkStart w:id="4" w:name="bookmark3318"/>
          <w:r>
            <w:rPr>
              <w:rFonts w:hint="eastAsia" w:eastAsia="宋体"/>
              <w:color w:val="000000"/>
              <w:lang w:val="en-US"/>
            </w:rPr>
            <w:t>车辆维修企业经营情况的检查</w:t>
          </w:r>
        </w:p>
        <w:bookmarkEnd w:id="4"/>
        <w:p>
          <w:pPr>
            <w:pStyle w:val="12"/>
            <w:snapToGrid w:val="0"/>
            <w:spacing w:line="310" w:lineRule="exact"/>
            <w:ind w:firstLine="400" w:firstLineChars="200"/>
            <w:textAlignment w:val="baseline"/>
            <w:rPr>
              <w:rFonts w:eastAsia="宋体"/>
              <w:color w:val="000000"/>
              <w:lang w:val="en-US"/>
            </w:rPr>
          </w:pPr>
          <w:r>
            <w:rPr>
              <w:rFonts w:hint="eastAsia" w:eastAsia="黑体" w:cs="黑体"/>
              <w:color w:val="000000"/>
              <w:lang w:val="en-US"/>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（―）企业经营条件的检查</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人员条件：查看人员技术档案、人员培训记录、证书等是否符合《汽车维修业开业条件》（GB/T16739 - 2014）关于人员条件的要求。</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设施、设备条件：查看现场、设施、设备是否符合《汽车维修业开业条件》（GB/T16739 - 2014）关于设施、设备条件的要求。</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5" w:name="bookmark3319"/>
          <w:r>
            <w:rPr>
              <w:rFonts w:hint="eastAsia" w:ascii="楷体_GB2312" w:hAnsi="楷体_GB2312" w:eastAsia="楷体_GB2312" w:cs="楷体_GB2312"/>
              <w:color w:val="000000"/>
              <w:lang w:val="en-US"/>
            </w:rPr>
            <w:t>（</w:t>
          </w:r>
          <w:bookmarkEnd w:id="5"/>
          <w:r>
            <w:rPr>
              <w:rFonts w:hint="eastAsia" w:ascii="楷体_GB2312" w:hAnsi="楷体_GB2312" w:eastAsia="楷体_GB2312" w:cs="楷体_GB2312"/>
              <w:color w:val="000000"/>
              <w:lang w:val="en-US"/>
            </w:rPr>
            <w:t>二）安全生产条件的检查</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查看制度文本、预案文件，现场是否存在安全隐患。</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6" w:name="bookmark3320"/>
          <w:r>
            <w:rPr>
              <w:rFonts w:hint="eastAsia" w:ascii="楷体_GB2312" w:hAnsi="楷体_GB2312" w:eastAsia="楷体_GB2312" w:cs="楷体_GB2312"/>
              <w:color w:val="000000"/>
              <w:lang w:val="en-US"/>
            </w:rPr>
            <w:t>（</w:t>
          </w:r>
          <w:bookmarkEnd w:id="6"/>
          <w:r>
            <w:rPr>
              <w:rFonts w:hint="eastAsia" w:ascii="楷体_GB2312" w:hAnsi="楷体_GB2312" w:eastAsia="楷体_GB2312" w:cs="楷体_GB2312"/>
              <w:color w:val="000000"/>
              <w:lang w:val="en-US"/>
            </w:rPr>
            <w:t>三）维修质量管理情况的检查</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查看相关文件、资料、质量保证体系文件、车辆维修档案、现场公示以及相关制度、记录是否齐全。</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7" w:name="bookmark3321"/>
          <w:r>
            <w:rPr>
              <w:rFonts w:hint="eastAsia" w:ascii="楷体_GB2312" w:hAnsi="楷体_GB2312" w:eastAsia="楷体_GB2312" w:cs="楷体_GB2312"/>
              <w:color w:val="000000"/>
              <w:lang w:val="en-US"/>
            </w:rPr>
            <w:t>（</w:t>
          </w:r>
          <w:bookmarkEnd w:id="7"/>
          <w:r>
            <w:rPr>
              <w:rFonts w:hint="eastAsia" w:ascii="楷体_GB2312" w:hAnsi="楷体_GB2312" w:eastAsia="楷体_GB2312" w:cs="楷体_GB2312"/>
              <w:color w:val="000000"/>
              <w:lang w:val="en-US"/>
            </w:rPr>
            <w:t>四）服务质量管理情况的检查</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查看各种制度、档案、记录是否齐全。</w:t>
          </w:r>
        </w:p>
        <w:p>
          <w:pPr>
            <w:pStyle w:val="12"/>
            <w:snapToGrid w:val="0"/>
            <w:spacing w:line="310" w:lineRule="exact"/>
            <w:ind w:firstLine="400" w:firstLineChars="200"/>
            <w:textAlignment w:val="baseline"/>
            <w:rPr>
              <w:rFonts w:ascii="楷体_GB2312" w:hAnsi="楷体_GB2312" w:eastAsia="楷体_GB2312" w:cs="楷体_GB2312"/>
              <w:color w:val="000000"/>
              <w:lang w:val="en-US"/>
            </w:rPr>
          </w:pPr>
          <w:bookmarkStart w:id="8" w:name="bookmark3322"/>
          <w:r>
            <w:rPr>
              <w:rFonts w:hint="eastAsia" w:ascii="楷体_GB2312" w:hAnsi="楷体_GB2312" w:eastAsia="楷体_GB2312" w:cs="楷体_GB2312"/>
              <w:color w:val="000000"/>
              <w:lang w:val="en-US"/>
            </w:rPr>
            <w:t>（</w:t>
          </w:r>
          <w:bookmarkEnd w:id="8"/>
          <w:r>
            <w:rPr>
              <w:rFonts w:hint="eastAsia" w:ascii="楷体_GB2312" w:hAnsi="楷体_GB2312" w:eastAsia="楷体_GB2312" w:cs="楷体_GB2312"/>
              <w:color w:val="000000"/>
              <w:lang w:val="en-US"/>
            </w:rPr>
            <w:t>五）应急预案的检查</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查看预案文本是否建立。</w:t>
          </w:r>
        </w:p>
        <w:p>
          <w:pPr>
            <w:pStyle w:val="12"/>
            <w:snapToGrid w:val="0"/>
            <w:spacing w:line="310" w:lineRule="exact"/>
            <w:ind w:firstLine="400" w:firstLineChars="200"/>
            <w:textAlignment w:val="baseline"/>
            <w:rPr>
              <w:rFonts w:eastAsia="宋体"/>
              <w:color w:val="000000"/>
              <w:lang w:val="en-US"/>
            </w:rPr>
          </w:pPr>
          <w:r>
            <w:rPr>
              <w:rFonts w:hint="eastAsia" w:eastAsia="黑体" w:cs="黑体"/>
              <w:color w:val="000000"/>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（一）《中华人民共和国道路运输条例》（2019年3月2日修正版，国务院709号令）</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第六十五条 违反本条例的规定，未经许可擅自从事道路运输站（场）经营、机动车驾驶 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从事机动车维修经营业务不符合国务院交通主管部门制定的机动车维修经营业务标准的，由县级以上道路运输管理机构责令改正；情节严重的，由县级以上道路运输管理机构责令停业整顿。</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从事机动车维修经营业务，未按规定进行备案的，由县级以上道路运输管理机构责令改正；拒不改正的，处5000元以上2万元以下的罚款。</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p>
          <w:pPr>
            <w:pStyle w:val="12"/>
            <w:snapToGrid w:val="0"/>
            <w:spacing w:line="310" w:lineRule="exact"/>
            <w:ind w:firstLine="400" w:firstLineChars="200"/>
            <w:textAlignment w:val="baseline"/>
            <w:rPr>
              <w:rFonts w:eastAsia="宋体"/>
              <w:color w:val="000000"/>
              <w:lang w:val="en-US"/>
            </w:rPr>
          </w:pPr>
          <w:r>
            <w:rPr>
              <w:rFonts w:hint="eastAsia" w:eastAsia="宋体"/>
              <w:color w:val="000000"/>
              <w:lang w:val="en-US"/>
            </w:rPr>
            <w:t>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（二）《汽车维修业开业条件》（GB/T16739 - 2014）。</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bookmarkStart w:id="9" w:name="bookmark3447"/>
          <w:bookmarkStart w:id="10" w:name="bookmark3451"/>
          <w:r>
            <w:rPr>
              <w:rFonts w:hint="eastAsia" w:ascii="楷体_GB2312" w:hAnsi="楷体_GB2312" w:eastAsia="楷体_GB2312" w:cs="楷体_GB2312"/>
              <w:color w:val="000000"/>
              <w:lang w:val="en-US"/>
            </w:rPr>
            <w:br w:type="page"/>
          </w:r>
        </w:p>
        <w:bookmarkEnd w:id="9"/>
        <w:bookmarkEnd w:id="10"/>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1" w:name="_Toc24266"/>
          <w:r>
            <w:rPr>
              <w:rFonts w:hint="eastAsia" w:ascii="黑体" w:hAnsi="黑体" w:eastAsia="黑体" w:cs="黑体"/>
              <w:color w:val="000000"/>
              <w:sz w:val="32"/>
              <w:szCs w:val="32"/>
              <w:lang w:val="en-US" w:eastAsia="zh-CN"/>
            </w:rPr>
            <w:t>第三章 对城市公共汽电车客运（含线路经营）的监督检查工作指引</w:t>
          </w:r>
          <w:bookmarkEnd w:id="11"/>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eastAsia="zh-CN"/>
            </w:rPr>
            <w:t>城市公共汽电车客运经营企业（含线路经营）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rPr>
            <w:t>（一）投入运营车辆是否与许可一致、与其经营业务相适应并经检测合格</w:t>
          </w:r>
          <w:r>
            <w:rPr>
              <w:rFonts w:hint="eastAsia" w:ascii="楷体_GB2312" w:hAnsi="楷体_GB2312" w:eastAsia="楷体_GB2312" w:cs="楷体_GB2312"/>
              <w:color w:val="000000"/>
              <w:lang w:val="en-US" w:eastAsia="zh-CN"/>
            </w:rPr>
            <w:t>。</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rPr>
            <w:t>（二）驾驶人员是否符合规定条件，是否遵守道路运输安全生产制度和操作规程</w:t>
          </w:r>
          <w:r>
            <w:rPr>
              <w:rFonts w:hint="eastAsia" w:ascii="楷体_GB2312" w:hAnsi="楷体_GB2312" w:eastAsia="楷体_GB2312" w:cs="楷体_GB2312"/>
              <w:color w:val="000000"/>
              <w:lang w:val="en-US" w:eastAsia="zh-CN"/>
            </w:rPr>
            <w:t>。</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三</w:t>
          </w: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运营线路是否符合规定。</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四</w:t>
          </w: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安全生产、运营服务情况。</w:t>
          </w:r>
        </w:p>
        <w:p>
          <w:pPr>
            <w:pStyle w:val="12"/>
            <w:snapToGrid w:val="0"/>
            <w:spacing w:line="310" w:lineRule="exact"/>
            <w:ind w:firstLineChars="200"/>
            <w:textAlignment w:val="baseline"/>
            <w:rPr>
              <w:rFonts w:hint="default"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五</w:t>
          </w: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法律、行政法规规定的其他要求落实情况。</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（一）</w:t>
          </w:r>
          <w:r>
            <w:rPr>
              <w:rFonts w:hint="eastAsia" w:ascii="楷体_GB2312" w:hAnsi="楷体_GB2312" w:eastAsia="楷体_GB2312" w:cs="楷体_GB2312"/>
              <w:color w:val="000000"/>
              <w:highlight w:val="none"/>
              <w:lang w:val="en-US" w:eastAsia="zh-CN"/>
            </w:rPr>
            <w:t>《山东省道路运输条例》</w:t>
          </w:r>
        </w:p>
        <w:p>
          <w:pPr>
            <w:pStyle w:val="12"/>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eastAsia="zh-CN"/>
            </w:rPr>
            <w:t>第四十九条第二款 交通运输行政主管部门应当加强对道路运输市场准入条件的审查，依法对道路运输站（场）安全生产、道路运输车辆技术状况、道路运输从业人员资格进行监督管理，提高道路运输安全生产水平。</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（二）</w:t>
          </w:r>
          <w:r>
            <w:rPr>
              <w:rFonts w:hint="eastAsia" w:ascii="楷体_GB2312" w:hAnsi="楷体_GB2312" w:eastAsia="楷体_GB2312" w:cs="楷体_GB2312"/>
              <w:color w:val="000000"/>
              <w:highlight w:val="none"/>
              <w:lang w:val="en-US" w:eastAsia="zh-CN"/>
            </w:rPr>
            <w:t>《城市公共汽车和电车客运管理规定》</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第五十五条 城市公共交通主管部门应当建立“双随机”抽查制度，并定期对城市公共汽电车客运进行监督检查，维护正常的运营秩序，保障运营服务质量。</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pPr>
            <w:pStyle w:val="12"/>
            <w:snapToGrid w:val="0"/>
            <w:spacing w:line="310" w:lineRule="exact"/>
            <w:ind w:firstLineChars="200"/>
            <w:textAlignment w:val="baseline"/>
            <w:rPr>
              <w:rFonts w:hint="eastAsia"/>
              <w:sz w:val="21"/>
              <w:szCs w:val="21"/>
            </w:rPr>
          </w:pPr>
          <w:r>
            <w:rPr>
              <w:rFonts w:hint="eastAsia"/>
              <w:sz w:val="21"/>
              <w:szCs w:val="21"/>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2" w:name="_Toc13397"/>
          <w:r>
            <w:rPr>
              <w:rFonts w:hint="eastAsia" w:ascii="黑体" w:hAnsi="黑体" w:eastAsia="黑体" w:cs="黑体"/>
              <w:color w:val="000000"/>
              <w:sz w:val="32"/>
              <w:szCs w:val="32"/>
              <w:lang w:val="en-US" w:eastAsia="zh-CN"/>
            </w:rPr>
            <w:t>第四章 对巡游出租汽车客运经营的的监督检查工作指引</w:t>
          </w:r>
          <w:bookmarkEnd w:id="12"/>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巡游出租汽车客运监督检查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（一）投入运营资金、车辆及配套设施、设备是否符合许可条件</w:t>
          </w:r>
          <w:r>
            <w:rPr>
              <w:rFonts w:hint="eastAsia" w:ascii="楷体_GB2312" w:hAnsi="楷体_GB2312" w:eastAsia="楷体_GB2312" w:cs="楷体_GB2312"/>
              <w:color w:val="000000"/>
              <w:highlight w:val="none"/>
              <w:lang w:val="en-US" w:eastAsia="zh-CN"/>
            </w:rPr>
            <w:t>。</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（二）驾驶人员是否符合许可条件</w:t>
          </w:r>
          <w:r>
            <w:rPr>
              <w:rFonts w:hint="eastAsia" w:ascii="楷体_GB2312" w:hAnsi="楷体_GB2312" w:eastAsia="楷体_GB2312" w:cs="楷体_GB2312"/>
              <w:color w:val="000000"/>
              <w:highlight w:val="none"/>
              <w:lang w:val="en-US" w:eastAsia="zh-CN"/>
            </w:rPr>
            <w:t>。</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三</w:t>
          </w: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运营区域是否符合要求。</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四</w:t>
          </w: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安全生产、运营服务情况。</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五</w:t>
          </w:r>
          <w:r>
            <w:rPr>
              <w:rFonts w:hint="eastAsia" w:ascii="楷体_GB2312" w:hAnsi="楷体_GB2312" w:eastAsia="楷体_GB2312" w:cs="楷体_GB2312"/>
              <w:color w:val="000000"/>
              <w:highlight w:val="none"/>
              <w:lang w:val="en-US"/>
            </w:rPr>
            <w:t>）</w:t>
          </w:r>
          <w:r>
            <w:rPr>
              <w:rFonts w:hint="eastAsia" w:ascii="楷体_GB2312" w:hAnsi="楷体_GB2312" w:eastAsia="楷体_GB2312" w:cs="楷体_GB2312"/>
              <w:color w:val="000000"/>
              <w:highlight w:val="none"/>
              <w:lang w:val="en-US" w:eastAsia="zh-CN"/>
            </w:rPr>
            <w:t>法律、行政法规规定的其他要求落实情况。</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Chars="200"/>
            <w:textAlignment w:val="baseline"/>
            <w:rPr>
              <w:rFonts w:hint="default"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（一）</w:t>
          </w:r>
          <w:r>
            <w:rPr>
              <w:rFonts w:hint="default" w:ascii="楷体_GB2312" w:hAnsi="楷体_GB2312" w:eastAsia="楷体_GB2312" w:cs="楷体_GB2312"/>
              <w:color w:val="000000"/>
              <w:highlight w:val="none"/>
              <w:lang w:val="en-US" w:eastAsia="zh-CN"/>
            </w:rPr>
            <w:t>《《山东省道路运输条例》</w:t>
          </w:r>
        </w:p>
        <w:p>
          <w:pPr>
            <w:pStyle w:val="12"/>
            <w:snapToGrid w:val="0"/>
            <w:spacing w:line="310" w:lineRule="exact"/>
            <w:ind w:firstLine="400" w:firstLineChars="200"/>
            <w:textAlignment w:val="baseline"/>
            <w:rPr>
              <w:rFonts w:hint="default" w:eastAsia="宋体"/>
              <w:color w:val="000000"/>
              <w:lang w:val="en-US" w:eastAsia="zh-CN"/>
            </w:rPr>
          </w:pPr>
          <w:r>
            <w:rPr>
              <w:rFonts w:hint="default" w:eastAsia="宋体"/>
              <w:color w:val="000000"/>
              <w:lang w:val="en-US" w:eastAsia="zh-CN"/>
            </w:rPr>
            <w:t>第四十九条</w:t>
          </w:r>
          <w:r>
            <w:rPr>
              <w:rFonts w:hint="eastAsia" w:eastAsia="宋体"/>
              <w:color w:val="000000"/>
              <w:lang w:val="en-US" w:eastAsia="zh-CN"/>
            </w:rPr>
            <w:t xml:space="preserve"> 交通运输行政主管部门应当加强对道路运输市场准入条件的审查，依法对道路运输站（场）安全生产、道路运输车辆技术状况、道路运输从业人员资格进行监督管理，提高道路运输安全生产水平。</w:t>
          </w:r>
        </w:p>
        <w:p>
          <w:pPr>
            <w:pStyle w:val="12"/>
            <w:snapToGrid w:val="0"/>
            <w:spacing w:line="310" w:lineRule="exact"/>
            <w:ind w:firstLineChars="200"/>
            <w:textAlignment w:val="baseline"/>
            <w:rPr>
              <w:rFonts w:hint="default" w:ascii="楷体_GB2312" w:hAnsi="楷体_GB2312" w:eastAsia="楷体_GB2312" w:cs="楷体_GB2312"/>
              <w:color w:val="000000"/>
              <w:highlight w:val="none"/>
              <w:lang w:val="en-US" w:eastAsia="zh-CN"/>
            </w:rPr>
          </w:pPr>
          <w:r>
            <w:rPr>
              <w:rFonts w:hint="eastAsia" w:ascii="楷体_GB2312" w:hAnsi="楷体_GB2312" w:eastAsia="楷体_GB2312" w:cs="楷体_GB2312"/>
              <w:color w:val="000000"/>
              <w:highlight w:val="none"/>
              <w:lang w:val="en-US"/>
            </w:rPr>
            <w:t>（二）</w:t>
          </w:r>
          <w:r>
            <w:rPr>
              <w:rFonts w:hint="default" w:ascii="楷体_GB2312" w:hAnsi="楷体_GB2312" w:eastAsia="楷体_GB2312" w:cs="楷体_GB2312"/>
              <w:color w:val="000000"/>
              <w:highlight w:val="none"/>
              <w:lang w:val="en-US" w:eastAsia="zh-CN"/>
            </w:rPr>
            <w:t>《巡游出租汽车经营服务管理规定》第四十条、第四十一条。</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第四十一条 县级以上地方人民政府出租汽车行政主管部门应当对巡游出租汽车经营者履行经营协议情况进行监督检查，并按照规定对巡游出租汽车经营者和驾驶员进行服务质量信誉考核。</w:t>
          </w:r>
        </w:p>
        <w:p>
          <w:pPr>
            <w:rPr>
              <w:rFonts w:hint="eastAsia"/>
            </w:rPr>
          </w:pPr>
          <w:r>
            <w:rPr>
              <w:rFonts w:hint="eastAsia"/>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3" w:name="_Toc25761"/>
          <w:bookmarkStart w:id="14" w:name="bookmark3634"/>
          <w:r>
            <w:rPr>
              <w:rFonts w:hint="eastAsia" w:ascii="黑体" w:hAnsi="黑体" w:eastAsia="黑体" w:cs="黑体"/>
              <w:color w:val="000000"/>
              <w:sz w:val="32"/>
              <w:szCs w:val="32"/>
              <w:lang w:val="en-US" w:eastAsia="zh-CN"/>
            </w:rPr>
            <w:t>第五章 对涉路工程建设项目的监督检查工作指引</w:t>
          </w:r>
          <w:bookmarkEnd w:id="13"/>
        </w:p>
        <w:bookmarkEnd w:id="14"/>
        <w:p>
          <w:pPr>
            <w:pStyle w:val="12"/>
            <w:snapToGrid w:val="0"/>
            <w:spacing w:line="310" w:lineRule="exact"/>
            <w:ind w:firstLine="400" w:firstLineChars="200"/>
            <w:textAlignment w:val="baseline"/>
            <w:rPr>
              <w:rFonts w:hint="eastAsia" w:ascii="宋体" w:hAnsi="宋体" w:eastAsia="黑体" w:cs="黑体"/>
              <w:color w:val="000000"/>
              <w:kern w:val="0"/>
              <w:sz w:val="20"/>
              <w:szCs w:val="20"/>
              <w:lang w:val="en-US" w:eastAsia="zh-CN" w:bidi="zh-CN"/>
            </w:rPr>
          </w:pPr>
          <w:r>
            <w:rPr>
              <w:rFonts w:hint="eastAsia" w:ascii="宋体" w:hAnsi="宋体" w:eastAsia="黑体" w:cs="黑体"/>
              <w:color w:val="000000"/>
              <w:kern w:val="0"/>
              <w:sz w:val="20"/>
              <w:szCs w:val="20"/>
              <w:lang w:val="en-US" w:eastAsia="zh-CN" w:bidi="zh-CN"/>
            </w:rPr>
            <w:t>一、抽查事项</w:t>
          </w:r>
        </w:p>
        <w:p>
          <w:pPr>
            <w:pStyle w:val="12"/>
            <w:snapToGrid w:val="0"/>
            <w:spacing w:line="310" w:lineRule="exact"/>
            <w:ind w:firstLine="400" w:firstLineChars="200"/>
            <w:textAlignment w:val="baseline"/>
            <w:rPr>
              <w:rFonts w:hint="eastAsia" w:eastAsia="宋体"/>
              <w:color w:val="000000"/>
              <w:lang w:val="en-US" w:eastAsia="zh-CN"/>
            </w:rPr>
          </w:pPr>
          <w:bookmarkStart w:id="15" w:name="bookmark3638"/>
          <w:r>
            <w:rPr>
              <w:rFonts w:hint="eastAsia" w:eastAsia="宋体"/>
              <w:color w:val="000000"/>
              <w:lang w:val="en-US" w:eastAsia="zh-CN"/>
            </w:rPr>
            <w:t>对市级许可的涉路工程建设项目的抽查</w:t>
          </w:r>
        </w:p>
        <w:p>
          <w:pPr>
            <w:pStyle w:val="12"/>
            <w:snapToGrid w:val="0"/>
            <w:spacing w:line="310" w:lineRule="exact"/>
            <w:ind w:firstLineChars="200"/>
            <w:textAlignment w:val="baseline"/>
            <w:rPr>
              <w:rFonts w:hint="eastAsia" w:eastAsia="黑体" w:cs="黑体"/>
              <w:color w:val="000000"/>
              <w:highlight w:val="none"/>
              <w:lang w:val="en-US"/>
            </w:rPr>
          </w:pPr>
          <w:r>
            <w:rPr>
              <w:rFonts w:hint="eastAsia" w:eastAsia="黑体" w:cs="黑体"/>
              <w:color w:val="000000"/>
              <w:highlight w:val="none"/>
              <w:lang w:val="en-US"/>
            </w:rPr>
            <w:t>二</w:t>
          </w:r>
          <w:bookmarkEnd w:id="15"/>
          <w:r>
            <w:rPr>
              <w:rFonts w:hint="eastAsia" w:eastAsia="黑体" w:cs="黑体"/>
              <w:color w:val="000000"/>
              <w:highlight w:val="none"/>
              <w:lang w:val="en-US"/>
            </w:rPr>
            <w:t>、抽查实施办法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12"/>
            <w:snapToGrid w:val="0"/>
            <w:spacing w:line="310" w:lineRule="exact"/>
            <w:ind w:firstLineChars="200"/>
            <w:textAlignment w:val="baseline"/>
            <w:rPr>
              <w:rFonts w:hint="eastAsia" w:eastAsia="黑体" w:cs="黑体"/>
              <w:color w:val="000000"/>
              <w:highlight w:val="none"/>
              <w:lang w:val="en-US"/>
            </w:rPr>
          </w:pPr>
          <w:r>
            <w:rPr>
              <w:rFonts w:hint="eastAsia" w:eastAsia="黑体" w:cs="黑体"/>
              <w:color w:val="000000"/>
              <w:highlight w:val="none"/>
              <w:lang w:val="en-US"/>
            </w:rPr>
            <w:t>三、抽查内容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pPr>
            <w:pStyle w:val="12"/>
            <w:snapToGrid w:val="0"/>
            <w:spacing w:line="310" w:lineRule="exact"/>
            <w:ind w:firstLineChars="200"/>
            <w:textAlignment w:val="baseline"/>
            <w:rPr>
              <w:rFonts w:hint="eastAsia" w:eastAsia="黑体" w:cs="黑体"/>
              <w:color w:val="000000"/>
              <w:highlight w:val="none"/>
              <w:lang w:val="en-US"/>
            </w:rPr>
          </w:pPr>
          <w:r>
            <w:rPr>
              <w:rFonts w:hint="eastAsia" w:eastAsia="黑体" w:cs="黑体"/>
              <w:color w:val="000000"/>
              <w:highlight w:val="none"/>
              <w:lang w:val="en-US"/>
            </w:rPr>
            <w:t>四、监督检查依据</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rPr>
          </w:pPr>
          <w:r>
            <w:rPr>
              <w:rFonts w:hint="eastAsia" w:ascii="楷体_GB2312" w:hAnsi="楷体_GB2312" w:eastAsia="楷体_GB2312" w:cs="楷体_GB2312"/>
              <w:color w:val="000000"/>
              <w:highlight w:val="none"/>
              <w:lang w:val="en-US"/>
            </w:rPr>
            <w:t>（一）《中华人民共和国公路法》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 xml:space="preserve">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 建筑控制区范围经县级以上地方人民政府依照前款规定划定后，由县级以上地方人民政府交通主管部门设置标桩、界桩。任何单位和个人不得损坏、擅自挪动该标桩、界桩。</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rPr>
          </w:pPr>
          <w:r>
            <w:rPr>
              <w:rFonts w:hint="eastAsia" w:ascii="楷体_GB2312" w:hAnsi="楷体_GB2312" w:eastAsia="楷体_GB2312" w:cs="楷体_GB2312"/>
              <w:color w:val="000000"/>
              <w:highlight w:val="none"/>
              <w:lang w:val="en-US"/>
            </w:rPr>
            <w:t>（二）《公路安全保护条例》　</w:t>
          </w:r>
        </w:p>
        <w:p>
          <w:pPr>
            <w:pStyle w:val="12"/>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eastAsia="zh-CN"/>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12"/>
            <w:snapToGrid w:val="0"/>
            <w:spacing w:line="310" w:lineRule="exact"/>
            <w:ind w:firstLineChars="200"/>
            <w:textAlignment w:val="baseline"/>
            <w:rPr>
              <w:rFonts w:hint="eastAsia" w:ascii="楷体_GB2312" w:hAnsi="楷体_GB2312" w:eastAsia="楷体_GB2312" w:cs="楷体_GB2312"/>
              <w:color w:val="000000"/>
              <w:highlight w:val="none"/>
              <w:lang w:val="en-US"/>
            </w:rPr>
          </w:pPr>
          <w:r>
            <w:rPr>
              <w:rFonts w:hint="eastAsia" w:ascii="楷体_GB2312" w:hAnsi="楷体_GB2312" w:eastAsia="楷体_GB2312" w:cs="楷体_GB2312"/>
              <w:color w:val="000000"/>
              <w:highlight w:val="none"/>
              <w:lang w:val="en-US"/>
            </w:rPr>
            <w:t>（三）《山东省公路路政条例》</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第九条 进行下列涉路工程建设，建设单位应当向公路路政管理部门提出许可申请：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p>
        <w:p>
          <w:pPr>
            <w:rPr>
              <w:rFonts w:hint="eastAsia"/>
              <w:color w:val="000000"/>
              <w:highlight w:val="none"/>
              <w:lang w:val="en-US"/>
            </w:rPr>
          </w:pPr>
          <w:r>
            <w:rPr>
              <w:rFonts w:hint="eastAsia"/>
              <w:color w:val="000000"/>
              <w:highlight w:val="none"/>
              <w:lang w:val="en-US"/>
            </w:rPr>
            <w:br w:type="page"/>
          </w:r>
        </w:p>
        <w:p>
          <w:pPr>
            <w:pStyle w:val="12"/>
            <w:snapToGrid w:val="0"/>
            <w:spacing w:line="310" w:lineRule="exact"/>
            <w:ind w:firstLineChars="200"/>
            <w:textAlignment w:val="baseline"/>
            <w:rPr>
              <w:rFonts w:hint="eastAsia"/>
              <w:color w:val="000000"/>
              <w:highlight w:val="none"/>
              <w:lang w:val="en-US"/>
            </w:rPr>
          </w:pP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6" w:name="_Toc18153"/>
          <w:r>
            <w:rPr>
              <w:rFonts w:hint="eastAsia" w:ascii="黑体" w:hAnsi="黑体" w:eastAsia="黑体" w:cs="黑体"/>
              <w:color w:val="000000"/>
              <w:sz w:val="32"/>
              <w:szCs w:val="32"/>
              <w:lang w:val="en-US" w:eastAsia="zh-CN"/>
            </w:rPr>
            <w:t>第六章 对水路运输经营市场的监督检查工作指引</w:t>
          </w:r>
          <w:bookmarkEnd w:id="16"/>
        </w:p>
        <w:p>
          <w:pPr>
            <w:pStyle w:val="12"/>
            <w:snapToGrid w:val="0"/>
            <w:spacing w:line="310" w:lineRule="exact"/>
            <w:ind w:firstLineChars="200"/>
            <w:textAlignment w:val="baseline"/>
            <w:rPr>
              <w:rFonts w:hint="eastAsia" w:ascii="宋体" w:hAnsi="宋体" w:eastAsia="黑体" w:cs="黑体"/>
              <w:color w:val="000000"/>
              <w:kern w:val="0"/>
              <w:sz w:val="20"/>
              <w:szCs w:val="20"/>
              <w:lang w:val="en-US" w:eastAsia="zh-CN" w:bidi="zh-CN"/>
            </w:rPr>
          </w:pPr>
          <w:r>
            <w:rPr>
              <w:rFonts w:hint="eastAsia" w:ascii="宋体" w:hAnsi="宋体" w:eastAsia="黑体" w:cs="黑体"/>
              <w:color w:val="000000"/>
              <w:kern w:val="0"/>
              <w:sz w:val="20"/>
              <w:szCs w:val="20"/>
              <w:lang w:val="en-US" w:eastAsia="zh-CN" w:bidi="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水路运输经营市场监督检查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水路运输市场实施监督检查，如经营者经营活动情况、资质保持情况、水路运输企业自有船舶运力配备情况，是否满足交通运输部相关规定；经营水路旅客班轮运输业务企业是否有可行的航线营运计划；是否按照要求配备海务、机务管理人员；与企业直接订立劳动合同的高级船员占全部船员的比例是否符合交通运输部相关规定；安全管理制度建立情况；法律、行政法规规定的其他要求落实情况等。</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一</w:t>
          </w:r>
          <w:r>
            <w:rPr>
              <w:rFonts w:hint="eastAsia" w:ascii="楷体_GB2312" w:hAnsi="楷体_GB2312" w:eastAsia="楷体_GB2312" w:cs="楷体_GB2312"/>
              <w:color w:val="000000"/>
              <w:lang w:val="en-US"/>
            </w:rPr>
            <w:t>）《国内水路运输管理条例》（国务院令第625号公布，2017年3月修正）</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条：“国务院交通运输主管部门和负责水路运输管理的部门应当依法对水路运输市场实施监督管理，对水路运输及其辅助业务的违法经营活动实施处罚，并建立经营者诚信管理制度，及时向社会公告监督检查情况。”</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二</w:t>
          </w:r>
          <w:r>
            <w:rPr>
              <w:rFonts w:hint="eastAsia" w:ascii="楷体_GB2312" w:hAnsi="楷体_GB2312" w:eastAsia="楷体_GB2312" w:cs="楷体_GB2312"/>
              <w:color w:val="000000"/>
              <w:lang w:val="en-US"/>
            </w:rPr>
            <w:t>）《山东省水路交通条例》（2016年9月通过）</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第四十五条：“交通运输主管部门以及港航管理机构应当依法履行审核、核准等职责，建立健全监督检查、应急处置等管理制度，及时查处违法行为，对行业安全生产工作实施监督管理。”</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w:t>
          </w:r>
          <w:r>
            <w:rPr>
              <w:rFonts w:hint="eastAsia" w:ascii="楷体_GB2312" w:hAnsi="楷体_GB2312" w:eastAsia="楷体_GB2312" w:cs="楷体_GB2312"/>
              <w:color w:val="000000"/>
              <w:lang w:val="en-US" w:eastAsia="zh-CN"/>
            </w:rPr>
            <w:t>三</w:t>
          </w:r>
          <w:r>
            <w:rPr>
              <w:rFonts w:hint="eastAsia" w:ascii="楷体_GB2312" w:hAnsi="楷体_GB2312" w:eastAsia="楷体_GB2312" w:cs="楷体_GB2312"/>
              <w:color w:val="000000"/>
              <w:lang w:val="en-US"/>
            </w:rPr>
            <w:t>）《国内水路运输管理规定》（2014年1月交通运输部第2号公布，2020年2月修订）</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第四十一条：“交通运输部和水路运输管理部门依照有关法律、法规和本规定对水路运输市场实施监督检查。”</w:t>
          </w:r>
        </w:p>
        <w:p>
          <w: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7" w:name="_Toc11089"/>
          <w:r>
            <w:rPr>
              <w:rFonts w:hint="eastAsia" w:ascii="黑体" w:hAnsi="黑体" w:eastAsia="黑体" w:cs="黑体"/>
              <w:color w:val="000000"/>
              <w:sz w:val="32"/>
              <w:szCs w:val="32"/>
              <w:lang w:val="en-US" w:eastAsia="zh-CN"/>
            </w:rPr>
            <w:t>第七章 对</w:t>
          </w:r>
          <w:bookmarkStart w:id="18" w:name="_Hlk88895549"/>
          <w:r>
            <w:rPr>
              <w:rFonts w:hint="eastAsia" w:ascii="黑体" w:hAnsi="黑体" w:eastAsia="黑体" w:cs="黑体"/>
              <w:color w:val="000000"/>
              <w:sz w:val="32"/>
              <w:szCs w:val="32"/>
              <w:lang w:val="en-US" w:eastAsia="zh-CN"/>
            </w:rPr>
            <w:t>道路危险货物运输企业的监督检查</w:t>
          </w:r>
          <w:bookmarkEnd w:id="18"/>
          <w:r>
            <w:rPr>
              <w:rFonts w:hint="eastAsia" w:ascii="黑体" w:hAnsi="黑体" w:eastAsia="黑体" w:cs="黑体"/>
              <w:color w:val="000000"/>
              <w:sz w:val="32"/>
              <w:szCs w:val="32"/>
              <w:lang w:val="en-US" w:eastAsia="zh-CN"/>
            </w:rPr>
            <w:t>工作指引</w:t>
          </w:r>
          <w:bookmarkEnd w:id="17"/>
        </w:p>
        <w:p>
          <w:pPr>
            <w:pStyle w:val="12"/>
            <w:snapToGrid w:val="0"/>
            <w:spacing w:line="310" w:lineRule="exact"/>
            <w:ind w:firstLineChars="200"/>
            <w:textAlignment w:val="baseline"/>
            <w:rPr>
              <w:rFonts w:hint="eastAsia" w:ascii="宋体" w:hAnsi="宋体" w:eastAsia="黑体" w:cs="黑体"/>
              <w:color w:val="000000"/>
              <w:kern w:val="0"/>
              <w:sz w:val="20"/>
              <w:szCs w:val="20"/>
              <w:lang w:val="en-US" w:eastAsia="zh-CN" w:bidi="zh-CN"/>
            </w:rPr>
          </w:pPr>
          <w:r>
            <w:rPr>
              <w:rFonts w:hint="eastAsia" w:ascii="宋体" w:hAnsi="宋体" w:eastAsia="黑体" w:cs="黑体"/>
              <w:color w:val="000000"/>
              <w:kern w:val="0"/>
              <w:sz w:val="20"/>
              <w:szCs w:val="20"/>
              <w:lang w:val="en-US" w:eastAsia="zh-CN" w:bidi="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道路危险货物运输企业检查</w:t>
          </w:r>
        </w:p>
        <w:p>
          <w:pPr>
            <w:pStyle w:val="12"/>
            <w:snapToGrid w:val="0"/>
            <w:spacing w:line="310" w:lineRule="exact"/>
            <w:ind w:firstLineChars="200"/>
            <w:textAlignment w:val="baseline"/>
            <w:rPr>
              <w:rFonts w:hint="eastAsia"/>
              <w:color w:val="auto"/>
              <w:lang w:val="en-US"/>
            </w:rPr>
          </w:pPr>
          <w:r>
            <w:rPr>
              <w:rFonts w:hint="eastAsia" w:eastAsia="黑体" w:cs="黑体"/>
              <w:color w:val="auto"/>
              <w:lang w:val="en-US"/>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（一）营业执照、道路运输经营许可证规范使用情况的检查。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检查是否将营业执照、道路运输经营许可证置于营业场所醒目位置；营业执照、道路运输经营许可证是否存在涂改行为；是否存在超出经营期限、经营范围开展经营活动的行为。</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（二）有符合下列要求的从业人员和安全管理人员</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1.专用车辆的驾驶人员取得相应机动车驾驶证，年龄不超过60周岁。</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2.从事道路危险货物运输的驾驶人员、装卸管理人员、押运人员应当经所在地设区的市级 人民政府交通运输主管部门考试合格，并取得相应的从业资格证；从事剧毒化学品、爆炸品道路 运输的驾驶人员、装卸管理人员、押运人员，应当经考试合格，取得注明为“剧毒化学品运输”或者“爆炸品运输”类别的从业资格证。</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3.企业应当配备专职安全管理人员。</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（三）车辆条件</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1.自有专用车辆（挂车除外）5辆以上；运输剧毒化学品、爆炸品的，自有专用车辆（挂 车除外）1。辆以上。</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2.专用车辆技术性能符合国家标准《营运车辆综合性能要求和检验方法》（GB18565）的要 求；技术等级达到行业标准《营运车辆技术等级划分和评定要求》（JT/T198）规定的一级技术 等级。</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3.专用车辆外廓尺寸、轴荷和质量符合国家标准《道路车辆外廓尺寸、轴荷和质量限值》 （GB1589）的要求。</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4.专用车辆燃料消耗量符合行业标准《营运货车燃料消耗量限值及测量方法》（JT719）的 要求。</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5.配备有效的通讯工具。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6.专用车辆应当安装具有行驶记录功能的卫星定位装置。</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7.运输剧毒化学品、爆炸品、易制爆危险化学品的，应当配备罐式、厢式专用车辆或者压 力容器等专用容器。</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8.罐式专用车辆的罐体应当经质量检验部门检验合格，且罐体载货后总质量与专用车辆核 定载质量相匹配。运输爆炸品、强腐蚀性危险货物的罐式专用车辆的罐体容积不得超过20立方米，运输剧毒化学品的罐式专用车辆的罐体容积不得超过10立方米，但符合国家有关标准的罐式集装箱除外。</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9.运输剧毒化学品、爆炸品、强腐蚀性危险货物的非罐式专用车辆，核定载质量不得超过10吨，但符合国家有关标准的集装箱运输专用车辆除外。</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10.配备与运输的危险货物性质相适应的安全防护、环境保护和消防设施设备。</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（四）有符合下列要求的停车场地</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1.自有或者租借期限为3年以上，且与经营范围、规模相适应的停车场地，停车场地应当位于企业注册地市级行政区域内。</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3.停车场地应当封闭并设立明显标志，不得妨碍居民生活和威胁公共安全。</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（五）有健全的安全生产管理制度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1.企业主要负责人、安全管理部门负责人、专职安全管理人员安全生产责任制度。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2.从业人员安全生产责任制度。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3.安全生产监督检查制度。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4.安全生产教育培训制度。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5.从业人员、专用车辆、设备及停车场地安全管理制度。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6.应急救援预案制度。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7.安全生产作业规程。</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8.安全生产考核与奖惩制度。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9.安全事故报告、统计与处理制度。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检查方式：现场检查</w:t>
          </w:r>
        </w:p>
        <w:p>
          <w:pPr>
            <w:pStyle w:val="12"/>
            <w:snapToGrid w:val="0"/>
            <w:spacing w:line="310" w:lineRule="exact"/>
            <w:ind w:firstLineChars="200"/>
            <w:textAlignment w:val="baseline"/>
            <w:rPr>
              <w:rFonts w:hint="eastAsia"/>
              <w:color w:val="auto"/>
              <w:lang w:val="en-US"/>
            </w:rPr>
          </w:pPr>
          <w:r>
            <w:rPr>
              <w:rFonts w:hint="eastAsia" w:eastAsia="黑体" w:cs="黑体"/>
              <w:color w:val="auto"/>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auto"/>
              <w:lang w:val="en-US"/>
            </w:rPr>
          </w:pPr>
          <w:r>
            <w:rPr>
              <w:rFonts w:hint="eastAsia" w:ascii="楷体_GB2312" w:hAnsi="楷体_GB2312" w:eastAsia="楷体_GB2312" w:cs="楷体_GB2312"/>
              <w:color w:val="auto"/>
              <w:lang w:val="en-US"/>
            </w:rPr>
            <w:t>《道路危险货物运输管理规定》（中华人民共和国交通运输部令 2019年第42号）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第五十六条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（一）未取得道路危险货物运输许可，擅自从事道路危险货物运输的；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（二）使用失效、伪造、变造、被注销等无效道路危险货物运输许可证件从事道路危险货物运输的；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（三）超越许可事项，从事道路危险货物运输的；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（四）非经营性道路危险货物运输单位从事道路危险货物运输经营的。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（一）未投保危险货物承运人责任险的；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（二）投保的危险货物承运人责任险已过期，未继续投保的。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第五十九条　违反本规定，道路危险货物运输企业或者单位不按照规定随车携带《道路运输证》的，由县级以上道路运输管理机构责令改正，处警告或者20元以上200元以下的罚款。</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（一）驾驶人员、装卸管理人员、押运人员未取得从业资格上岗作业的；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（三）未根据危险化学品的危险特性采取相应的安全防护措施，或者未配备必要的防护用品和应急救援器材的；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（四）运输危险化学品需要添加抑制剂或者稳定剂，托运人未添加或者未将有关情况告知承运人的。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第六十一条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第六十二条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（一）委托未依法取得危险货物道路运输许可的企业承运危险化学品的；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（二）在托运的普通货物中夹带危险化学品，或者将危险化学品谎报或者匿报为普通货物托运的。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第六十三条　违反本规定，道路危险货物运输企业擅自改装已取得《道路运输证》的专用车辆及罐式专用车辆罐体的，由县级以上道路运输管理机构责令改正，并处5000元以上2万元以下的罚款。</w:t>
          </w:r>
        </w:p>
        <w:p>
          <w:pPr>
            <w:rPr>
              <w:rFonts w:hint="eastAsia"/>
              <w:color w:val="auto"/>
              <w:lang w:val="en-US"/>
            </w:rPr>
          </w:pPr>
          <w:r>
            <w:rPr>
              <w:rFonts w:hint="eastAsia"/>
              <w:color w:val="auto"/>
              <w:lang w:val="en-US"/>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19" w:name="_Hlk88895608"/>
          <w:bookmarkStart w:id="20" w:name="_Toc31774"/>
          <w:r>
            <w:rPr>
              <w:rFonts w:hint="eastAsia" w:ascii="黑体" w:hAnsi="黑体" w:eastAsia="黑体" w:cs="黑体"/>
              <w:color w:val="000000"/>
              <w:sz w:val="32"/>
              <w:szCs w:val="32"/>
              <w:lang w:val="en-US" w:eastAsia="zh-CN"/>
            </w:rPr>
            <w:t>第八章 对道路普通货物运输企业的监督检查工作指引</w:t>
          </w:r>
          <w:bookmarkEnd w:id="19"/>
          <w:bookmarkEnd w:id="20"/>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对道路普通货物运输企业的检查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（一）营业执照（登记证）规范使用情况的检查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检查是否将营业执照置于住所或者营业场所醒目位置，营业执照是否存在涂改行为。</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（二）有符合下列要求的从业人员</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1.取得与驾驶车辆相适应的机动车驾驶证，</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2.年龄不超过60周岁。</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3.经设区的市级道路运输管理机构对有关道路货物运输法规、机动车维修和货物及装载保管基本知识考试合格，并取得从业资格证。</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（三）车辆条件</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1.车辆技术要求应当符合《道路运输车辆技术管理规定》有关规定。</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2.车辆其他要求：</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（1）从事大型物件运输经营的，应当具有与所运输大型物件相适应的超重型车组；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（2）从事冷藏保鲜、罐式容器等专用运输的，应当具有与运输货物相适应的专用容器、设备、设施，并固定在专用车辆上；</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（3）从事集装箱运输的，车辆还应当有固定集装箱的转锁装置。</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检查方式：现场检查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（一）《中华人民共和国道路运输条例》（2019年国务院令第709号）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第五十八条 道路运输管理机构的工作人员应当严格按照职责权限和程序进行监督检查，不得乱设卡、乱收费、乱罚款。</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道路运输管理机构的工作人员应当重点在道路运输及相关业务经营场所、客货集散地进行监督检查。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道路运输管理机构的工作人员在公路路口进行监督检查时，不得随意拦截正常行驶的道路运 输车辆。</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（二）《道路货物运输及站场管理规定》（交通运输部令2019年第17号）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第四十八条道路运输管理机构应当加强对道路货物运输经营和货运站经营活动的监督检查。道路运输管理机构工作人员应当严格按照职责权限和法定程序进行监督检查。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br w:type="page"/>
          </w: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21" w:name="_Toc7275"/>
          <w:r>
            <w:rPr>
              <w:rFonts w:hint="eastAsia" w:ascii="黑体" w:hAnsi="黑体" w:eastAsia="黑体" w:cs="黑体"/>
              <w:color w:val="000000"/>
              <w:sz w:val="32"/>
              <w:szCs w:val="32"/>
              <w:lang w:val="en-US" w:eastAsia="zh-CN"/>
            </w:rPr>
            <w:t>第九章 对公路水运工程试验检测机构的监督检查工作指引</w:t>
          </w:r>
          <w:bookmarkEnd w:id="21"/>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公路水运工程试验检测机构督查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（一）检查内容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1.试验检测机构等级证书使用的规范性，有无转包、违法分包、违规分包、超范围承揽业务和涂改、租赁登记证书的行为；</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2.工地试验室是否按照有关要求建立，是否取得《公路水运工程工地试验室备案通知书》；</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3.有无超范围检测项目；</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4.工地试验室执行国家及交通运输部颁布的法规、标准、规范、规程的正确性；</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5.原始记录、试验检测数据、报告的真实性、规范性和完整性；</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6.仪器设备的运行、检定和校准情况；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7.质量保证体系运行的有效性；</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8.检测人员履约、变更状况以及试验检测活动的规范性、合法性和真实性；</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9.依职责应当监督检查的其他内容。</w:t>
          </w:r>
        </w:p>
        <w:p>
          <w:pPr>
            <w:pStyle w:val="12"/>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（二）检查方法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采取现场检查方式，组织行政执法人员、业内专家，对从全省重点公路水运工程建设项目库中按照不低于10%的比例随机抽取建设项目，对其试验检测机构和工地试验室标准规范执行、工作规范性、内部运行管理等情况进行检查。</w:t>
          </w:r>
        </w:p>
        <w:p>
          <w:pPr>
            <w:pStyle w:val="12"/>
            <w:snapToGrid w:val="0"/>
            <w:spacing w:line="310" w:lineRule="exact"/>
            <w:ind w:firstLineChars="200"/>
            <w:textAlignment w:val="baseline"/>
            <w:rPr>
              <w:rFonts w:hint="eastAsia"/>
              <w:color w:val="000000"/>
              <w:lang w:val="en-US"/>
            </w:rPr>
          </w:pPr>
          <w:r>
            <w:rPr>
              <w:rFonts w:hint="eastAsia" w:eastAsia="黑体" w:cs="黑体"/>
              <w:color w:val="000000"/>
              <w:lang w:val="en-US"/>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《公路水运工程试验检测管理办法》（交通运输部令2019年第38号）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第五条：省级人民政府交通运输主管部门负责本行政区域内公路水运工程试验检测活动的监督管理。</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《山东省公路水运工程工地试验室管理办法》（鲁交发〔2020〕5号）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第四条：省交通运输主管部门负责全省公路水运工程工地试验室的监督管理，设区的市和县级交通运输主管部门按照规定的职责负责本行政区域内的公路水运工程工地试验室的监督管理。</w:t>
          </w: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rPr>
              <w:rFonts w:hint="eastAsia" w:ascii="Calibri" w:hAnsi="Calibri" w:eastAsia="仿宋_GB2312" w:cs="Times New Roman"/>
              <w:kern w:val="2"/>
              <w:sz w:val="32"/>
              <w:szCs w:val="32"/>
              <w:lang w:val="en-US" w:eastAsia="zh-CN" w:bidi="ar-SA"/>
            </w:rPr>
          </w:pPr>
        </w:p>
        <w:p>
          <w:pPr>
            <w:pStyle w:val="12"/>
            <w:spacing w:before="280" w:after="280" w:line="310" w:lineRule="exact"/>
            <w:ind w:firstLine="0"/>
            <w:jc w:val="center"/>
            <w:outlineLvl w:val="0"/>
            <w:rPr>
              <w:rFonts w:hint="eastAsia" w:ascii="黑体" w:hAnsi="黑体" w:eastAsia="黑体" w:cs="黑体"/>
              <w:color w:val="000000"/>
              <w:sz w:val="32"/>
              <w:szCs w:val="32"/>
              <w:lang w:val="zh-CN" w:eastAsia="zh-CN"/>
            </w:rPr>
          </w:pPr>
          <w:bookmarkStart w:id="22" w:name="_Toc13162"/>
          <w:bookmarkStart w:id="23" w:name="_Toc23121"/>
          <w:r>
            <w:rPr>
              <w:rFonts w:hint="eastAsia" w:ascii="黑体" w:hAnsi="黑体" w:eastAsia="黑体" w:cs="黑体"/>
              <w:color w:val="000000"/>
              <w:sz w:val="32"/>
              <w:szCs w:val="32"/>
              <w:lang w:val="zh-CN" w:eastAsia="zh-CN"/>
            </w:rPr>
            <w:t>第</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zh-CN" w:eastAsia="zh-CN"/>
            </w:rPr>
            <w:t>章 对港口岸线使用情况的监督检查工作指引</w:t>
          </w:r>
          <w:bookmarkEnd w:id="22"/>
          <w:bookmarkEnd w:id="23"/>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对港口岸线使用情况的监督检查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（一）是否存在未经批复使用港口岸线的情况。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对使用中的港口岸线进行检查，查看是否具有交通运输主管部门关于同意使用港口岸线的批复，并对实际使用的岸线长度与批复岸线的长度是否一致进行检测。</w:t>
          </w:r>
        </w:p>
        <w:p>
          <w:pPr>
            <w:pStyle w:val="12"/>
            <w:snapToGrid w:val="0"/>
            <w:spacing w:line="310" w:lineRule="exact"/>
            <w:ind w:firstLineChars="200"/>
            <w:textAlignment w:val="baseline"/>
            <w:rPr>
              <w:rFonts w:hint="eastAsia" w:eastAsia="宋体"/>
              <w:color w:val="000000"/>
              <w:lang w:val="en-US" w:eastAsia="zh-CN"/>
            </w:rPr>
          </w:pPr>
          <w:r>
            <w:rPr>
              <w:rFonts w:hint="eastAsia" w:ascii="楷体_GB2312" w:hAnsi="楷体_GB2312" w:eastAsia="楷体_GB2312" w:cs="楷体_GB2312"/>
              <w:color w:val="000000"/>
              <w:lang w:val="en-US" w:eastAsia="zh-CN"/>
            </w:rPr>
            <w:t>（二）是否存在港口岸线用途（岸线用途包括装卸散杂货、集装箱、油品和化工品等）和使用方案与批复不一致的情况。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对港口的实际用途进行检查，查看是否与交通运输主管部门关于同意使用港口岸线的批复中批复的港口岸线用途一致。</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（三）是否存在项目法人与批复不一致的情况。</w:t>
          </w:r>
        </w:p>
        <w:p>
          <w:pPr>
            <w:pStyle w:val="12"/>
            <w:snapToGrid w:val="0"/>
            <w:spacing w:line="310" w:lineRule="exact"/>
            <w:ind w:firstLineChars="200"/>
            <w:textAlignment w:val="baseline"/>
            <w:rPr>
              <w:rFonts w:hint="eastAsia" w:eastAsia="宋体"/>
              <w:color w:val="000000"/>
              <w:lang w:val="en-US" w:eastAsia="zh-CN"/>
            </w:rPr>
          </w:pPr>
          <w:r>
            <w:rPr>
              <w:rFonts w:hint="eastAsia" w:eastAsia="宋体"/>
              <w:color w:val="000000"/>
              <w:lang w:val="en-US" w:eastAsia="zh-CN"/>
            </w:rPr>
            <w:t>对港口岸线的实际法人进行检查，查看是否与交通运输主管部门关于同意使用港口岸线的批复中批复的法人一致。</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Chars="200"/>
            <w:textAlignment w:val="baseline"/>
            <w:rPr>
              <w:rFonts w:hint="eastAsia" w:eastAsia="宋体"/>
              <w:color w:val="000000"/>
              <w:lang w:val="en-US" w:eastAsia="zh-CN"/>
            </w:rPr>
          </w:pPr>
          <w:r>
            <w:rPr>
              <w:rFonts w:hint="eastAsia" w:ascii="楷体_GB2312" w:hAnsi="楷体_GB2312" w:eastAsia="楷体_GB2312" w:cs="楷体_GB2312"/>
              <w:color w:val="000000"/>
              <w:lang w:val="en-US" w:eastAsia="zh-CN"/>
            </w:rPr>
            <w:t>（一）《中华人民共和国港口法》（2017年实施）</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第四十二条 港口行政管理部门依据职责对本法执行情况实施监督检查。港口行政管理部门的监督检查人员依法实施监督检查时，有权向被检查单位和有关人员了解有关情况，并可查阅、复制有关资料。</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第四十四条 被检查单位和有关人员应当接受港口行政管理部门依法实施的监督检查，如实提供有关情况和资料，不得拒绝检查或者隐匿、谎报有关情况和资料。</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（二）《港口岸线使用审批管理办法》（2012年实施）</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第十八条 港口行政管理部门应当加强港口岸线使用情况的事中事后监管，并按照规定将有关信用信息纳入相关信用信息共享平台。</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（三）《山东省港口条例》（2010年实施）</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第五十二条 交通港口管理部门应当建立健全港口监督检查制度，依法对港口规划的实施、港口岸线使用、港口建设和经营、港口安全生产等活动实施监督检查，发现违法情形或者存在安全隐患的，应当依法予以处理。</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第五十三条 交通港口管理部门实施监督检查时，有权向被检查单位和有关人员了解情况，查阅、复制、调取有关资料。</w:t>
          </w: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24" w:name="_Toc7026"/>
          <w:bookmarkStart w:id="25" w:name="_Toc15394"/>
          <w:r>
            <w:rPr>
              <w:rFonts w:hint="eastAsia" w:ascii="黑体" w:hAnsi="黑体" w:eastAsia="黑体" w:cs="黑体"/>
              <w:color w:val="000000"/>
              <w:sz w:val="32"/>
              <w:szCs w:val="32"/>
              <w:lang w:val="en-US" w:eastAsia="zh-CN"/>
            </w:rPr>
            <w:t>第十一章 对交通建设工程的安全生产监督检查工作指引</w:t>
          </w:r>
          <w:bookmarkEnd w:id="24"/>
          <w:bookmarkEnd w:id="25"/>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对交通建设工程的安全生产监督检查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（一）检查内容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开展“平安工地”建设情况；监理单位落实安全监理责任，依照法律、法规和工程建设强制性标准实施监理情况等。</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（二）检查方法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采取现场检查方式，组织行政执法人员、业内专家，从省重点公路水运工程项目中，根据信用分级分类监管相关要求，按照不低于10%的比例从省“双随机、一公开”平台中随机抽取建设项目。对参建单位安全生产资料和施工现场等工作开展情况进行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（一）《中华人民共和国安全生产法》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第九条 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安全生产监督管理部门和对有关行业、领域的安全生产工作实施监督管理的部门，统称负有安全生产监督管理职责的部门。</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（二）《建设工程安全生产管理条例》</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第四十条 国务院建设行政主管部门对全国的建设工程安全生产实施监督管理。国务院铁路、交通、水利等有关部门按照国务院规定的职责分工，负责有关专业建设工程安全生产的监督管理。</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（三）《公路水运工程安全生产监督管理办法》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第四十四条 交通运输主管部门应当对公路水运工程安全生产行为和下级交通运输主管部门履行安全生产监督管理职责情况进行监督检查。</w:t>
          </w: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napToGrid w:val="0"/>
            <w:spacing w:line="310" w:lineRule="exact"/>
            <w:ind w:firstLine="400" w:firstLineChars="200"/>
            <w:textAlignment w:val="baseline"/>
            <w:rPr>
              <w:rFonts w:hint="eastAsia" w:eastAsia="宋体"/>
              <w:color w:val="000000"/>
              <w:lang w:val="en-US" w:eastAsia="zh-CN"/>
            </w:rPr>
          </w:pP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26" w:name="_Toc6170"/>
          <w:bookmarkStart w:id="27" w:name="_Toc21633"/>
          <w:r>
            <w:rPr>
              <w:rFonts w:hint="eastAsia" w:ascii="黑体" w:hAnsi="黑体" w:eastAsia="黑体" w:cs="黑体"/>
              <w:color w:val="000000"/>
              <w:sz w:val="32"/>
              <w:szCs w:val="32"/>
              <w:lang w:val="en-US" w:eastAsia="zh-CN"/>
            </w:rPr>
            <w:t>第十二章 对航道通航情况的监督检查工作指引</w:t>
          </w:r>
          <w:bookmarkEnd w:id="26"/>
          <w:bookmarkEnd w:id="27"/>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对航道通航情况的监督检查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通过查阅档案资料、现场查看的方式，对建设项目位置、通航标准、技术要求和保障措施等航道通航条件影响评价审核意见执行情况进行监督检查。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《航道通航条件影响评价审核管理办法》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第二十五条　交通运输部和省级交通运输主管部门应当建立随机抽取被检查对象、随机选派抽查人员的抽查机制，对建设项目执行审核意见的情况进行监督检查，并将检查结果及时向社会公开。</w:t>
          </w: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napToGrid w:val="0"/>
            <w:spacing w:line="310" w:lineRule="exact"/>
            <w:ind w:firstLineChars="200"/>
            <w:textAlignment w:val="baseline"/>
            <w:rPr>
              <w:rFonts w:hint="eastAsia" w:eastAsia="宋体"/>
              <w:color w:val="000000"/>
              <w:lang w:val="en-US" w:eastAsia="zh-CN"/>
            </w:rPr>
          </w:pPr>
        </w:p>
        <w:p>
          <w:pPr>
            <w:pStyle w:val="12"/>
            <w:spacing w:before="280" w:after="280" w:line="310" w:lineRule="exact"/>
            <w:ind w:firstLine="0"/>
            <w:jc w:val="center"/>
            <w:outlineLvl w:val="0"/>
            <w:rPr>
              <w:rFonts w:hint="eastAsia" w:ascii="黑体" w:hAnsi="黑体" w:eastAsia="黑体" w:cs="黑体"/>
              <w:color w:val="000000"/>
              <w:sz w:val="32"/>
              <w:szCs w:val="32"/>
              <w:lang w:val="en-US" w:eastAsia="zh-CN"/>
            </w:rPr>
          </w:pPr>
          <w:bookmarkStart w:id="28" w:name="_Toc19013"/>
          <w:bookmarkStart w:id="29" w:name="_Toc21392"/>
          <w:r>
            <w:rPr>
              <w:rFonts w:hint="eastAsia" w:ascii="黑体" w:hAnsi="黑体" w:eastAsia="黑体" w:cs="黑体"/>
              <w:color w:val="000000"/>
              <w:sz w:val="32"/>
              <w:szCs w:val="32"/>
              <w:lang w:val="en-US" w:eastAsia="zh-CN"/>
            </w:rPr>
            <w:t>第十三章 对省管内河通航水域水上交通安全及船舶污染防治工作的监督检查</w:t>
          </w:r>
          <w:bookmarkEnd w:id="28"/>
          <w:bookmarkEnd w:id="29"/>
          <w:r>
            <w:rPr>
              <w:rFonts w:hint="eastAsia" w:ascii="黑体" w:hAnsi="黑体" w:eastAsia="黑体" w:cs="黑体"/>
              <w:color w:val="000000"/>
              <w:sz w:val="32"/>
              <w:szCs w:val="32"/>
              <w:lang w:val="en-US" w:eastAsia="zh-CN"/>
            </w:rPr>
            <w:t>工作指引</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一、抽查事项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对省管内河通航水域水上交通安全及船舶污染防治工作的监督检查。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二、检查内容和方法</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（一）检查内容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1.船舶配员情况。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2.船舶航行、停泊、作业情况。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3.船舶结构、设施和设备情况。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4.船舶防污染措施落实情况。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5.法定证书文书配备及记录情况。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6.客货载运及货物系固绑扎情况。</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（二）检查方法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现场检查。</w:t>
          </w:r>
        </w:p>
        <w:p>
          <w:pPr>
            <w:pStyle w:val="12"/>
            <w:snapToGrid w:val="0"/>
            <w:spacing w:line="310" w:lineRule="exact"/>
            <w:ind w:firstLineChars="200"/>
            <w:textAlignment w:val="baseline"/>
            <w:rPr>
              <w:rFonts w:hint="eastAsia" w:eastAsia="黑体" w:cs="黑体"/>
              <w:color w:val="000000"/>
              <w:lang w:val="en-US" w:eastAsia="zh-CN"/>
            </w:rPr>
          </w:pPr>
          <w:r>
            <w:rPr>
              <w:rFonts w:hint="eastAsia" w:eastAsia="黑体" w:cs="黑体"/>
              <w:color w:val="000000"/>
              <w:lang w:val="en-US" w:eastAsia="zh-CN"/>
            </w:rPr>
            <w:t>三、检查依据</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（一）《中华人民共和国内河交通安全管理条例》</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第四条规定  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第五十九条规定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pPr>
            <w:pStyle w:val="12"/>
            <w:snapToGrid w:val="0"/>
            <w:spacing w:line="310" w:lineRule="exact"/>
            <w:ind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（二）《中华人民共和国船舶安全监督规则》</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 xml:space="preserve">第四条规定  各级海事管理机构按照职责和授权开展船舶安全监督工作。  </w:t>
          </w:r>
        </w:p>
        <w:p>
          <w:pPr>
            <w:pStyle w:val="12"/>
            <w:snapToGrid w:val="0"/>
            <w:spacing w:line="310" w:lineRule="exact"/>
            <w:ind w:firstLine="400" w:firstLineChars="200"/>
            <w:textAlignment w:val="baseline"/>
            <w:rPr>
              <w:rFonts w:hint="eastAsia" w:eastAsia="宋体"/>
              <w:color w:val="000000"/>
              <w:lang w:val="en-US" w:eastAsia="zh-CN"/>
            </w:rPr>
          </w:pPr>
          <w:bookmarkStart w:id="30" w:name="_Toc15846"/>
          <w:bookmarkStart w:id="31" w:name="_Toc21285"/>
          <w:r>
            <w:rPr>
              <w:rFonts w:hint="eastAsia" w:eastAsia="宋体"/>
              <w:color w:val="000000"/>
              <w:lang w:val="en-US" w:eastAsia="zh-CN"/>
            </w:rPr>
            <w:t>第四章  船舶安全监督中明确规定了船舶现场监督和安全检查的内容。</w:t>
          </w:r>
          <w:bookmarkEnd w:id="30"/>
          <w:bookmarkEnd w:id="31"/>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第十八条  海事管理机构对船舶实施安全监督，应当减少对船舶正常生产作业造成的不必要影响。</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第十九条  国家海事管理机构应当制定安全监督目标船舶选择标准。</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海事管理机构应当结合辖区实际情况，按照全面覆盖、重点突出、公开便利的原则，依据我国加入的港口国监督区域性合作组织和国家海事管理机构规定的目标船舶选择标准，综合考虑船舶类型、船龄、以往接受船舶安全监督的缺陷、航运公司安全管理情况等，按照规定的时间间隔，选择船舶实施船舶安全监督。</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第二十条  按照目标船舶选择标准未列入选船目标的船舶，海事管理机构原则上不登轮实施船舶安全监督，但按照第二十一条规定开展专项检查的除外。</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第二十一条　国家重要节假日、重大活动期间，或者针对特定水域、特定安全事项、特定船舶需要进行检查的，海事管理机构可以综合运用船舶安全检查和船舶现场监督等形式，开展专项检查。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第二十二条　船舶现场监督的内容包括：</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（一）中国籍船舶自查情况；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（二）法定证书文书配备及记录情况；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（三）船员配备情况；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（四）客货载运及货物系固绑扎情况；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（五）船舶防污染措施落实情况；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（六）船舶航行、停泊、作业情况；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（七）船舶进出港报告或者办理进出港手续情况；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（八）按照相关规定缴纳相关费税情况。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第二十三条　船舶安全检查的内容包括：</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（一）船舶配员情况；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（二）船舶、船员配备和持有有关法定证书文书及相关资料情况；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（三）船舶结构、设施和设备情况；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（四）客货载运及货物系固绑扎情况；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（五）船舶保安相关情况；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（六）船员履行其岗位职责的情况，包括对其岗位职责相关的设施、设备的维护保养和实际操作能力等；</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（七）海事劳工条件；</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（八）船舶安全管理体系运行情况；</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（九）法律、法规、规章以及我国缔结、加入的有关国际公约要求的其他检查内容。</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第二十四条　海事管理机构应当按照船舶安全监督的内容，制定相应的工作程序，规范船舶安全监督活动。</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第二十五条　海事管理机构完成船舶安全监督后应当签发相应的《船舶现场监督报告》《船旗国监督检查报告》或者《港口国监督检查报告》，由船长或者履行船长职责的船员签名。</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《船舶现场监督报告》《船旗国监督检查报告》《港口国监督检查报告》一式两份，一份由海事管理机构存档，一份留船备查。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第二十六条　船舶现场监督中发现船舶存在危及航行安全、船员健康、水域环境的缺陷或者水上交通安全违法行为的，应当按照规定进行处置。</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发现存在需要进一步进行安全检查的船舶安全缺陷的，应当启动船舶安全检查程序。</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第二十七条　海事行政执法人员在船舶安全监督过程中发现船舶存在缺陷的，应当按照相关法律、法规、规章和公约的规定，提出下列处理意见：</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（一）警示教育；</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（二）开航前纠正缺陷；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（三）在开航后限定的期限内纠正缺陷；</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（四）滞留；</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（五）禁止船舶进港；</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（六）限制船舶操作；</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（七）责令船舶驶向指定区域；</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（八）责令船舶离港。</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第二十八条　安全检查发现的船舶缺陷不能在检查港纠正时，海事管理机构可以允许该船驶往最近的可以修理的港口，并及时通知修理港口的海事管理机构。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修理港口超出本港海事管理机构管辖范围的，本港海事管理机构应当通知修理港口海事管理机构进行跟踪检查。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修理港口海事管理机构在收到跟踪检查通知后，应当对船舶缺陷的纠正情况进行验证，并及时将验证结果反馈至发出通知的海事管理机构。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第二十九条　海事管理机构采取本规则第二十七条第（四）（五）（八）项措施的，应当将采取措施的情况及时通知中国籍船舶的船籍港海事管理机构，或者外国籍船舶的船旗国政府。</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第三十条　由于存在缺陷，被采取本规则第二十七条第（四）（五）（六）（八）项措施的船舶，应当在相应的缺陷纠正后向海事管理机构申请复查。被采取其他措施的船舶，可以在相应缺陷纠正后向海事管理机构申请复查，不申请复查的，在下次船舶安全检查时由海事管理机构进行复查。海事管理机构收到复查申请后，决定不予本港复查的，应当及时通知申请人在下次船舶安全检查时接受复查。</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复查合格的，海事管理机构应当及时解除相应的处理措施。</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第三十一条　船舶有权对海事行政执法人员提出的缺陷和处理意见进行陈述和申辩。船舶对于缺陷和处理意见有异议的，海事行政执法人员应当告知船舶申诉的途径和程序。</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第三十二条　海事管理机构在实施船舶安全监督中，发现航运公司安全管理存在问题的，应当要求航运公司改正，并将相关情况通报航运公司注册地海事管理机构。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第三十三条　海事管理机构应当将影响安全的重大船舶缺陷以及导致船舶被滞留的缺陷，通知航运公司、相关船舶检验机构或者组织。</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船舶存在缺陷或者隐患，以及船舶安全管理存在较为严重问题，可能影响其运输资质条件的，海事管理机构应当将有关情况通知相关水路运输管理部门，水路运输管理部门应当将处理情况反馈相应的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水路运输管理部门在市场监管中，发现可能影响到船舶安全的问题，应当将有关情况通知相应海事管理机构，海事管理机构应当将处理情况反馈相应水路运输管理部门。</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第三十四条　船舶以及相关人员，应当按照海事管理机构签发的《船舶现场监督报告》《船旗国监督检查报告》《港口国监督检查报告》等的要求，对存在的缺陷进行纠正。</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航运公司应当督促船舶按时纠正缺陷，并将纠正情况及时反馈实施检查的海事管理机构。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船舶检验机构应当核实有关缺陷纠正情况，需要进行临时检验的，应当将检验报告及时反馈实施检查的海事管理机构。</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第三十五条　中国籍船舶的船长应当对缺陷纠正情况进行检查，并在航行或者航海日志中进行记录。</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第三十六条　船舶应当妥善保管《船舶现场监督报告》《船旗国监督检查报告》《港口国监督检查报告》，在船上保存至少2年。</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第三十七条　除海事管理机构外，任何单位和个人不得扣留、收缴《船舶现场监督报告》《船旗国监督检查报告》《港口国监督检查报告》，或者在上述报告中进行签注。</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第三十八条　任何单位和个人，不得擅自涂改、故意损毁、伪造、变造、租借、骗取和冒用《船舶现场监督报告》《船旗国监督检查报告》《港口国监督检查报告》。</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第三十九条　《船舶现场监督报告》《船旗国监督检查报告》《港口国监督检查报告》的格式由国家海事管理机构统一制定。</w:t>
          </w:r>
        </w:p>
        <w:p>
          <w:pPr>
            <w:pStyle w:val="12"/>
            <w:snapToGrid w:val="0"/>
            <w:spacing w:line="310" w:lineRule="exact"/>
            <w:ind w:firstLine="400" w:firstLineChars="200"/>
            <w:textAlignment w:val="baseline"/>
            <w:rPr>
              <w:rFonts w:hint="eastAsia" w:eastAsia="宋体"/>
              <w:color w:val="000000"/>
              <w:lang w:val="en-US" w:eastAsia="zh-CN"/>
            </w:rPr>
          </w:pPr>
          <w:r>
            <w:rPr>
              <w:rFonts w:hint="eastAsia" w:eastAsia="宋体"/>
              <w:color w:val="000000"/>
              <w:lang w:val="en-US" w:eastAsia="zh-CN"/>
            </w:rPr>
            <w:t>第四十条　中国籍船舶在境外发生水上交通事故，或者被滞留、禁止进港、禁止入境、驱逐出港（境）的，航运公司应当及时将相关情况向船籍港海事管理机构报告，海事管理机构应当做好相应的沟通协调和给予必要的协助。</w:t>
          </w:r>
        </w:p>
        <w:p>
          <w:pPr>
            <w:pStyle w:val="12"/>
            <w:snapToGrid w:val="0"/>
            <w:spacing w:line="310" w:lineRule="exact"/>
            <w:ind w:left="0" w:leftChars="0" w:firstLine="0" w:firstLineChars="0"/>
            <w:textAlignment w:val="baseline"/>
            <w:rPr>
              <w:rFonts w:hint="eastAsia" w:eastAsia="宋体"/>
              <w:color w:val="000000"/>
              <w:lang w:val="en-US" w:eastAsia="zh-CN"/>
            </w:rPr>
          </w:pPr>
        </w:p>
      </w:sdtContent>
    </w:sdt>
    <w:sectPr>
      <w:footerReference r:id="rId3" w:type="default"/>
      <w:pgSz w:w="11906" w:h="16838"/>
      <w:pgMar w:top="1588" w:right="1588" w:bottom="1588" w:left="1588" w:header="851" w:footer="992" w:gutter="0"/>
      <w:pgNumType w:fmt="decimal"/>
      <w:cols w:space="720" w:num="1"/>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ZDE0NTQ2Y2NiYmQ5YTZiMjM3YTM4YzNjYmYxNTMifQ=="/>
  </w:docVars>
  <w:rsids>
    <w:rsidRoot w:val="00000000"/>
    <w:rsid w:val="007C438D"/>
    <w:rsid w:val="01226984"/>
    <w:rsid w:val="030654DA"/>
    <w:rsid w:val="04E34A59"/>
    <w:rsid w:val="06344057"/>
    <w:rsid w:val="07ED1622"/>
    <w:rsid w:val="0B0D0E11"/>
    <w:rsid w:val="0D4508F8"/>
    <w:rsid w:val="0D474670"/>
    <w:rsid w:val="0DB25F8E"/>
    <w:rsid w:val="0F24110D"/>
    <w:rsid w:val="110F1949"/>
    <w:rsid w:val="134E5362"/>
    <w:rsid w:val="14B7204F"/>
    <w:rsid w:val="16C272F1"/>
    <w:rsid w:val="1752433D"/>
    <w:rsid w:val="177366C3"/>
    <w:rsid w:val="179B5CE4"/>
    <w:rsid w:val="189015C1"/>
    <w:rsid w:val="18F109F3"/>
    <w:rsid w:val="196B1130"/>
    <w:rsid w:val="1A6B6620"/>
    <w:rsid w:val="1C281B11"/>
    <w:rsid w:val="1E2D41A0"/>
    <w:rsid w:val="20532727"/>
    <w:rsid w:val="20CC6F0F"/>
    <w:rsid w:val="218477E9"/>
    <w:rsid w:val="267267AA"/>
    <w:rsid w:val="27AC35F6"/>
    <w:rsid w:val="282A2EFA"/>
    <w:rsid w:val="29A46C7B"/>
    <w:rsid w:val="2A500BB0"/>
    <w:rsid w:val="2AFA28CA"/>
    <w:rsid w:val="2B870602"/>
    <w:rsid w:val="2C4402A1"/>
    <w:rsid w:val="2DA84860"/>
    <w:rsid w:val="2E052AB4"/>
    <w:rsid w:val="2E412B62"/>
    <w:rsid w:val="2E7C1194"/>
    <w:rsid w:val="2F146650"/>
    <w:rsid w:val="2FFD1953"/>
    <w:rsid w:val="301937F3"/>
    <w:rsid w:val="31C82A92"/>
    <w:rsid w:val="3579545F"/>
    <w:rsid w:val="3595493F"/>
    <w:rsid w:val="35D40664"/>
    <w:rsid w:val="361707D4"/>
    <w:rsid w:val="377834F5"/>
    <w:rsid w:val="37D83F93"/>
    <w:rsid w:val="383E1AFC"/>
    <w:rsid w:val="39CD5D7A"/>
    <w:rsid w:val="3A8A3C6B"/>
    <w:rsid w:val="3C7E15AD"/>
    <w:rsid w:val="3DD1570D"/>
    <w:rsid w:val="3E1C2E2C"/>
    <w:rsid w:val="3F19736B"/>
    <w:rsid w:val="417A049F"/>
    <w:rsid w:val="424B1F31"/>
    <w:rsid w:val="44176D5C"/>
    <w:rsid w:val="468F0ACD"/>
    <w:rsid w:val="46B06807"/>
    <w:rsid w:val="49267254"/>
    <w:rsid w:val="49437E06"/>
    <w:rsid w:val="4A063C72"/>
    <w:rsid w:val="4B39120C"/>
    <w:rsid w:val="4CD11285"/>
    <w:rsid w:val="4D3D4ECE"/>
    <w:rsid w:val="4D6C55A5"/>
    <w:rsid w:val="4DAB41CC"/>
    <w:rsid w:val="4E3133BA"/>
    <w:rsid w:val="4E606D65"/>
    <w:rsid w:val="4E740A62"/>
    <w:rsid w:val="4EB27C4A"/>
    <w:rsid w:val="4ED80FF1"/>
    <w:rsid w:val="50D3295B"/>
    <w:rsid w:val="50D43A3A"/>
    <w:rsid w:val="535D3873"/>
    <w:rsid w:val="536D5076"/>
    <w:rsid w:val="543C3DD0"/>
    <w:rsid w:val="54B50332"/>
    <w:rsid w:val="556A2277"/>
    <w:rsid w:val="55AD03B6"/>
    <w:rsid w:val="5632548A"/>
    <w:rsid w:val="57770C7B"/>
    <w:rsid w:val="59255664"/>
    <w:rsid w:val="5AB53F94"/>
    <w:rsid w:val="5AD00DCE"/>
    <w:rsid w:val="5AE8436A"/>
    <w:rsid w:val="5B13515F"/>
    <w:rsid w:val="5B2555BE"/>
    <w:rsid w:val="5B434BDE"/>
    <w:rsid w:val="5BC04FF3"/>
    <w:rsid w:val="5C636C6A"/>
    <w:rsid w:val="5C6519EA"/>
    <w:rsid w:val="5D600B2F"/>
    <w:rsid w:val="5E1611EE"/>
    <w:rsid w:val="5E8E6FD6"/>
    <w:rsid w:val="5EA104AD"/>
    <w:rsid w:val="5F1A4D0E"/>
    <w:rsid w:val="60B847DE"/>
    <w:rsid w:val="61F41846"/>
    <w:rsid w:val="630E4B89"/>
    <w:rsid w:val="63B82D47"/>
    <w:rsid w:val="65842EE1"/>
    <w:rsid w:val="658729D1"/>
    <w:rsid w:val="65E94DFF"/>
    <w:rsid w:val="66E65A7E"/>
    <w:rsid w:val="673E5311"/>
    <w:rsid w:val="67931B01"/>
    <w:rsid w:val="685A43CD"/>
    <w:rsid w:val="69A91168"/>
    <w:rsid w:val="6ADA4D56"/>
    <w:rsid w:val="6AF02DC7"/>
    <w:rsid w:val="6B3C7DBA"/>
    <w:rsid w:val="6BF568E6"/>
    <w:rsid w:val="6C480FA0"/>
    <w:rsid w:val="6CA976D1"/>
    <w:rsid w:val="6E4E22DE"/>
    <w:rsid w:val="6ED749C9"/>
    <w:rsid w:val="6F4436E1"/>
    <w:rsid w:val="6F703837"/>
    <w:rsid w:val="702F0734"/>
    <w:rsid w:val="705F4C76"/>
    <w:rsid w:val="7431692A"/>
    <w:rsid w:val="74545376"/>
    <w:rsid w:val="74BA2DB3"/>
    <w:rsid w:val="76830F93"/>
    <w:rsid w:val="76D37824"/>
    <w:rsid w:val="77AF64E3"/>
    <w:rsid w:val="7A5A025C"/>
    <w:rsid w:val="7C0D37D8"/>
    <w:rsid w:val="7CA35EEB"/>
    <w:rsid w:val="7CD10CAA"/>
    <w:rsid w:val="7E7B3A68"/>
    <w:rsid w:val="7E885398"/>
    <w:rsid w:val="7F2F3A66"/>
    <w:rsid w:val="7F5F6C3C"/>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1"/>
    <w:qFormat/>
    <w:uiPriority w:val="0"/>
    <w:pPr>
      <w:keepNext/>
      <w:keepLines/>
      <w:spacing w:before="100" w:beforeLines="10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4">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qFormat/>
    <w:uiPriority w:val="0"/>
    <w:pPr>
      <w:keepNext/>
      <w:keepLines/>
      <w:spacing w:beforeLines="0" w:beforeAutospacing="0" w:afterLines="0" w:afterAutospacing="0" w:line="560" w:lineRule="exact"/>
      <w:outlineLvl w:val="2"/>
    </w:pPr>
    <w:rPr>
      <w:rFonts w:ascii="Calibri" w:hAnsi="Calibri" w:eastAsia="楷体_GB2312"/>
    </w:rPr>
  </w:style>
  <w:style w:type="paragraph" w:styleId="6">
    <w:name w:val="heading 4"/>
    <w:basedOn w:val="1"/>
    <w:next w:val="1"/>
    <w:qFormat/>
    <w:uiPriority w:val="0"/>
    <w:pPr>
      <w:keepNext/>
      <w:keepLines/>
      <w:spacing w:beforeLines="0" w:beforeAutospacing="0" w:afterLines="0" w:afterAutospacing="0" w:line="560" w:lineRule="exact"/>
      <w:outlineLvl w:val="3"/>
    </w:pPr>
    <w:rPr>
      <w:rFonts w:ascii="Arial" w:hAnsi="Arial" w:eastAsia="仿宋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qFormat/>
    <w:uiPriority w:val="0"/>
  </w:style>
  <w:style w:type="paragraph" w:customStyle="1" w:styleId="12">
    <w:name w:val="Body text|1"/>
    <w:basedOn w:val="1"/>
    <w:qFormat/>
    <w:uiPriority w:val="0"/>
    <w:pPr>
      <w:spacing w:line="319" w:lineRule="auto"/>
      <w:ind w:firstLine="400"/>
      <w:jc w:val="left"/>
    </w:pPr>
    <w:rPr>
      <w:rFonts w:ascii="宋体" w:hAnsi="宋体" w:cs="宋体"/>
      <w:kern w:val="0"/>
      <w:sz w:val="20"/>
      <w:szCs w:val="20"/>
      <w:lang w:val="zh-CN" w:bidi="zh-CN"/>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10390</Words>
  <Characters>10643</Characters>
  <Lines>0</Lines>
  <Paragraphs>0</Paragraphs>
  <TotalTime>5</TotalTime>
  <ScaleCrop>false</ScaleCrop>
  <LinksUpToDate>false</LinksUpToDate>
  <CharactersWithSpaces>10773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2022-02-16T02:28:00Z</dcterms:created>
  <dc:creator>Administrator.PC-20200930LMHJ</dc:creator>
  <cp:lastModifiedBy></cp:lastModifiedBy>
  <cp:lastPrinted>2022-05-25T01:56:00Z</cp:lastPrinted>
  <dcterms:modified xsi:type="dcterms:W3CDTF">2023-11-09T10:31:41Z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0DFE0F41BD474DF8BF905CB22569BA6C</vt:lpwstr>
  </property>
</Properties>
</file>