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Autospacing="0" w:afterAutospacing="0" w:line="5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bookmarkStart w:id="0" w:name="_GoBack"/>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高青县交通运输局2020年政府信息公开工作年度报告</w:t>
      </w:r>
    </w:p>
    <w:p>
      <w:pPr>
        <w:pStyle w:val="3"/>
        <w:widowControl/>
        <w:spacing w:beforeAutospacing="0" w:afterAutospacing="0" w:line="560" w:lineRule="exact"/>
        <w:ind w:firstLine="420"/>
        <w:rPr>
          <w:color w:val="000000" w:themeColor="text1"/>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本报告根据《中华人民共和国政府信息公开条例》（国务院令第711号，以下简称《条例》）要求，</w:t>
      </w:r>
      <w:r>
        <w:rPr>
          <w:rFonts w:hint="eastAsia" w:ascii="仿宋_GB2312" w:hAnsi="仿宋_GB2312" w:eastAsia="仿宋_GB2312" w:cs="仿宋_GB2312"/>
          <w:color w:val="000000" w:themeColor="text1"/>
          <w:sz w:val="32"/>
          <w:szCs w:val="32"/>
          <w14:textFill>
            <w14:solidFill>
              <w14:schemeClr w14:val="tx1"/>
            </w14:solidFill>
          </w14:textFill>
        </w:rPr>
        <w:t>由高青县交通运输局办公室综合本单位政府信息公开工作情况编制。</w:t>
      </w:r>
    </w:p>
    <w:p>
      <w:pPr>
        <w:pStyle w:val="3"/>
        <w:widowControl/>
        <w:spacing w:beforeAutospacing="0" w:afterAutospacing="0"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报告全文由总体情况、主动公开政府信息情况、收到和处理政府信息公开申请情况、政府信息公开行政复议行政诉讼情况、存在的主要问题及改进情况、其他需要报告的事项6个部分组成。</w:t>
      </w:r>
    </w:p>
    <w:p>
      <w:pPr>
        <w:pStyle w:val="3"/>
        <w:widowControl/>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报告中所列数据统计期限自2020年1月1日始，至2020年12月31日止。报告电子版可在高青县人民政府门户网站（http://www.gaoqing.gov.cn/）查阅和下载。如对报告内容有疑问，请与高青县交通运输局联系（地址：高青县黄河路106号；邮编：256300；电话：0533-6961548；传真：0533-6961548）。</w:t>
      </w:r>
    </w:p>
    <w:p>
      <w:pPr>
        <w:pStyle w:val="3"/>
        <w:widowControl/>
        <w:spacing w:beforeAutospacing="0" w:afterAutospacing="0"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一、总体情况</w:t>
      </w:r>
    </w:p>
    <w:p>
      <w:pPr>
        <w:pStyle w:val="3"/>
        <w:widowControl/>
        <w:spacing w:beforeAutospacing="0" w:afterAutospacing="0" w:line="56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（一）体制机制建设</w:t>
      </w:r>
    </w:p>
    <w:p>
      <w:pPr>
        <w:pStyle w:val="3"/>
        <w:widowControl/>
        <w:spacing w:beforeAutospacing="0" w:afterAutospacing="0"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是强化组织领导。县交通运输局根据人事变动，调整了县交通运输局信息公开工作领导小组；县交通运输局党组会议将政务信息公开作为经常性议题进行研究部署；继续明确由徐安涛同志（主任科员）分管政务公开工作，并向社会公开。</w:t>
      </w:r>
    </w:p>
    <w:p>
      <w:pPr>
        <w:pStyle w:val="3"/>
        <w:widowControl/>
        <w:spacing w:beforeAutospacing="0" w:afterAutospacing="0"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二是抓好学习培训。今年来县交通运输局组织召开政务公开专题学习会议，对各科室单位具体工作人员进行业务培训，不断提高单位政务公开水平。</w:t>
      </w:r>
    </w:p>
    <w:p>
      <w:pPr>
        <w:pStyle w:val="3"/>
        <w:widowControl/>
        <w:spacing w:beforeAutospacing="0" w:afterAutospacing="0" w:line="56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（二）主动公开</w:t>
      </w:r>
    </w:p>
    <w:p>
      <w:pPr>
        <w:pStyle w:val="3"/>
        <w:widowControl/>
        <w:spacing w:beforeAutospacing="0" w:afterAutospacing="0"/>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1.主动公开建议提案办理结果情况。2020年县交通运输局主动公开县人大代表建议1件、县政协委员提案1件，办理结果均通过高青县人民政府网站进行公开。</w:t>
      </w:r>
    </w:p>
    <w:p>
      <w:pPr>
        <w:pStyle w:val="3"/>
        <w:widowControl/>
        <w:spacing w:beforeAutospacing="0" w:afterAutospacing="0"/>
        <w:jc w:val="center"/>
        <w:rPr>
          <w:rFonts w:ascii="仿宋_GB2312" w:hAnsi="仿宋_GB2312" w:eastAsia="仿宋_GB2312" w:cs="仿宋_GB2312"/>
          <w:color w:val="000000" w:themeColor="text1"/>
          <w:sz w:val="32"/>
          <w:szCs w:val="32"/>
          <w14:textFill>
            <w14:solidFill>
              <w14:schemeClr w14:val="tx1"/>
            </w14:solidFill>
          </w14:textFill>
        </w:rPr>
      </w:pPr>
      <w:r>
        <w:rPr>
          <w:color w:val="000000" w:themeColor="text1"/>
          <w14:textFill>
            <w14:solidFill>
              <w14:schemeClr w14:val="tx1"/>
            </w14:solidFill>
          </w14:textFill>
        </w:rPr>
        <w:drawing>
          <wp:inline distT="0" distB="0" distL="114300" distR="114300">
            <wp:extent cx="4572000" cy="2743200"/>
            <wp:effectExtent l="4445" t="4445" r="14605" b="14605"/>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3"/>
        <w:widowControl/>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2.公示公告情况。2020年县交通运输局通过高青政务网发布通知公告29条，其中工程招投标及中标公告22条，客运信息公告5条，质量信用考核公告1条，行业考试信息公告1条。</w:t>
      </w:r>
    </w:p>
    <w:p>
      <w:pPr>
        <w:pStyle w:val="3"/>
        <w:widowControl/>
        <w:spacing w:beforeAutospacing="0" w:afterAutospacing="0"/>
        <w:jc w:val="center"/>
        <w:rPr>
          <w:rFonts w:ascii="仿宋_GB2312" w:hAnsi="仿宋_GB2312" w:eastAsia="仿宋_GB2312" w:cs="仿宋_GB2312"/>
          <w:color w:val="000000" w:themeColor="text1"/>
          <w:sz w:val="32"/>
          <w:szCs w:val="32"/>
          <w14:textFill>
            <w14:solidFill>
              <w14:schemeClr w14:val="tx1"/>
            </w14:solidFill>
          </w14:textFill>
        </w:rPr>
      </w:pPr>
      <w:r>
        <w:rPr>
          <w:color w:val="000000" w:themeColor="text1"/>
          <w14:textFill>
            <w14:solidFill>
              <w14:schemeClr w14:val="tx1"/>
            </w14:solidFill>
          </w14:textFill>
        </w:rPr>
        <w:drawing>
          <wp:inline distT="0" distB="0" distL="114300" distR="114300">
            <wp:extent cx="4572000" cy="2743200"/>
            <wp:effectExtent l="4445" t="4445" r="14605" b="14605"/>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3"/>
        <w:widowControl/>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3.主动公开业务计划及开展情况。2020年高青县交通运输局主动公开“双随机、一公开”开展情况，公开对运输、汽修等企业的抽查计划、抽查清单及结果。</w:t>
      </w:r>
    </w:p>
    <w:p>
      <w:pPr>
        <w:pStyle w:val="3"/>
        <w:widowControl/>
        <w:spacing w:beforeAutospacing="0" w:afterAutospacing="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drawing>
          <wp:inline distT="0" distB="0" distL="114300" distR="114300">
            <wp:extent cx="3790950" cy="2266950"/>
            <wp:effectExtent l="0" t="0" r="0" b="0"/>
            <wp:docPr id="9" name="图片 9" descr="双随机一公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双随机一公开"/>
                    <pic:cNvPicPr>
                      <a:picLocks noChangeAspect="1"/>
                    </pic:cNvPicPr>
                  </pic:nvPicPr>
                  <pic:blipFill>
                    <a:blip r:embed="rId6"/>
                    <a:stretch>
                      <a:fillRect/>
                    </a:stretch>
                  </pic:blipFill>
                  <pic:spPr>
                    <a:xfrm>
                      <a:off x="0" y="0"/>
                      <a:ext cx="3790950" cy="2266950"/>
                    </a:xfrm>
                    <a:prstGeom prst="rect">
                      <a:avLst/>
                    </a:prstGeom>
                  </pic:spPr>
                </pic:pic>
              </a:graphicData>
            </a:graphic>
          </wp:inline>
        </w:drawing>
      </w:r>
    </w:p>
    <w:p>
      <w:pPr>
        <w:pStyle w:val="3"/>
        <w:widowControl/>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4.主动公开财政信息。2020年高青县交通运输局主动公开上年度财政决算详情、本年度财政预算情况，其中主要公开预算财政支出的主要板块，以及我局“三公”开支情况。</w:t>
      </w:r>
    </w:p>
    <w:p>
      <w:pPr>
        <w:pStyle w:val="3"/>
        <w:widowControl/>
        <w:spacing w:beforeAutospacing="0" w:afterAutospacing="0"/>
        <w:jc w:val="center"/>
        <w:rPr>
          <w:rFonts w:ascii="仿宋_GB2312" w:hAnsi="仿宋_GB2312" w:eastAsia="仿宋_GB2312" w:cs="仿宋_GB2312"/>
          <w:color w:val="000000" w:themeColor="text1"/>
          <w:sz w:val="32"/>
          <w:szCs w:val="32"/>
          <w14:textFill>
            <w14:solidFill>
              <w14:schemeClr w14:val="tx1"/>
            </w14:solidFill>
          </w14:textFill>
        </w:rPr>
      </w:pPr>
      <w:r>
        <w:rPr>
          <w:color w:val="000000" w:themeColor="text1"/>
          <w14:textFill>
            <w14:solidFill>
              <w14:schemeClr w14:val="tx1"/>
            </w14:solidFill>
          </w14:textFill>
        </w:rPr>
        <w:drawing>
          <wp:inline distT="0" distB="0" distL="114300" distR="114300">
            <wp:extent cx="4572000" cy="2743200"/>
            <wp:effectExtent l="4445" t="4445" r="14605" b="14605"/>
            <wp:docPr id="10"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3"/>
        <w:widowControl/>
        <w:spacing w:beforeAutospacing="0" w:afterAutospacing="0" w:line="56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（三）依申请公开</w:t>
      </w:r>
    </w:p>
    <w:p>
      <w:pPr>
        <w:pStyle w:val="3"/>
        <w:widowControl/>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1.收到和处理政府信息公开申请情况</w:t>
      </w:r>
    </w:p>
    <w:p>
      <w:pPr>
        <w:pStyle w:val="3"/>
        <w:widowControl/>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2020年，县交通运输局共收到政府信息公开申请0件，2019年度结转政府信息公开申请0件。</w:t>
      </w:r>
    </w:p>
    <w:p>
      <w:pPr>
        <w:pStyle w:val="3"/>
        <w:widowControl/>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2.收费及减免情况</w:t>
      </w:r>
    </w:p>
    <w:p>
      <w:pPr>
        <w:pStyle w:val="3"/>
        <w:widowControl/>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本年度，县交通运输局在政府信息公开申请办理过程中，未收取任何费用。</w:t>
      </w:r>
    </w:p>
    <w:p>
      <w:pPr>
        <w:pStyle w:val="3"/>
        <w:widowControl/>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3.政府信息公开行政复议、行政诉讼情况</w:t>
      </w:r>
    </w:p>
    <w:p>
      <w:pPr>
        <w:pStyle w:val="3"/>
        <w:widowControl/>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2020年，县交通运输局因政府信息公开被申请行政复议0件、被提起行政诉讼0件。</w:t>
      </w:r>
    </w:p>
    <w:p>
      <w:pPr>
        <w:pStyle w:val="3"/>
        <w:widowControl/>
        <w:spacing w:beforeAutospacing="0" w:afterAutospacing="0" w:line="56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（四）政府信息管理</w:t>
      </w:r>
    </w:p>
    <w:p>
      <w:pPr>
        <w:pStyle w:val="3"/>
        <w:widowControl/>
        <w:spacing w:beforeAutospacing="0" w:afterAutospacing="0"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一是加强政府信息规范管理，完善相关制度；二是加强政府信息公开培训，增强业务知识。</w:t>
      </w:r>
    </w:p>
    <w:p>
      <w:pPr>
        <w:pStyle w:val="3"/>
        <w:widowControl/>
        <w:numPr>
          <w:ilvl w:val="0"/>
          <w:numId w:val="1"/>
        </w:numPr>
        <w:spacing w:beforeAutospacing="0" w:afterAutospacing="0" w:line="56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平台建设</w:t>
      </w:r>
    </w:p>
    <w:p>
      <w:pPr>
        <w:pStyle w:val="3"/>
        <w:widowControl/>
        <w:spacing w:beforeAutospacing="0" w:afterAutospacing="0"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一是加强平台建设。强化县政府门户网站政务公开第一平台作用，完善政府信息公开目录，加大重点领域信息公开力度，提升信息发布、解读回应、政民互动、办事服务的整体水平。</w:t>
      </w:r>
    </w:p>
    <w:p>
      <w:pPr>
        <w:pStyle w:val="3"/>
        <w:widowControl/>
        <w:spacing w:beforeAutospacing="0" w:afterAutospacing="0"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二是强化机构建设。县交通运输局办公室作为政府信息公开工作具体科室，2人负责政务公开工作，其中1人专职，1人兼职。</w:t>
      </w:r>
    </w:p>
    <w:p>
      <w:pPr>
        <w:pStyle w:val="3"/>
        <w:widowControl/>
        <w:spacing w:beforeAutospacing="0" w:afterAutospacing="0" w:line="56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（六）监督保障情况</w:t>
      </w:r>
    </w:p>
    <w:p>
      <w:pPr>
        <w:pStyle w:val="3"/>
        <w:widowControl/>
        <w:spacing w:beforeAutospacing="0" w:afterAutospacing="0" w:line="56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是落实政务公开责任制。县交通运输局严格执行县政务公开制度，制定政务公开制度，由办公室承担政务公开工作，各科室、单位协助政务公开工作，每条政务信息均由相关负责人和办公室双重审核，确保公开内容真实、准确。</w:t>
      </w:r>
    </w:p>
    <w:p>
      <w:pPr>
        <w:pStyle w:val="3"/>
        <w:widowControl/>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二是常态化核检已发内容。县交通运输局政务公开责任人将政治意识和服务意识时刻牢记心头，将政务公开工作列入日常工作备忘录，常态化核查检验已发内容，及时查缺补差。</w:t>
      </w:r>
      <w:r>
        <w:rPr>
          <w:rFonts w:hint="eastAsia" w:ascii="仿宋_GB2312" w:hAnsi="仿宋_GB2312" w:eastAsia="仿宋_GB2312" w:cs="仿宋_GB2312"/>
          <w:color w:val="000000" w:themeColor="text1"/>
          <w:sz w:val="32"/>
          <w:szCs w:val="32"/>
          <w14:textFill>
            <w14:solidFill>
              <w14:schemeClr w14:val="tx1"/>
            </w14:solidFill>
          </w14:textFill>
        </w:rPr>
        <w:t> </w:t>
      </w:r>
    </w:p>
    <w:p>
      <w:pPr>
        <w:pStyle w:val="3"/>
        <w:widowControl/>
        <w:spacing w:beforeAutospacing="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三是</w:t>
      </w:r>
      <w:r>
        <w:rPr>
          <w:rFonts w:hint="eastAsia" w:ascii="仿宋_GB2312" w:hAnsi="仿宋_GB2312" w:eastAsia="仿宋_GB2312" w:cs="仿宋_GB2312"/>
          <w:color w:val="000000" w:themeColor="text1"/>
          <w:sz w:val="32"/>
          <w:szCs w:val="32"/>
          <w14:textFill>
            <w14:solidFill>
              <w14:schemeClr w14:val="tx1"/>
            </w14:solidFill>
          </w14:textFill>
        </w:rPr>
        <w:t>对照学习不断提高。县交通运输局政务公开责任人在加强学习最新政治理论，关注各级政府网、新媒体等官方网站新闻时，注重发现先进典型做法，尤其是发现上级政府、上级单位发布了新的政策、征求意见等适合县级网站发布的内容时，做到及时转发。</w:t>
      </w:r>
    </w:p>
    <w:p>
      <w:pPr>
        <w:pStyle w:val="3"/>
        <w:widowControl/>
        <w:spacing w:beforeAutospacing="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p>
    <w:p>
      <w:pPr>
        <w:pStyle w:val="3"/>
        <w:widowControl/>
        <w:spacing w:beforeAutospacing="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p>
    <w:p>
      <w:pPr>
        <w:pStyle w:val="3"/>
        <w:widowControl/>
        <w:spacing w:beforeAutospacing="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p>
    <w:p>
      <w:pPr>
        <w:pStyle w:val="3"/>
        <w:widowControl/>
        <w:spacing w:beforeAutospacing="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p>
    <w:p>
      <w:pPr>
        <w:pStyle w:val="3"/>
        <w:widowControl/>
        <w:spacing w:beforeAutospacing="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p>
    <w:p>
      <w:pPr>
        <w:pStyle w:val="3"/>
        <w:widowControl/>
        <w:numPr>
          <w:ilvl w:val="0"/>
          <w:numId w:val="2"/>
        </w:numPr>
        <w:spacing w:beforeAutospacing="0" w:afterAutospacing="0" w:line="560" w:lineRule="exact"/>
        <w:ind w:firstLine="42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主动公开政府信息情况</w:t>
      </w:r>
    </w:p>
    <w:p>
      <w:pPr>
        <w:pStyle w:val="3"/>
        <w:widowControl/>
        <w:spacing w:beforeAutospacing="0" w:afterAutospacing="0" w:line="560" w:lineRule="exact"/>
        <w:ind w:left="420"/>
        <w:rPr>
          <w:rFonts w:ascii="黑体" w:hAnsi="黑体" w:eastAsia="黑体" w:cs="黑体"/>
          <w:color w:val="000000" w:themeColor="text1"/>
          <w:sz w:val="32"/>
          <w:szCs w:val="32"/>
          <w14:textFill>
            <w14:solidFill>
              <w14:schemeClr w14:val="tx1"/>
            </w14:solidFill>
          </w14:textFill>
        </w:rPr>
      </w:pPr>
    </w:p>
    <w:tbl>
      <w:tblPr>
        <w:tblStyle w:val="4"/>
        <w:tblW w:w="8705" w:type="dxa"/>
        <w:jc w:val="center"/>
        <w:tblLayout w:type="autofit"/>
        <w:tblCellMar>
          <w:top w:w="0" w:type="dxa"/>
          <w:left w:w="108" w:type="dxa"/>
          <w:bottom w:w="0" w:type="dxa"/>
          <w:right w:w="108" w:type="dxa"/>
        </w:tblCellMar>
      </w:tblPr>
      <w:tblGrid>
        <w:gridCol w:w="2752"/>
        <w:gridCol w:w="1984"/>
        <w:gridCol w:w="1985"/>
        <w:gridCol w:w="1984"/>
      </w:tblGrid>
      <w:tr>
        <w:tblPrEx>
          <w:tblCellMar>
            <w:top w:w="0" w:type="dxa"/>
            <w:left w:w="108" w:type="dxa"/>
            <w:bottom w:w="0" w:type="dxa"/>
            <w:right w:w="108" w:type="dxa"/>
          </w:tblCellMar>
        </w:tblPrEx>
        <w:trPr>
          <w:trHeight w:val="495"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第二十条第（一）项</w:t>
            </w:r>
          </w:p>
        </w:tc>
      </w:tr>
      <w:tr>
        <w:tblPrEx>
          <w:tblCellMar>
            <w:top w:w="0" w:type="dxa"/>
            <w:left w:w="108" w:type="dxa"/>
            <w:bottom w:w="0" w:type="dxa"/>
            <w:right w:w="108" w:type="dxa"/>
          </w:tblCellMar>
        </w:tblPrEx>
        <w:trPr>
          <w:trHeight w:val="88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本年新</w:t>
            </w:r>
            <w:r>
              <w:rPr>
                <w:rFonts w:ascii="宋体" w:hAnsi="宋体" w:eastAsia="宋体" w:cs="宋体"/>
                <w:color w:val="000000" w:themeColor="text1"/>
                <w:kern w:val="0"/>
                <w:sz w:val="24"/>
                <w14:textFill>
                  <w14:solidFill>
                    <w14:schemeClr w14:val="tx1"/>
                  </w14:solidFill>
                </w14:textFill>
              </w:rPr>
              <w:t>制作数量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本年新</w:t>
            </w:r>
            <w:r>
              <w:rPr>
                <w:rFonts w:ascii="宋体" w:hAnsi="宋体" w:eastAsia="宋体" w:cs="宋体"/>
                <w:color w:val="000000" w:themeColor="text1"/>
                <w:kern w:val="0"/>
                <w:sz w:val="24"/>
                <w14:textFill>
                  <w14:solidFill>
                    <w14:schemeClr w14:val="tx1"/>
                  </w14:solidFill>
                </w14:textFill>
              </w:rPr>
              <w:t>公开数量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对外公开总数量</w:t>
            </w:r>
          </w:p>
        </w:tc>
      </w:tr>
      <w:tr>
        <w:tblPrEx>
          <w:tblCellMar>
            <w:top w:w="0" w:type="dxa"/>
            <w:left w:w="108" w:type="dxa"/>
            <w:bottom w:w="0" w:type="dxa"/>
            <w:right w:w="108" w:type="dxa"/>
          </w:tblCellMar>
        </w:tblPrEx>
        <w:trPr>
          <w:trHeight w:val="69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规章</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0</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Calibri" w:eastAsia="宋体" w:cs="Times New Roman"/>
                <w:color w:val="000000" w:themeColor="text1"/>
                <w:kern w:val="0"/>
                <w:sz w:val="24"/>
                <w14:textFill>
                  <w14:solidFill>
                    <w14:schemeClr w14:val="tx1"/>
                  </w14:solidFill>
                </w14:textFill>
              </w:rPr>
              <w:t> 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0</w:t>
            </w:r>
          </w:p>
        </w:tc>
      </w:tr>
      <w:tr>
        <w:tblPrEx>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规范性文件</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0</w:t>
            </w:r>
          </w:p>
        </w:tc>
        <w:tc>
          <w:tcPr>
            <w:tcW w:w="1985" w:type="dxa"/>
            <w:tcBorders>
              <w:top w:val="nil"/>
              <w:left w:val="nil"/>
              <w:bottom w:val="single" w:color="auto" w:sz="4" w:space="0"/>
              <w:right w:val="single" w:color="auto" w:sz="4" w:space="0"/>
            </w:tcBorders>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Calibri" w:eastAsia="宋体" w:cs="Times New Roman"/>
                <w:color w:val="000000" w:themeColor="text1"/>
                <w:kern w:val="0"/>
                <w:sz w:val="24"/>
                <w14:textFill>
                  <w14:solidFill>
                    <w14:schemeClr w14:val="tx1"/>
                  </w14:solidFill>
                </w14:textFill>
              </w:rPr>
              <w:t> 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0</w:t>
            </w:r>
          </w:p>
        </w:tc>
      </w:tr>
      <w:tr>
        <w:tblPrEx>
          <w:tblCellMar>
            <w:top w:w="0" w:type="dxa"/>
            <w:left w:w="108" w:type="dxa"/>
            <w:bottom w:w="0" w:type="dxa"/>
            <w:right w:w="108" w:type="dxa"/>
          </w:tblCellMar>
        </w:tblPrEx>
        <w:trPr>
          <w:trHeight w:val="480"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第二十条第（五）项</w:t>
            </w:r>
          </w:p>
        </w:tc>
      </w:tr>
      <w:tr>
        <w:tblPrEx>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上一年项目数量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本年增/减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处理决定数量</w:t>
            </w:r>
          </w:p>
        </w:tc>
      </w:tr>
      <w:tr>
        <w:tblPrEx>
          <w:tblCellMar>
            <w:top w:w="0" w:type="dxa"/>
            <w:left w:w="108" w:type="dxa"/>
            <w:bottom w:w="0" w:type="dxa"/>
            <w:right w:w="108" w:type="dxa"/>
          </w:tblCellMar>
        </w:tblPrEx>
        <w:trPr>
          <w:trHeight w:val="670"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行政许可</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w:t>
            </w:r>
          </w:p>
        </w:tc>
        <w:tc>
          <w:tcPr>
            <w:tcW w:w="198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+34</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29</w:t>
            </w:r>
          </w:p>
        </w:tc>
      </w:tr>
      <w:tr>
        <w:tblPrEx>
          <w:tblCellMar>
            <w:top w:w="0" w:type="dxa"/>
            <w:left w:w="108" w:type="dxa"/>
            <w:bottom w:w="0" w:type="dxa"/>
            <w:right w:w="108" w:type="dxa"/>
          </w:tblCellMar>
        </w:tblPrEx>
        <w:trPr>
          <w:trHeight w:val="69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其他对外管理服务事项</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53</w:t>
            </w:r>
          </w:p>
        </w:tc>
        <w:tc>
          <w:tcPr>
            <w:tcW w:w="198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1947</w:t>
            </w:r>
          </w:p>
        </w:tc>
      </w:tr>
      <w:tr>
        <w:tblPrEx>
          <w:tblCellMar>
            <w:top w:w="0" w:type="dxa"/>
            <w:left w:w="108" w:type="dxa"/>
            <w:bottom w:w="0" w:type="dxa"/>
            <w:right w:w="108" w:type="dxa"/>
          </w:tblCellMar>
        </w:tblPrEx>
        <w:trPr>
          <w:trHeight w:val="40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第二十条第（六）项</w:t>
            </w:r>
          </w:p>
        </w:tc>
      </w:tr>
      <w:tr>
        <w:tblPrEx>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上一年项目数量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本年增/减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处理决定数量</w:t>
            </w:r>
          </w:p>
        </w:tc>
      </w:tr>
      <w:tr>
        <w:tblPrEx>
          <w:tblCellMar>
            <w:top w:w="0" w:type="dxa"/>
            <w:left w:w="108" w:type="dxa"/>
            <w:bottom w:w="0" w:type="dxa"/>
            <w:right w:w="108" w:type="dxa"/>
          </w:tblCellMar>
        </w:tblPrEx>
        <w:trPr>
          <w:trHeight w:val="56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行政处罚</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85</w:t>
            </w:r>
          </w:p>
        </w:tc>
        <w:tc>
          <w:tcPr>
            <w:tcW w:w="1985"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5</w:t>
            </w:r>
          </w:p>
        </w:tc>
      </w:tr>
      <w:tr>
        <w:tblPrEx>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行政强制</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9</w:t>
            </w:r>
          </w:p>
        </w:tc>
        <w:tc>
          <w:tcPr>
            <w:tcW w:w="198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0</w:t>
            </w:r>
          </w:p>
        </w:tc>
      </w:tr>
      <w:tr>
        <w:tblPrEx>
          <w:tblCellMar>
            <w:top w:w="0" w:type="dxa"/>
            <w:left w:w="108" w:type="dxa"/>
            <w:bottom w:w="0" w:type="dxa"/>
            <w:right w:w="108" w:type="dxa"/>
          </w:tblCellMar>
        </w:tblPrEx>
        <w:trPr>
          <w:trHeight w:val="474"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第二十条第（八）项</w:t>
            </w:r>
          </w:p>
        </w:tc>
      </w:tr>
      <w:tr>
        <w:tblPrEx>
          <w:tblCellMar>
            <w:top w:w="0" w:type="dxa"/>
            <w:left w:w="108" w:type="dxa"/>
            <w:bottom w:w="0" w:type="dxa"/>
            <w:right w:w="108" w:type="dxa"/>
          </w:tblCellMar>
        </w:tblPrEx>
        <w:trPr>
          <w:trHeight w:val="270"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信息内容</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上一年项目数量</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本年增/减</w:t>
            </w:r>
          </w:p>
        </w:tc>
      </w:tr>
      <w:tr>
        <w:tblPrEx>
          <w:tblCellMar>
            <w:top w:w="0" w:type="dxa"/>
            <w:left w:w="108" w:type="dxa"/>
            <w:bottom w:w="0" w:type="dxa"/>
            <w:right w:w="108" w:type="dxa"/>
          </w:tblCellMar>
        </w:tblPrEx>
        <w:trPr>
          <w:trHeight w:val="72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行政事业性收费</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0</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Calibri" w:eastAsia="宋体" w:cs="Times New Roman"/>
                <w:color w:val="000000" w:themeColor="text1"/>
                <w:kern w:val="0"/>
                <w:sz w:val="24"/>
                <w14:textFill>
                  <w14:solidFill>
                    <w14:schemeClr w14:val="tx1"/>
                  </w14:solidFill>
                </w14:textFill>
              </w:rPr>
              <w:t> 0</w:t>
            </w:r>
          </w:p>
        </w:tc>
      </w:tr>
      <w:tr>
        <w:tblPrEx>
          <w:tblCellMar>
            <w:top w:w="0" w:type="dxa"/>
            <w:left w:w="108" w:type="dxa"/>
            <w:bottom w:w="0" w:type="dxa"/>
            <w:right w:w="108" w:type="dxa"/>
          </w:tblCellMar>
        </w:tblPrEx>
        <w:trPr>
          <w:trHeight w:val="47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第二十条第（九）项</w:t>
            </w:r>
          </w:p>
        </w:tc>
      </w:tr>
      <w:tr>
        <w:tblPrEx>
          <w:tblCellMar>
            <w:top w:w="0" w:type="dxa"/>
            <w:left w:w="108" w:type="dxa"/>
            <w:bottom w:w="0" w:type="dxa"/>
            <w:right w:w="108" w:type="dxa"/>
          </w:tblCellMar>
        </w:tblPrEx>
        <w:trPr>
          <w:trHeight w:val="585"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信息内容</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采购项目数量</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采购总金额</w:t>
            </w:r>
          </w:p>
        </w:tc>
      </w:tr>
      <w:tr>
        <w:tblPrEx>
          <w:tblCellMar>
            <w:top w:w="0" w:type="dxa"/>
            <w:left w:w="108" w:type="dxa"/>
            <w:bottom w:w="0" w:type="dxa"/>
            <w:right w:w="108" w:type="dxa"/>
          </w:tblCellMar>
        </w:tblPrEx>
        <w:trPr>
          <w:trHeight w:val="748"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政府集中采购</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0</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0</w:t>
            </w:r>
          </w:p>
        </w:tc>
      </w:tr>
    </w:tbl>
    <w:p>
      <w:pPr>
        <w:pStyle w:val="3"/>
        <w:widowControl/>
        <w:spacing w:beforeAutospacing="0" w:afterAutospacing="0"/>
        <w:ind w:left="42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p>
      <w:pPr>
        <w:pStyle w:val="3"/>
        <w:widowControl/>
        <w:spacing w:beforeAutospacing="0" w:afterAutospacing="0"/>
        <w:ind w:left="420"/>
        <w:rPr>
          <w:rFonts w:hint="eastAsia" w:ascii="仿宋_GB2312" w:hAnsi="仿宋_GB2312" w:eastAsia="仿宋_GB2312" w:cs="仿宋_GB2312"/>
          <w:color w:val="000000" w:themeColor="text1"/>
          <w:sz w:val="32"/>
          <w:szCs w:val="32"/>
          <w14:textFill>
            <w14:solidFill>
              <w14:schemeClr w14:val="tx1"/>
            </w14:solidFill>
          </w14:textFill>
        </w:rPr>
      </w:pPr>
    </w:p>
    <w:p>
      <w:pPr>
        <w:pStyle w:val="3"/>
        <w:widowControl/>
        <w:spacing w:beforeAutospacing="0" w:afterAutospacing="0"/>
        <w:ind w:left="420"/>
        <w:rPr>
          <w:rFonts w:ascii="仿宋_GB2312" w:hAnsi="仿宋_GB2312" w:eastAsia="仿宋_GB2312" w:cs="仿宋_GB2312"/>
          <w:color w:val="000000" w:themeColor="text1"/>
          <w:sz w:val="32"/>
          <w:szCs w:val="32"/>
          <w14:textFill>
            <w14:solidFill>
              <w14:schemeClr w14:val="tx1"/>
            </w14:solidFill>
          </w14:textFill>
        </w:rPr>
      </w:pPr>
    </w:p>
    <w:p>
      <w:pPr>
        <w:pStyle w:val="3"/>
        <w:widowControl/>
        <w:spacing w:beforeAutospacing="0" w:afterAutospacing="0" w:line="560" w:lineRule="exact"/>
        <w:ind w:firstLine="42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三、收到和处理政府信息公开申请情况</w:t>
      </w:r>
    </w:p>
    <w:tbl>
      <w:tblPr>
        <w:tblStyle w:val="4"/>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993"/>
        <w:gridCol w:w="2479"/>
        <w:gridCol w:w="825"/>
        <w:gridCol w:w="765"/>
        <w:gridCol w:w="765"/>
        <w:gridCol w:w="825"/>
        <w:gridCol w:w="990"/>
        <w:gridCol w:w="720"/>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7"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（本列数据的勾稽关系为：第一项加第二项之和，等于第三项加第四项之和）</w:t>
            </w:r>
          </w:p>
        </w:tc>
        <w:tc>
          <w:tcPr>
            <w:tcW w:w="5592"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825" w:type="dxa"/>
            <w:vMerge w:val="restart"/>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自然人</w:t>
            </w:r>
          </w:p>
        </w:tc>
        <w:tc>
          <w:tcPr>
            <w:tcW w:w="4065"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法人或其他组织</w:t>
            </w:r>
          </w:p>
        </w:tc>
        <w:tc>
          <w:tcPr>
            <w:tcW w:w="702"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82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商业企业</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科研机构</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社会公益组织</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法律服务机构</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其他</w:t>
            </w:r>
          </w:p>
        </w:tc>
        <w:tc>
          <w:tcPr>
            <w:tcW w:w="702"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947"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一、本年新收政府信息公开申请数量</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47"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二、上年结转政府信息公开申请数量</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7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三、本年度办理结果</w:t>
            </w:r>
          </w:p>
        </w:tc>
        <w:tc>
          <w:tcPr>
            <w:tcW w:w="3472"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（一）予以公开</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3472"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（二）部分公开（区分处理的，只计这一情形，不计其他情形）</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993"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（三）不予公开</w:t>
            </w:r>
          </w:p>
        </w:tc>
        <w:tc>
          <w:tcPr>
            <w:tcW w:w="2479"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1.属于国家秘密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2479"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2.其他法律行政法规禁止公开</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2479"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3.危及“三安全一稳定”</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2479"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4.保护第三方合法权益</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2479"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5.属于三类内部事务信息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2479"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6.属于四类过程性信息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2479"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7.属于行政执法案卷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2479"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8.属于行政查询事项</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993"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（四）无法提供</w:t>
            </w:r>
          </w:p>
        </w:tc>
        <w:tc>
          <w:tcPr>
            <w:tcW w:w="2479"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1.本机关不掌握相关政府信息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2479"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2.没有现成信息需要另行制作</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2479"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3.补正后申请内容仍不明确</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993"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（五）不予处理</w:t>
            </w:r>
          </w:p>
        </w:tc>
        <w:tc>
          <w:tcPr>
            <w:tcW w:w="2479"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1.信访举报投诉类申请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2479"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2.重复申请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2479"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3.要求提供公开出版物</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2479"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4.无正当理由大量反复申请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2479"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5.要求行政机关确认或重新出具已获取信息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3472"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（六）其他处理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3472"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（七）总计</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7"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四、结转下年度继续办理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bl>
    <w:p>
      <w:pPr>
        <w:pStyle w:val="3"/>
        <w:widowControl/>
        <w:spacing w:beforeAutospacing="0" w:afterAutospacing="0"/>
        <w:jc w:val="center"/>
        <w:rPr>
          <w:rFonts w:hint="eastAsia" w:ascii="仿宋_GB2312" w:hAnsi="仿宋_GB2312" w:eastAsia="仿宋_GB2312" w:cs="仿宋_GB2312"/>
          <w:color w:val="000000" w:themeColor="text1"/>
          <w:sz w:val="32"/>
          <w:szCs w:val="32"/>
          <w14:textFill>
            <w14:solidFill>
              <w14:schemeClr w14:val="tx1"/>
            </w14:solidFill>
          </w14:textFill>
        </w:rPr>
      </w:pPr>
    </w:p>
    <w:p>
      <w:pPr>
        <w:pStyle w:val="3"/>
        <w:widowControl/>
        <w:spacing w:beforeAutospacing="0" w:afterAutospacing="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p>
      <w:pPr>
        <w:pStyle w:val="3"/>
        <w:widowControl/>
        <w:spacing w:beforeAutospacing="0" w:afterAutospacing="0" w:line="560" w:lineRule="exact"/>
        <w:ind w:firstLine="42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四、政府信息公开行政复议、行政诉讼情况</w:t>
      </w:r>
    </w:p>
    <w:tbl>
      <w:tblPr>
        <w:tblStyle w:val="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623"/>
        <w:gridCol w:w="681"/>
        <w:gridCol w:w="669"/>
        <w:gridCol w:w="424"/>
        <w:gridCol w:w="649"/>
        <w:gridCol w:w="623"/>
        <w:gridCol w:w="681"/>
        <w:gridCol w:w="704"/>
        <w:gridCol w:w="313"/>
        <w:gridCol w:w="760"/>
        <w:gridCol w:w="657"/>
        <w:gridCol w:w="658"/>
        <w:gridCol w:w="658"/>
        <w:gridCol w:w="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4" w:type="dxa"/>
            <w:gridSpan w:val="5"/>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000000" w:themeColor="text1"/>
                <w:kern w:val="0"/>
                <w:sz w:val="24"/>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行政复议</w:t>
            </w:r>
          </w:p>
        </w:tc>
        <w:tc>
          <w:tcPr>
            <w:tcW w:w="5997" w:type="dxa"/>
            <w:gridSpan w:val="10"/>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000000" w:themeColor="text1"/>
                <w:kern w:val="0"/>
                <w:sz w:val="24"/>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77" w:type="dxa"/>
            <w:vMerge w:val="restart"/>
            <w:tcBorders>
              <w:top w:val="nil"/>
              <w:left w:val="single" w:color="auto" w:sz="4" w:space="0"/>
              <w:bottom w:val="single" w:color="auto" w:sz="4" w:space="0"/>
              <w:right w:val="single" w:color="auto" w:sz="4" w:space="0"/>
            </w:tcBorders>
            <w:vAlign w:val="center"/>
          </w:tcPr>
          <w:p>
            <w:pPr>
              <w:widowControl/>
              <w:spacing w:before="100" w:beforeAutospacing="1" w:after="180" w:line="200" w:lineRule="exact"/>
              <w:rPr>
                <w:rFonts w:ascii="Calibri" w:hAnsi="Calibri" w:eastAsia="宋体" w:cs="Times New Roman"/>
                <w:color w:val="000000" w:themeColor="text1"/>
                <w:sz w:val="20"/>
                <w:szCs w:val="20"/>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结果</w:t>
            </w:r>
          </w:p>
          <w:p>
            <w:pPr>
              <w:widowControl/>
              <w:spacing w:before="100" w:beforeAutospacing="1" w:after="180" w:line="200" w:lineRule="exact"/>
              <w:rPr>
                <w:rFonts w:ascii="宋体" w:hAnsi="宋体" w:eastAsia="宋体" w:cs="宋体"/>
                <w:color w:val="000000" w:themeColor="text1"/>
                <w:kern w:val="0"/>
                <w:sz w:val="24"/>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维持</w:t>
            </w:r>
          </w:p>
        </w:tc>
        <w:tc>
          <w:tcPr>
            <w:tcW w:w="623" w:type="dxa"/>
            <w:vMerge w:val="restart"/>
            <w:tcBorders>
              <w:top w:val="nil"/>
              <w:left w:val="nil"/>
              <w:bottom w:val="single" w:color="auto" w:sz="4" w:space="0"/>
              <w:right w:val="single" w:color="auto" w:sz="4" w:space="0"/>
            </w:tcBorders>
            <w:vAlign w:val="center"/>
          </w:tcPr>
          <w:p>
            <w:pPr>
              <w:widowControl/>
              <w:spacing w:before="100" w:beforeAutospacing="1" w:after="180" w:line="200" w:lineRule="exact"/>
              <w:rPr>
                <w:rFonts w:ascii="Calibri" w:hAnsi="Calibri" w:eastAsia="宋体" w:cs="Times New Roman"/>
                <w:color w:val="000000" w:themeColor="text1"/>
                <w:sz w:val="20"/>
                <w:szCs w:val="20"/>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结果纠正</w:t>
            </w:r>
          </w:p>
        </w:tc>
        <w:tc>
          <w:tcPr>
            <w:tcW w:w="681" w:type="dxa"/>
            <w:vMerge w:val="restart"/>
            <w:tcBorders>
              <w:top w:val="single" w:color="auto" w:sz="4" w:space="0"/>
              <w:left w:val="nil"/>
              <w:bottom w:val="single" w:color="auto" w:sz="4" w:space="0"/>
              <w:right w:val="single" w:color="auto" w:sz="4" w:space="0"/>
            </w:tcBorders>
            <w:vAlign w:val="center"/>
          </w:tcPr>
          <w:p>
            <w:pPr>
              <w:widowControl/>
              <w:spacing w:before="100" w:beforeAutospacing="1" w:after="180" w:line="200" w:lineRule="exact"/>
              <w:rPr>
                <w:rFonts w:ascii="Calibri" w:hAnsi="Calibri" w:eastAsia="宋体" w:cs="Times New Roman"/>
                <w:color w:val="000000" w:themeColor="text1"/>
                <w:sz w:val="20"/>
                <w:szCs w:val="20"/>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其他结果</w:t>
            </w:r>
          </w:p>
        </w:tc>
        <w:tc>
          <w:tcPr>
            <w:tcW w:w="669" w:type="dxa"/>
            <w:vMerge w:val="restart"/>
            <w:tcBorders>
              <w:top w:val="single" w:color="auto" w:sz="4" w:space="0"/>
              <w:left w:val="nil"/>
              <w:bottom w:val="single" w:color="auto" w:sz="4" w:space="0"/>
              <w:right w:val="single" w:color="auto" w:sz="4" w:space="0"/>
            </w:tcBorders>
            <w:vAlign w:val="center"/>
          </w:tcPr>
          <w:p>
            <w:pPr>
              <w:widowControl/>
              <w:spacing w:before="100" w:beforeAutospacing="1" w:after="180" w:line="200" w:lineRule="exact"/>
              <w:rPr>
                <w:rFonts w:ascii="Calibri" w:hAnsi="Calibri" w:eastAsia="宋体" w:cs="Times New Roman"/>
                <w:color w:val="000000" w:themeColor="text1"/>
                <w:sz w:val="20"/>
                <w:szCs w:val="20"/>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尚未审结</w:t>
            </w:r>
          </w:p>
        </w:tc>
        <w:tc>
          <w:tcPr>
            <w:tcW w:w="424" w:type="dxa"/>
            <w:vMerge w:val="restart"/>
            <w:tcBorders>
              <w:top w:val="single" w:color="auto" w:sz="4" w:space="0"/>
              <w:left w:val="nil"/>
              <w:bottom w:val="single" w:color="auto" w:sz="4" w:space="0"/>
              <w:right w:val="single" w:color="auto" w:sz="4" w:space="0"/>
            </w:tcBorders>
            <w:vAlign w:val="center"/>
          </w:tcPr>
          <w:p>
            <w:pPr>
              <w:widowControl/>
              <w:spacing w:before="100" w:beforeAutospacing="1" w:after="180" w:line="200" w:lineRule="exact"/>
              <w:rPr>
                <w:rFonts w:ascii="Calibri" w:hAnsi="Calibri" w:eastAsia="宋体" w:cs="Times New Roman"/>
                <w:color w:val="000000" w:themeColor="text1"/>
                <w:sz w:val="20"/>
                <w:szCs w:val="20"/>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总计</w:t>
            </w:r>
          </w:p>
        </w:tc>
        <w:tc>
          <w:tcPr>
            <w:tcW w:w="2970" w:type="dxa"/>
            <w:gridSpan w:val="5"/>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000000" w:themeColor="text1"/>
                <w:kern w:val="0"/>
                <w:sz w:val="24"/>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未经复议直接起诉</w:t>
            </w:r>
          </w:p>
        </w:tc>
        <w:tc>
          <w:tcPr>
            <w:tcW w:w="3027" w:type="dxa"/>
            <w:gridSpan w:val="5"/>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000000" w:themeColor="text1"/>
                <w:kern w:val="0"/>
                <w:sz w:val="24"/>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14:textFill>
                  <w14:solidFill>
                    <w14:schemeClr w14:val="tx1"/>
                  </w14:solidFill>
                </w14:textFill>
              </w:rPr>
            </w:pPr>
          </w:p>
        </w:tc>
        <w:tc>
          <w:tcPr>
            <w:tcW w:w="62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14:textFill>
                  <w14:solidFill>
                    <w14:schemeClr w14:val="tx1"/>
                  </w14:solidFill>
                </w14:textFill>
              </w:rPr>
            </w:pPr>
          </w:p>
        </w:tc>
        <w:tc>
          <w:tcPr>
            <w:tcW w:w="681"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14:textFill>
                  <w14:solidFill>
                    <w14:schemeClr w14:val="tx1"/>
                  </w14:solidFill>
                </w14:textFill>
              </w:rPr>
            </w:pPr>
          </w:p>
        </w:tc>
        <w:tc>
          <w:tcPr>
            <w:tcW w:w="669"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14:textFill>
                  <w14:solidFill>
                    <w14:schemeClr w14:val="tx1"/>
                  </w14:solidFill>
                </w14:textFill>
              </w:rPr>
            </w:pPr>
          </w:p>
        </w:tc>
        <w:tc>
          <w:tcPr>
            <w:tcW w:w="424"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14:textFill>
                  <w14:solidFill>
                    <w14:schemeClr w14:val="tx1"/>
                  </w14:solidFill>
                </w14:textFill>
              </w:rPr>
            </w:pPr>
          </w:p>
        </w:tc>
        <w:tc>
          <w:tcPr>
            <w:tcW w:w="649" w:type="dxa"/>
            <w:tcBorders>
              <w:top w:val="single" w:color="auto" w:sz="4" w:space="0"/>
              <w:left w:val="nil"/>
              <w:bottom w:val="single" w:color="auto" w:sz="4" w:space="0"/>
              <w:right w:val="single" w:color="auto" w:sz="4" w:space="0"/>
            </w:tcBorders>
            <w:vAlign w:val="bottom"/>
          </w:tcPr>
          <w:p>
            <w:pPr>
              <w:widowControl/>
              <w:spacing w:before="100" w:beforeAutospacing="1" w:after="180" w:line="200" w:lineRule="exact"/>
              <w:rPr>
                <w:rFonts w:ascii="Calibri" w:hAnsi="Calibri" w:eastAsia="宋体" w:cs="Times New Roman"/>
                <w:color w:val="000000" w:themeColor="text1"/>
                <w:sz w:val="20"/>
                <w:szCs w:val="20"/>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结果维持</w:t>
            </w:r>
          </w:p>
        </w:tc>
        <w:tc>
          <w:tcPr>
            <w:tcW w:w="623" w:type="dxa"/>
            <w:tcBorders>
              <w:top w:val="single" w:color="auto" w:sz="4" w:space="0"/>
              <w:left w:val="nil"/>
              <w:bottom w:val="single" w:color="auto" w:sz="4" w:space="0"/>
              <w:right w:val="single" w:color="auto" w:sz="4" w:space="0"/>
            </w:tcBorders>
            <w:vAlign w:val="bottom"/>
          </w:tcPr>
          <w:p>
            <w:pPr>
              <w:widowControl/>
              <w:spacing w:before="100" w:beforeAutospacing="1" w:after="180" w:line="200" w:lineRule="exact"/>
              <w:rPr>
                <w:rFonts w:ascii="Calibri" w:hAnsi="Calibri" w:eastAsia="宋体" w:cs="Times New Roman"/>
                <w:color w:val="000000" w:themeColor="text1"/>
                <w:sz w:val="20"/>
                <w:szCs w:val="20"/>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结果纠正</w:t>
            </w:r>
          </w:p>
        </w:tc>
        <w:tc>
          <w:tcPr>
            <w:tcW w:w="681" w:type="dxa"/>
            <w:tcBorders>
              <w:top w:val="single" w:color="auto" w:sz="4" w:space="0"/>
              <w:left w:val="nil"/>
              <w:bottom w:val="single" w:color="auto" w:sz="4" w:space="0"/>
              <w:right w:val="single" w:color="auto" w:sz="4" w:space="0"/>
            </w:tcBorders>
            <w:vAlign w:val="bottom"/>
          </w:tcPr>
          <w:p>
            <w:pPr>
              <w:widowControl/>
              <w:spacing w:before="100" w:beforeAutospacing="1" w:after="180" w:line="200" w:lineRule="exact"/>
              <w:rPr>
                <w:rFonts w:ascii="Calibri" w:hAnsi="Calibri" w:eastAsia="宋体" w:cs="Times New Roman"/>
                <w:color w:val="000000" w:themeColor="text1"/>
                <w:sz w:val="20"/>
                <w:szCs w:val="20"/>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其他结果</w:t>
            </w:r>
          </w:p>
        </w:tc>
        <w:tc>
          <w:tcPr>
            <w:tcW w:w="704" w:type="dxa"/>
            <w:tcBorders>
              <w:top w:val="single" w:color="auto" w:sz="4" w:space="0"/>
              <w:left w:val="nil"/>
              <w:bottom w:val="single" w:color="auto" w:sz="4" w:space="0"/>
              <w:right w:val="single" w:color="auto" w:sz="4" w:space="0"/>
            </w:tcBorders>
            <w:vAlign w:val="bottom"/>
          </w:tcPr>
          <w:p>
            <w:pPr>
              <w:widowControl/>
              <w:spacing w:before="100" w:beforeAutospacing="1" w:after="180" w:line="200" w:lineRule="exact"/>
              <w:rPr>
                <w:rFonts w:ascii="Calibri" w:hAnsi="Calibri" w:eastAsia="宋体" w:cs="Times New Roman"/>
                <w:color w:val="000000" w:themeColor="text1"/>
                <w:sz w:val="20"/>
                <w:szCs w:val="20"/>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尚未审结</w:t>
            </w:r>
          </w:p>
        </w:tc>
        <w:tc>
          <w:tcPr>
            <w:tcW w:w="313" w:type="dxa"/>
            <w:tcBorders>
              <w:top w:val="single" w:color="auto" w:sz="4" w:space="0"/>
              <w:left w:val="nil"/>
              <w:bottom w:val="single" w:color="auto" w:sz="4" w:space="0"/>
              <w:right w:val="single" w:color="auto" w:sz="4" w:space="0"/>
            </w:tcBorders>
            <w:vAlign w:val="bottom"/>
          </w:tcPr>
          <w:p>
            <w:pPr>
              <w:widowControl/>
              <w:spacing w:before="100" w:beforeAutospacing="1" w:after="180" w:line="200" w:lineRule="exact"/>
              <w:rPr>
                <w:rFonts w:ascii="Calibri" w:hAnsi="Calibri" w:eastAsia="宋体" w:cs="Times New Roman"/>
                <w:color w:val="000000" w:themeColor="text1"/>
                <w:sz w:val="20"/>
                <w:szCs w:val="20"/>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总计</w:t>
            </w:r>
          </w:p>
        </w:tc>
        <w:tc>
          <w:tcPr>
            <w:tcW w:w="760" w:type="dxa"/>
            <w:tcBorders>
              <w:top w:val="single" w:color="auto" w:sz="4" w:space="0"/>
              <w:left w:val="nil"/>
              <w:bottom w:val="single" w:color="auto" w:sz="4" w:space="0"/>
              <w:right w:val="single" w:color="auto" w:sz="4" w:space="0"/>
            </w:tcBorders>
            <w:vAlign w:val="bottom"/>
          </w:tcPr>
          <w:p>
            <w:pPr>
              <w:widowControl/>
              <w:spacing w:before="100" w:beforeAutospacing="1" w:after="180" w:line="200" w:lineRule="exact"/>
              <w:rPr>
                <w:rFonts w:ascii="Calibri" w:hAnsi="Calibri" w:eastAsia="宋体" w:cs="Times New Roman"/>
                <w:color w:val="000000" w:themeColor="text1"/>
                <w:sz w:val="20"/>
                <w:szCs w:val="20"/>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结果维持</w:t>
            </w:r>
          </w:p>
        </w:tc>
        <w:tc>
          <w:tcPr>
            <w:tcW w:w="657" w:type="dxa"/>
            <w:tcBorders>
              <w:top w:val="single" w:color="auto" w:sz="4" w:space="0"/>
              <w:left w:val="nil"/>
              <w:bottom w:val="single" w:color="auto" w:sz="4" w:space="0"/>
              <w:right w:val="single" w:color="auto" w:sz="4" w:space="0"/>
            </w:tcBorders>
            <w:vAlign w:val="bottom"/>
          </w:tcPr>
          <w:p>
            <w:pPr>
              <w:widowControl/>
              <w:spacing w:before="100" w:beforeAutospacing="1" w:after="180" w:line="200" w:lineRule="exact"/>
              <w:rPr>
                <w:rFonts w:ascii="Calibri" w:hAnsi="Calibri" w:eastAsia="宋体" w:cs="Times New Roman"/>
                <w:color w:val="000000" w:themeColor="text1"/>
                <w:sz w:val="20"/>
                <w:szCs w:val="20"/>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结果纠正</w:t>
            </w:r>
          </w:p>
        </w:tc>
        <w:tc>
          <w:tcPr>
            <w:tcW w:w="658" w:type="dxa"/>
            <w:tcBorders>
              <w:top w:val="single" w:color="auto" w:sz="4" w:space="0"/>
              <w:left w:val="nil"/>
              <w:bottom w:val="single" w:color="auto" w:sz="4" w:space="0"/>
              <w:right w:val="single" w:color="auto" w:sz="4" w:space="0"/>
            </w:tcBorders>
            <w:vAlign w:val="bottom"/>
          </w:tcPr>
          <w:p>
            <w:pPr>
              <w:widowControl/>
              <w:spacing w:before="100" w:beforeAutospacing="1" w:after="180" w:line="200" w:lineRule="exact"/>
              <w:rPr>
                <w:rFonts w:ascii="Calibri" w:hAnsi="Calibri" w:eastAsia="宋体" w:cs="Times New Roman"/>
                <w:color w:val="000000" w:themeColor="text1"/>
                <w:sz w:val="20"/>
                <w:szCs w:val="20"/>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其他结果</w:t>
            </w:r>
          </w:p>
        </w:tc>
        <w:tc>
          <w:tcPr>
            <w:tcW w:w="658" w:type="dxa"/>
            <w:tcBorders>
              <w:top w:val="single" w:color="auto" w:sz="4" w:space="0"/>
              <w:left w:val="nil"/>
              <w:bottom w:val="single" w:color="auto" w:sz="4" w:space="0"/>
              <w:right w:val="single" w:color="auto" w:sz="4" w:space="0"/>
            </w:tcBorders>
            <w:vAlign w:val="bottom"/>
          </w:tcPr>
          <w:p>
            <w:pPr>
              <w:widowControl/>
              <w:spacing w:before="100" w:beforeAutospacing="1" w:after="180" w:line="200" w:lineRule="exact"/>
              <w:rPr>
                <w:rFonts w:ascii="Calibri" w:hAnsi="Calibri" w:eastAsia="宋体" w:cs="Times New Roman"/>
                <w:color w:val="000000" w:themeColor="text1"/>
                <w:sz w:val="20"/>
                <w:szCs w:val="20"/>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尚未审结</w:t>
            </w:r>
          </w:p>
        </w:tc>
        <w:tc>
          <w:tcPr>
            <w:tcW w:w="294" w:type="dxa"/>
            <w:tcBorders>
              <w:top w:val="single" w:color="auto" w:sz="4" w:space="0"/>
              <w:left w:val="nil"/>
              <w:bottom w:val="single" w:color="auto" w:sz="4" w:space="0"/>
              <w:right w:val="single" w:color="auto" w:sz="4" w:space="0"/>
            </w:tcBorders>
            <w:vAlign w:val="bottom"/>
          </w:tcPr>
          <w:p>
            <w:pPr>
              <w:widowControl/>
              <w:spacing w:before="100" w:beforeAutospacing="1" w:after="180" w:line="200" w:lineRule="exact"/>
              <w:rPr>
                <w:rFonts w:ascii="Calibri" w:hAnsi="Calibri" w:eastAsia="宋体" w:cs="Times New Roman"/>
                <w:color w:val="000000" w:themeColor="text1"/>
                <w:sz w:val="20"/>
                <w:szCs w:val="20"/>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000000" w:themeColor="text1"/>
                <w:kern w:val="0"/>
                <w:sz w:val="24"/>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0</w:t>
            </w:r>
          </w:p>
        </w:tc>
        <w:tc>
          <w:tcPr>
            <w:tcW w:w="623"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0</w:t>
            </w:r>
          </w:p>
        </w:tc>
        <w:tc>
          <w:tcPr>
            <w:tcW w:w="681"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0</w:t>
            </w:r>
          </w:p>
        </w:tc>
        <w:tc>
          <w:tcPr>
            <w:tcW w:w="66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0</w:t>
            </w:r>
          </w:p>
        </w:tc>
        <w:tc>
          <w:tcPr>
            <w:tcW w:w="424"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0</w:t>
            </w:r>
          </w:p>
        </w:tc>
        <w:tc>
          <w:tcPr>
            <w:tcW w:w="64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0</w:t>
            </w:r>
          </w:p>
        </w:tc>
        <w:tc>
          <w:tcPr>
            <w:tcW w:w="623"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0</w:t>
            </w:r>
          </w:p>
        </w:tc>
        <w:tc>
          <w:tcPr>
            <w:tcW w:w="681"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0</w:t>
            </w:r>
          </w:p>
        </w:tc>
        <w:tc>
          <w:tcPr>
            <w:tcW w:w="704"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0</w:t>
            </w:r>
          </w:p>
        </w:tc>
        <w:tc>
          <w:tcPr>
            <w:tcW w:w="313"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0</w:t>
            </w:r>
          </w:p>
        </w:tc>
        <w:tc>
          <w:tcPr>
            <w:tcW w:w="760"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0</w:t>
            </w:r>
          </w:p>
        </w:tc>
        <w:tc>
          <w:tcPr>
            <w:tcW w:w="65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0</w:t>
            </w:r>
          </w:p>
        </w:tc>
        <w:tc>
          <w:tcPr>
            <w:tcW w:w="658"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0</w:t>
            </w:r>
          </w:p>
        </w:tc>
        <w:tc>
          <w:tcPr>
            <w:tcW w:w="658"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0</w:t>
            </w:r>
          </w:p>
        </w:tc>
        <w:tc>
          <w:tcPr>
            <w:tcW w:w="294"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r>
    </w:tbl>
    <w:p>
      <w:pPr>
        <w:pStyle w:val="3"/>
        <w:widowControl/>
        <w:spacing w:beforeAutospacing="0" w:afterAutospacing="0" w:line="560" w:lineRule="exact"/>
        <w:ind w:firstLine="42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五、存在的主要问题及改进情况</w:t>
      </w:r>
    </w:p>
    <w:p>
      <w:pPr>
        <w:pStyle w:val="3"/>
        <w:widowControl/>
        <w:spacing w:beforeAutospacing="0" w:afterAutospacing="0" w:line="560" w:lineRule="exact"/>
        <w:ind w:firstLine="42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（一）存在问题</w:t>
      </w:r>
    </w:p>
    <w:p>
      <w:pPr>
        <w:pStyle w:val="3"/>
        <w:widowControl/>
        <w:spacing w:beforeAutospacing="0" w:afterAutospacing="0" w:line="560" w:lineRule="exact"/>
        <w:ind w:firstLine="42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一是各科室、单位对政务公开工作认识不够，对信息的提供不够主动、积极。</w:t>
      </w:r>
    </w:p>
    <w:p>
      <w:pPr>
        <w:pStyle w:val="3"/>
        <w:widowControl/>
        <w:spacing w:beforeAutospacing="0" w:afterAutospacing="0" w:line="560" w:lineRule="exact"/>
        <w:ind w:firstLine="42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二是信息的质量不够高。</w:t>
      </w:r>
    </w:p>
    <w:p>
      <w:pPr>
        <w:pStyle w:val="3"/>
        <w:widowControl/>
        <w:spacing w:beforeAutospacing="0" w:afterAutospacing="0" w:line="560" w:lineRule="exact"/>
        <w:ind w:firstLine="42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（二）改进措施</w:t>
      </w:r>
    </w:p>
    <w:p>
      <w:pPr>
        <w:pStyle w:val="3"/>
        <w:widowControl/>
        <w:spacing w:beforeAutospacing="0" w:afterAutospacing="0"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是继续加强领导，强化认识。全面提高信息公开涉及单位对互联网环境下做好政务公开工作的重大意义，进一步转变理念，提高认识，将政务公开工作纳入重要议事日程，形成“主要领导亲自抓、分管领导具体抓、专门科室抓落实”的工作体系，确保工作常态化。</w:t>
      </w:r>
    </w:p>
    <w:p>
      <w:pPr>
        <w:pStyle w:val="3"/>
        <w:widowControl/>
        <w:spacing w:beforeAutospacing="0" w:afterAutospacing="0"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二是吃透相关政策，全面推进政务公开工作。认真学习中办、国办《关于全面推进政务公开工作的意见》，进一步理顺工作机制，全面推进决策公开、执行公开、管理公开、服务公开和结果公开。</w:t>
      </w:r>
    </w:p>
    <w:p>
      <w:pPr>
        <w:pStyle w:val="3"/>
        <w:widowControl/>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三是加大考核力度。政务公开负责人定期检查栏目是否更新到位，列出存在的问题，提出整改措施，及时传达至具体科室单位及时整改。</w:t>
      </w:r>
    </w:p>
    <w:p>
      <w:pPr>
        <w:pStyle w:val="3"/>
        <w:widowControl/>
        <w:spacing w:beforeAutospacing="0" w:afterAutospacing="0" w:line="560" w:lineRule="exact"/>
        <w:ind w:firstLine="42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六、其他需要报告的事项</w:t>
      </w:r>
    </w:p>
    <w:p>
      <w:pPr>
        <w:pStyle w:val="3"/>
        <w:widowControl/>
        <w:spacing w:beforeAutospacing="0" w:afterAutospacing="0" w:line="560" w:lineRule="exact"/>
        <w:ind w:firstLine="42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无。</w:t>
      </w:r>
    </w:p>
    <w:p>
      <w:pPr>
        <w:pStyle w:val="3"/>
        <w:widowControl/>
        <w:spacing w:beforeAutospacing="0" w:afterAutospacing="0" w:line="560" w:lineRule="exact"/>
        <w:ind w:firstLine="42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2380C"/>
    <w:multiLevelType w:val="singleLevel"/>
    <w:tmpl w:val="1DE2380C"/>
    <w:lvl w:ilvl="0" w:tentative="0">
      <w:start w:val="2"/>
      <w:numFmt w:val="chineseCounting"/>
      <w:suff w:val="nothing"/>
      <w:lvlText w:val="%1、"/>
      <w:lvlJc w:val="left"/>
      <w:rPr>
        <w:rFonts w:hint="eastAsia"/>
      </w:rPr>
    </w:lvl>
  </w:abstractNum>
  <w:abstractNum w:abstractNumId="1">
    <w:nsid w:val="4109EA57"/>
    <w:multiLevelType w:val="singleLevel"/>
    <w:tmpl w:val="4109EA57"/>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313220"/>
    <w:rsid w:val="005E56A1"/>
    <w:rsid w:val="018A32C2"/>
    <w:rsid w:val="14B3660F"/>
    <w:rsid w:val="1A83160B"/>
    <w:rsid w:val="1AD37DAB"/>
    <w:rsid w:val="24FB1283"/>
    <w:rsid w:val="33BD6939"/>
    <w:rsid w:val="410B0BCC"/>
    <w:rsid w:val="4849762C"/>
    <w:rsid w:val="6E8A2FB8"/>
    <w:rsid w:val="70CC798C"/>
    <w:rsid w:val="745B28C7"/>
    <w:rsid w:val="7EE92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Hyperlink"/>
    <w:basedOn w:val="5"/>
    <w:qFormat/>
    <w:uiPriority w:val="0"/>
    <w:rPr>
      <w:color w:val="0000FF"/>
      <w:u w:val="single"/>
    </w:rPr>
  </w:style>
  <w:style w:type="paragraph" w:customStyle="1" w:styleId="7">
    <w:name w:val="样式1"/>
    <w:basedOn w:val="1"/>
    <w:qFormat/>
    <w:uiPriority w:val="0"/>
    <w:rPr>
      <w:rFonts w:ascii="Calibri" w:hAnsi="Calibri" w:eastAsia="仿宋_GB2312" w:cs="Times New Roman"/>
      <w:sz w:val="32"/>
    </w:rPr>
  </w:style>
  <w:style w:type="paragraph" w:customStyle="1" w:styleId="8">
    <w:name w:val="样式2"/>
    <w:basedOn w:val="1"/>
    <w:qFormat/>
    <w:uiPriority w:val="0"/>
    <w:rPr>
      <w:rFonts w:ascii="Calibri" w:hAnsi="Calibri" w:eastAsia="宋体" w:cs="Times New Roman"/>
    </w:rPr>
  </w:style>
  <w:style w:type="character" w:customStyle="1" w:styleId="9">
    <w:name w:val="批注框文本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chart" Target="charts/chart3.xml"/><Relationship Id="rId6" Type="http://schemas.openxmlformats.org/officeDocument/2006/relationships/image" Target="media/image1.png"/><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multiLvlStrRef>
              <c:f>[工作簿1]Sheet1!$A$1:$E$2</c:f>
              <c:multiLvlStrCache>
                <c:ptCount val="5"/>
                <c:lvl>
                  <c:pt idx="0">
                    <c:v>工程招投标及中标</c:v>
                  </c:pt>
                  <c:pt idx="1">
                    <c:v>客运信息</c:v>
                  </c:pt>
                  <c:pt idx="2">
                    <c:v>事业单位注销登记</c:v>
                  </c:pt>
                  <c:pt idx="3">
                    <c:v>质量信用考核</c:v>
                  </c:pt>
                  <c:pt idx="4">
                    <c:v>安全提示</c:v>
                  </c:pt>
                </c:lvl>
                <c:lvl>
                  <c:pt idx="0">
                    <c:v>县交通运输局2020年公示公告公开情况</c:v>
                  </c:pt>
                </c:lvl>
              </c:multiLvlStrCache>
            </c:multiLvlStrRef>
          </c:cat>
          <c:val>
            <c:numRef>
              <c:f>[工作簿1]Sheet1!$A$3:$E$3</c:f>
              <c:numCache>
                <c:formatCode>General</c:formatCode>
                <c:ptCount val="5"/>
                <c:pt idx="0">
                  <c:v>17</c:v>
                </c:pt>
                <c:pt idx="1">
                  <c:v>4</c:v>
                </c:pt>
                <c:pt idx="2">
                  <c:v>2</c:v>
                </c:pt>
                <c:pt idx="3">
                  <c:v>1</c:v>
                </c:pt>
                <c:pt idx="4">
                  <c:v>1</c:v>
                </c:pt>
              </c:numCache>
            </c:numRef>
          </c:val>
        </c:ser>
        <c:dLbls>
          <c:showLegendKey val="0"/>
          <c:showVal val="1"/>
          <c:showCatName val="0"/>
          <c:showSerName val="0"/>
          <c:showPercent val="0"/>
          <c:showBubbleSize val="0"/>
        </c:dLbls>
        <c:gapWidth val="219"/>
        <c:overlap val="-27"/>
        <c:axId val="156893568"/>
        <c:axId val="162215424"/>
      </c:barChart>
      <c:catAx>
        <c:axId val="15689356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2215424"/>
        <c:crosses val="autoZero"/>
        <c:auto val="1"/>
        <c:lblAlgn val="ctr"/>
        <c:lblOffset val="100"/>
        <c:noMultiLvlLbl val="0"/>
      </c:catAx>
      <c:valAx>
        <c:axId val="16221542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893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multiLvlStrRef>
              <c:f>[工作簿1]Sheet1!$A$1:$D$2</c:f>
              <c:multiLvlStrCache>
                <c:ptCount val="4"/>
                <c:lvl>
                  <c:pt idx="0">
                    <c:v>工程招投标及中标</c:v>
                  </c:pt>
                  <c:pt idx="1">
                    <c:v>客运信息</c:v>
                  </c:pt>
                  <c:pt idx="2">
                    <c:v>质量信用考核</c:v>
                  </c:pt>
                  <c:pt idx="3">
                    <c:v>行业考试信息</c:v>
                  </c:pt>
                </c:lvl>
                <c:lvl>
                  <c:pt idx="0">
                    <c:v>县交通运输局2020年公示公告公开情况</c:v>
                  </c:pt>
                </c:lvl>
              </c:multiLvlStrCache>
            </c:multiLvlStrRef>
          </c:cat>
          <c:val>
            <c:numRef>
              <c:f>[工作簿1]Sheet1!$A$3:$D$3</c:f>
              <c:numCache>
                <c:formatCode>General</c:formatCode>
                <c:ptCount val="4"/>
                <c:pt idx="0">
                  <c:v>22</c:v>
                </c:pt>
                <c:pt idx="1">
                  <c:v>5</c:v>
                </c:pt>
                <c:pt idx="2">
                  <c:v>1</c:v>
                </c:pt>
                <c:pt idx="3">
                  <c:v>1</c:v>
                </c:pt>
              </c:numCache>
            </c:numRef>
          </c:val>
        </c:ser>
        <c:dLbls>
          <c:showLegendKey val="0"/>
          <c:showVal val="1"/>
          <c:showCatName val="0"/>
          <c:showSerName val="0"/>
          <c:showPercent val="0"/>
          <c:showBubbleSize val="0"/>
        </c:dLbls>
        <c:gapWidth val="219"/>
        <c:overlap val="-27"/>
        <c:axId val="175425408"/>
        <c:axId val="175430656"/>
      </c:barChart>
      <c:catAx>
        <c:axId val="17542540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5430656"/>
        <c:crosses val="autoZero"/>
        <c:auto val="1"/>
        <c:lblAlgn val="ctr"/>
        <c:lblOffset val="100"/>
        <c:noMultiLvlLbl val="0"/>
      </c:catAx>
      <c:valAx>
        <c:axId val="1754306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5425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2020</a:t>
            </a:r>
            <a:r>
              <a:rPr lang="zh-CN" altLang="en-US"/>
              <a:t>年县交通运输局支出预算</a:t>
            </a:r>
            <a:endParaRPr lang="zh-CN" altLang="en-US"/>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multiLvlStrRef>
              <c:f>[工作簿1]Sheet1!$A$11:$D$12</c:f>
              <c:multiLvlStrCache>
                <c:ptCount val="4"/>
                <c:lvl>
                  <c:pt idx="0">
                    <c:v>社会保障和就业支出</c:v>
                  </c:pt>
                  <c:pt idx="1">
                    <c:v>卫生健康支出</c:v>
                  </c:pt>
                  <c:pt idx="2">
                    <c:v>交通运输支出</c:v>
                  </c:pt>
                  <c:pt idx="3">
                    <c:v>住房保障支出</c:v>
                  </c:pt>
                </c:lvl>
                <c:lvl/>
              </c:multiLvlStrCache>
            </c:multiLvlStrRef>
          </c:cat>
          <c:val>
            <c:numRef>
              <c:f>[工作簿1]Sheet1!$A$13:$D$13</c:f>
              <c:numCache>
                <c:formatCode>General</c:formatCode>
                <c:ptCount val="4"/>
                <c:pt idx="0">
                  <c:v>72.79</c:v>
                </c:pt>
                <c:pt idx="1">
                  <c:v>38.3</c:v>
                </c:pt>
                <c:pt idx="2">
                  <c:v>664.84</c:v>
                </c:pt>
                <c:pt idx="3">
                  <c:v>59.87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Pages>
  <Words>504</Words>
  <Characters>2876</Characters>
  <Lines>23</Lines>
  <Paragraphs>6</Paragraphs>
  <TotalTime>50</TotalTime>
  <ScaleCrop>false</ScaleCrop>
  <LinksUpToDate>false</LinksUpToDate>
  <CharactersWithSpaces>3374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韩景明</dc:creator>
  <cp:lastModifiedBy>韩景明</cp:lastModifiedBy>
  <dcterms:modified xsi:type="dcterms:W3CDTF">2021-02-02T07:47:00Z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