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高青县交通运输局2019年政府信息公开工作年度报告</w:t>
      </w:r>
    </w:p>
    <w:p>
      <w:pPr>
        <w:pStyle w:val="5"/>
        <w:widowControl/>
        <w:spacing w:beforeAutospacing="0" w:afterAutospacing="0" w:line="560" w:lineRule="exact"/>
        <w:ind w:firstLine="420"/>
        <w:rPr>
          <w:color w:val="000000" w:themeColor="text1"/>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本报告根据《中华人民共和国政府信息公开条例》（国务院令第711号，以下简称《条例》）要求，</w:t>
      </w:r>
      <w:r>
        <w:rPr>
          <w:rFonts w:hint="eastAsia" w:ascii="仿宋_GB2312" w:hAnsi="仿宋_GB2312" w:eastAsia="仿宋_GB2312" w:cs="仿宋_GB2312"/>
          <w:color w:val="000000" w:themeColor="text1"/>
          <w:sz w:val="32"/>
          <w:szCs w:val="32"/>
          <w14:textFill>
            <w14:solidFill>
              <w14:schemeClr w14:val="tx1"/>
            </w14:solidFill>
          </w14:textFill>
        </w:rPr>
        <w:t>由高青县交通运输局办公室综合本单位政府信息公开工作情况编制。</w:t>
      </w:r>
    </w:p>
    <w:p>
      <w:pPr>
        <w:pStyle w:val="5"/>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报告全文由总体情况、主动公开政府信息情况、收到和处理政府信息公开申请情况、政府信息公开行政复议行政诉讼情况、存在的主要问题及改进情况、其他需要报告的事项6个部分组成。</w:t>
      </w:r>
    </w:p>
    <w:p>
      <w:pPr>
        <w:pStyle w:val="5"/>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告中所列数据统计期限自2019年1月1日始，至2019年12月31日止。报告电子版可在高青县人民政府门户网站（www.gaoqing.gov.cn）查阅和下载。如对报告内容有疑问，请与高青县交通运输局联系（地址：高青县黄河路106号；邮编：256300；电话：0533-6961548；传真：0533-6961548） </w:t>
      </w:r>
    </w:p>
    <w:p>
      <w:pPr>
        <w:pStyle w:val="5"/>
        <w:widowControl/>
        <w:spacing w:beforeAutospacing="0" w:afterAutospacing="0" w:line="560" w:lineRule="exact"/>
        <w:ind w:firstLine="640" w:firstLineChars="200"/>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一、总体情况</w:t>
      </w:r>
    </w:p>
    <w:p>
      <w:pPr>
        <w:pStyle w:val="5"/>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2019年，高青县交通运输局深入贯彻新修订的《中华人民共和国政府信息公开条例》，认真落实《国务院办公厅关于印发2019年政务公开工作要点的通知》（国办发〔2019〕14号）、《山东省人民政府办公厅关于印发2019年山东省政务公开工作要点的通知》（鲁政办发〔2019〕15号）和《淄博市人民政府办公室关于印发2019年淄博市政务公开工作方案的通知》（淄政办发〔2019〕5号）部署的各项任务，持续做好信息发布、解读回应、政民互动、平台建设，着力推动行政权力全过程公开、公共服务全流程公开、社会关切全方位回应，切实提升政务公开质量，为全年经济社会发展创造更加开放透明的政务环境。</w:t>
      </w:r>
    </w:p>
    <w:p>
      <w:pPr>
        <w:pStyle w:val="5"/>
        <w:widowControl/>
        <w:spacing w:beforeAutospacing="0" w:afterAutospacing="0" w:line="560" w:lineRule="exact"/>
        <w:ind w:firstLine="643" w:firstLineChars="200"/>
        <w:jc w:val="both"/>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（一）体制机制建设</w:t>
      </w:r>
    </w:p>
    <w:p>
      <w:pPr>
        <w:pStyle w:val="5"/>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强化部署推动。县交通运输局将深化政务公开、大力营造风清气正的交通政务生态作为一项重要工作，统一部署，统筹推进；县交通运输局党组会议将政务信息公开作为经常性议题进行研究部署；继续明确由党组成员分管政务公开工作，并向社会公开。</w:t>
      </w:r>
    </w:p>
    <w:p>
      <w:pPr>
        <w:pStyle w:val="5"/>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二是抓好贯彻落实。县交通运输局及时对照政务信息公开考核发现的问题进行整改，列出问题清单，明确责任时限和责任人，抓好整改落实；做好政务网站信息公开维护工作，及时发布业务相关信息。</w:t>
      </w:r>
    </w:p>
    <w:p>
      <w:pPr>
        <w:pStyle w:val="5"/>
        <w:widowControl/>
        <w:spacing w:beforeAutospacing="0" w:afterAutospacing="0" w:line="560" w:lineRule="exact"/>
        <w:ind w:firstLine="643" w:firstLineChars="200"/>
        <w:jc w:val="both"/>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（二）主动公开</w:t>
      </w:r>
    </w:p>
    <w:p>
      <w:pPr>
        <w:pStyle w:val="5"/>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1.主动公开建议提案</w:t>
      </w:r>
      <w:r>
        <w:rPr>
          <w:rFonts w:hint="eastAsia" w:ascii="仿宋_GB2312" w:hAnsi="仿宋_GB2312" w:eastAsia="仿宋_GB2312" w:cs="仿宋_GB2312"/>
          <w:color w:val="000000" w:themeColor="text1"/>
          <w:sz w:val="32"/>
          <w:szCs w:val="32"/>
          <w14:textFill>
            <w14:solidFill>
              <w14:schemeClr w14:val="tx1"/>
            </w14:solidFill>
          </w14:textFill>
        </w:rPr>
        <w:t>办理结果</w:t>
      </w:r>
      <w:r>
        <w:rPr>
          <w:rFonts w:hint="eastAsia" w:ascii="仿宋_GB2312" w:hAnsi="仿宋_GB2312" w:eastAsia="仿宋_GB2312" w:cs="仿宋_GB2312"/>
          <w:color w:val="000000" w:themeColor="text1"/>
          <w:sz w:val="32"/>
          <w:szCs w:val="32"/>
          <w14:textFill>
            <w14:solidFill>
              <w14:schemeClr w14:val="tx1"/>
            </w14:solidFill>
          </w14:textFill>
        </w:rPr>
        <w:t>情况。按照《高青县人民政府办公室关于做好2019年度政府系统建议提案办理工作的通知》（高政办字〔2019〕14号）要求，在县政府网站“建议提案办理”栏目主动公开人大代表建议和政协委员提案办理结果。2019年主动公开县交通运输局承办的1件县人大代表建议、1件县政协委员提案的整体办理情况，对涉及公共利益、公众权益、社会关切及需要社会广泛知晓的建议和提案办理复文全文予以公开。</w:t>
      </w:r>
    </w:p>
    <w:p>
      <w:pPr>
        <w:pStyle w:val="5"/>
        <w:widowControl/>
        <w:spacing w:beforeAutospacing="0" w:afterAutospacing="0"/>
        <w:jc w:val="center"/>
        <w:rPr>
          <w:rFonts w:ascii="仿宋_GB2312" w:hAnsi="仿宋_GB2312" w:eastAsia="仿宋_GB2312" w:cs="仿宋_GB2312"/>
          <w:color w:val="000000" w:themeColor="text1"/>
          <w:sz w:val="32"/>
          <w:szCs w:val="32"/>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5"/>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2.公示公告情况。2019年通过高青政务网发布通知公告26条，其中工程招投标及中标公告18条，客运信息公告4条，事业单位注销登记公告2条，质量信用考核公告1条，安全提示公告1条。</w:t>
      </w:r>
    </w:p>
    <w:p>
      <w:pPr>
        <w:pStyle w:val="5"/>
        <w:widowControl/>
        <w:spacing w:beforeAutospacing="0" w:afterAutospacing="0"/>
        <w:jc w:val="center"/>
        <w:rPr>
          <w:rFonts w:ascii="仿宋_GB2312" w:hAnsi="仿宋_GB2312" w:eastAsia="仿宋_GB2312" w:cs="仿宋_GB2312"/>
          <w:color w:val="000000" w:themeColor="text1"/>
          <w:sz w:val="32"/>
          <w:szCs w:val="32"/>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5"/>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3.主动公开业务计划及开展情况。2019年高青县交通运输局主动公开“双随机、一公开”开展情况，公开对运输、汽修等企业的抽查计划、抽查清单及结果。</w:t>
      </w:r>
    </w:p>
    <w:p>
      <w:pPr>
        <w:pStyle w:val="5"/>
        <w:widowControl/>
        <w:spacing w:beforeAutospacing="0" w:afterAutospacing="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drawing>
          <wp:inline distT="0" distB="0" distL="114300" distR="114300">
            <wp:extent cx="4419600" cy="2457450"/>
            <wp:effectExtent l="0" t="0" r="0" b="0"/>
            <wp:docPr id="6" name="图片 6" descr="6008e88cb0bc1ed139c28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008e88cb0bc1ed139c28370"/>
                    <pic:cNvPicPr>
                      <a:picLocks noChangeAspect="1"/>
                    </pic:cNvPicPr>
                  </pic:nvPicPr>
                  <pic:blipFill>
                    <a:blip r:embed="rId6"/>
                    <a:stretch>
                      <a:fillRect/>
                    </a:stretch>
                  </pic:blipFill>
                  <pic:spPr>
                    <a:xfrm>
                      <a:off x="0" y="0"/>
                      <a:ext cx="4419600" cy="2457450"/>
                    </a:xfrm>
                    <a:prstGeom prst="rect">
                      <a:avLst/>
                    </a:prstGeom>
                  </pic:spPr>
                </pic:pic>
              </a:graphicData>
            </a:graphic>
          </wp:inline>
        </w:drawing>
      </w:r>
    </w:p>
    <w:p>
      <w:pPr>
        <w:pStyle w:val="5"/>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4.主动公开财政信息。2019年高青县交通运输局主动公开上年度财政决算详情、下一年度年度财政预算情况，其中主要公开预算财政支出的主要板块，以及我局“三公”开支情况。</w:t>
      </w:r>
    </w:p>
    <w:p>
      <w:pPr>
        <w:pStyle w:val="5"/>
        <w:widowControl/>
        <w:spacing w:beforeAutospacing="0" w:afterAutospacing="0"/>
        <w:jc w:val="center"/>
        <w:rPr>
          <w:rFonts w:ascii="仿宋_GB2312" w:hAnsi="仿宋_GB2312" w:eastAsia="仿宋_GB2312" w:cs="仿宋_GB2312"/>
          <w:color w:val="000000" w:themeColor="text1"/>
          <w:sz w:val="32"/>
          <w:szCs w:val="32"/>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5"/>
        <w:widowControl/>
        <w:spacing w:beforeAutospacing="0" w:afterAutospacing="0" w:line="560" w:lineRule="exact"/>
        <w:ind w:firstLine="643" w:firstLineChars="200"/>
        <w:jc w:val="both"/>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（三）依申请公开</w:t>
      </w:r>
    </w:p>
    <w:p>
      <w:pPr>
        <w:pStyle w:val="5"/>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1.收到和处理政府信息公开申请情况</w:t>
      </w:r>
    </w:p>
    <w:p>
      <w:pPr>
        <w:pStyle w:val="5"/>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2019年，县交通运输局共收到政府信息公开申请0件，2018年度结转政府信息公开申请0件。</w:t>
      </w:r>
    </w:p>
    <w:p>
      <w:pPr>
        <w:pStyle w:val="5"/>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2.收费及减免情况</w:t>
      </w:r>
    </w:p>
    <w:p>
      <w:pPr>
        <w:pStyle w:val="5"/>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本年度，县交通运输局在政府信息公开申请办理过程中，未收取任何费用。</w:t>
      </w:r>
    </w:p>
    <w:p>
      <w:pPr>
        <w:pStyle w:val="5"/>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3.政府信息公开行政复议、行政诉讼情况</w:t>
      </w:r>
    </w:p>
    <w:p>
      <w:pPr>
        <w:pStyle w:val="5"/>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2019年，县交通运输局因政府信息公开被申请行政复议0件、被提起行政诉讼0件。</w:t>
      </w:r>
    </w:p>
    <w:p>
      <w:pPr>
        <w:pStyle w:val="5"/>
        <w:widowControl/>
        <w:spacing w:beforeAutospacing="0" w:afterAutospacing="0" w:line="560" w:lineRule="exact"/>
        <w:ind w:firstLine="643" w:firstLineChars="200"/>
        <w:jc w:val="both"/>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（四）政府信息管理</w:t>
      </w:r>
    </w:p>
    <w:p>
      <w:pPr>
        <w:pStyle w:val="5"/>
        <w:widowControl/>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w:t>
      </w:r>
      <w:r>
        <w:rPr>
          <w:rFonts w:hint="eastAsia" w:ascii="仿宋_GB2312" w:hAnsi="仿宋_GB2312" w:eastAsia="仿宋_GB2312" w:cs="仿宋_GB2312"/>
          <w:color w:val="000000" w:themeColor="text1"/>
          <w:sz w:val="32"/>
          <w:szCs w:val="32"/>
          <w:lang w:eastAsia="zh-CN"/>
          <w14:textFill>
            <w14:solidFill>
              <w14:schemeClr w14:val="tx1"/>
            </w14:solidFill>
          </w14:textFill>
        </w:rPr>
        <w:t>交通运输局</w:t>
      </w:r>
      <w:r>
        <w:rPr>
          <w:rFonts w:hint="eastAsia" w:ascii="仿宋_GB2312" w:hAnsi="仿宋_GB2312" w:eastAsia="仿宋_GB2312" w:cs="仿宋_GB2312"/>
          <w:color w:val="000000" w:themeColor="text1"/>
          <w:sz w:val="32"/>
          <w:szCs w:val="32"/>
          <w14:textFill>
            <w14:solidFill>
              <w14:schemeClr w14:val="tx1"/>
            </w14:solidFill>
          </w14:textFill>
        </w:rPr>
        <w:t>办公室定期对各科室</w:t>
      </w:r>
      <w:r>
        <w:rPr>
          <w:rFonts w:hint="eastAsia" w:ascii="仿宋_GB2312" w:hAnsi="仿宋_GB2312" w:eastAsia="仿宋_GB2312" w:cs="仿宋_GB2312"/>
          <w:color w:val="000000" w:themeColor="text1"/>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政府信息公开工作情况进行检查，</w:t>
      </w:r>
      <w:r>
        <w:rPr>
          <w:rFonts w:hint="eastAsia" w:ascii="仿宋_GB2312" w:hAnsi="仿宋_GB2312" w:eastAsia="仿宋_GB2312" w:cs="仿宋_GB2312"/>
          <w:color w:val="000000" w:themeColor="text1"/>
          <w:sz w:val="32"/>
          <w:szCs w:val="32"/>
          <w:lang w:eastAsia="zh-CN"/>
          <w14:textFill>
            <w14:solidFill>
              <w14:schemeClr w14:val="tx1"/>
            </w14:solidFill>
          </w14:textFill>
        </w:rPr>
        <w:t>局分管领导定期听取政府信息公开工作开展情况汇报，对更新不及时、内容单一的责任单位进行督办，</w:t>
      </w:r>
      <w:r>
        <w:rPr>
          <w:rFonts w:hint="eastAsia" w:ascii="仿宋_GB2312" w:hAnsi="仿宋_GB2312" w:eastAsia="仿宋_GB2312" w:cs="仿宋_GB2312"/>
          <w:color w:val="000000" w:themeColor="text1"/>
          <w:sz w:val="32"/>
          <w:szCs w:val="32"/>
          <w14:textFill>
            <w14:solidFill>
              <w14:schemeClr w14:val="tx1"/>
            </w14:solidFill>
          </w14:textFill>
        </w:rPr>
        <w:t>确保主动公开的各类信息在规定时间内公开。</w:t>
      </w:r>
    </w:p>
    <w:p>
      <w:pPr>
        <w:pStyle w:val="5"/>
        <w:widowControl/>
        <w:spacing w:beforeAutospacing="0" w:afterAutospacing="0" w:line="560" w:lineRule="exact"/>
        <w:ind w:firstLine="643" w:firstLineChars="200"/>
        <w:jc w:val="both"/>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（五）平台建设</w:t>
      </w:r>
    </w:p>
    <w:p>
      <w:pPr>
        <w:pStyle w:val="5"/>
        <w:widowControl/>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充分发挥政府网站作为政务公开第一平台作用，及时维护政府信息公开目录、政府信息依申请公开、政府信息公开监督信箱等栏目。加大对微信公众平台等新媒体平台的政务公开力度，畅通公开渠道，提</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升政务公开整体水平。</w:t>
      </w:r>
    </w:p>
    <w:p>
      <w:pPr>
        <w:pStyle w:val="5"/>
        <w:widowControl/>
        <w:spacing w:beforeAutospacing="0" w:afterAutospacing="0" w:line="560" w:lineRule="exact"/>
        <w:ind w:firstLine="643" w:firstLineChars="200"/>
        <w:jc w:val="both"/>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（六）监督保障</w:t>
      </w:r>
    </w:p>
    <w:p>
      <w:pPr>
        <w:pStyle w:val="5"/>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加强制度建设，进一步规范信息公开程序。根据工作实际，将信息公开各项任务分解落实到各科室单位，提高了信息公开的时效性和准确性。确保信息公开的内容更加充实、公开时间更加及时、公开重点更加突出。</w:t>
      </w:r>
    </w:p>
    <w:p>
      <w:pPr>
        <w:pStyle w:val="5"/>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二是组织政务公开工作具体工作人员认真学习《中华人民共和国政府信息公开条例》《山东省政府信息公开办法》等文件，深入学习我局政务公开职责任务、责任分工、工作标准和流程等内容。</w:t>
      </w:r>
    </w:p>
    <w:p>
      <w:pPr>
        <w:pStyle w:val="5"/>
        <w:widowControl/>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三是通过高青政务网站、工作人员上街宣传、悬挂横幅、发放宣传册等形式主动公开交通政务信息，宣传政策及动态，使政务信息公开更加及时、便民、透明。</w:t>
      </w:r>
    </w:p>
    <w:p>
      <w:pPr>
        <w:pStyle w:val="5"/>
        <w:widowControl/>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p>
    <w:p>
      <w:pPr>
        <w:pStyle w:val="5"/>
        <w:widowControl/>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p>
    <w:p>
      <w:pPr>
        <w:pStyle w:val="5"/>
        <w:widowControl/>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p>
    <w:p>
      <w:pPr>
        <w:pStyle w:val="5"/>
        <w:widowControl/>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p>
    <w:p>
      <w:pPr>
        <w:pStyle w:val="5"/>
        <w:widowControl/>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p>
    <w:p>
      <w:pPr>
        <w:pStyle w:val="5"/>
        <w:widowControl/>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p>
    <w:p>
      <w:pPr>
        <w:pStyle w:val="5"/>
        <w:widowControl/>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p>
    <w:p>
      <w:pPr>
        <w:pStyle w:val="5"/>
        <w:widowControl/>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p>
    <w:p>
      <w:pPr>
        <w:pStyle w:val="5"/>
        <w:widowControl/>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p>
    <w:p>
      <w:pPr>
        <w:pStyle w:val="5"/>
        <w:widowControl/>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p>
    <w:p>
      <w:pPr>
        <w:pStyle w:val="5"/>
        <w:widowControl/>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p>
    <w:p>
      <w:pPr>
        <w:pStyle w:val="5"/>
        <w:widowControl/>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p>
    <w:p>
      <w:pPr>
        <w:pStyle w:val="5"/>
        <w:widowControl/>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p>
    <w:p>
      <w:pPr>
        <w:pStyle w:val="5"/>
        <w:widowControl/>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p>
    <w:p>
      <w:pPr>
        <w:pStyle w:val="5"/>
        <w:widowControl/>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p>
    <w:p>
      <w:pPr>
        <w:pStyle w:val="5"/>
        <w:widowControl/>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p>
    <w:p>
      <w:pPr>
        <w:pStyle w:val="5"/>
        <w:widowControl/>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p>
    <w:p>
      <w:pPr>
        <w:pStyle w:val="5"/>
        <w:widowControl/>
        <w:spacing w:beforeAutospacing="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p>
    <w:p>
      <w:pPr>
        <w:pStyle w:val="5"/>
        <w:widowControl/>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p>
    <w:p>
      <w:pPr>
        <w:pStyle w:val="5"/>
        <w:widowControl/>
        <w:numPr>
          <w:ilvl w:val="0"/>
          <w:numId w:val="1"/>
        </w:numPr>
        <w:spacing w:beforeAutospacing="0" w:afterAutospacing="0" w:line="560" w:lineRule="exact"/>
        <w:ind w:firstLine="420"/>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主动公开政府信息情况</w:t>
      </w:r>
    </w:p>
    <w:tbl>
      <w:tblPr>
        <w:tblStyle w:val="6"/>
        <w:tblW w:w="8705" w:type="dxa"/>
        <w:jc w:val="center"/>
        <w:tblLayout w:type="autofit"/>
        <w:tblCellMar>
          <w:top w:w="0" w:type="dxa"/>
          <w:left w:w="108" w:type="dxa"/>
          <w:bottom w:w="0" w:type="dxa"/>
          <w:right w:w="108" w:type="dxa"/>
        </w:tblCellMar>
      </w:tblPr>
      <w:tblGrid>
        <w:gridCol w:w="2752"/>
        <w:gridCol w:w="1984"/>
        <w:gridCol w:w="1985"/>
        <w:gridCol w:w="1984"/>
      </w:tblGrid>
      <w:tr>
        <w:tblPrEx>
          <w:tblCellMar>
            <w:top w:w="0" w:type="dxa"/>
            <w:left w:w="108" w:type="dxa"/>
            <w:bottom w:w="0" w:type="dxa"/>
            <w:right w:w="108" w:type="dxa"/>
          </w:tblCellMar>
        </w:tblPrEx>
        <w:trPr>
          <w:trHeight w:val="495"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第二十条第（一）项</w:t>
            </w:r>
          </w:p>
        </w:tc>
      </w:tr>
      <w:tr>
        <w:tblPrEx>
          <w:tblCellMar>
            <w:top w:w="0" w:type="dxa"/>
            <w:left w:w="108" w:type="dxa"/>
            <w:bottom w:w="0" w:type="dxa"/>
            <w:right w:w="108" w:type="dxa"/>
          </w:tblCellMar>
        </w:tblPrEx>
        <w:trPr>
          <w:trHeight w:val="88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本年新</w:t>
            </w:r>
            <w:r>
              <w:rPr>
                <w:rFonts w:ascii="宋体" w:hAnsi="宋体" w:eastAsia="宋体" w:cs="宋体"/>
                <w:color w:val="000000" w:themeColor="text1"/>
                <w:kern w:val="0"/>
                <w:sz w:val="24"/>
                <w14:textFill>
                  <w14:solidFill>
                    <w14:schemeClr w14:val="tx1"/>
                  </w14:solidFill>
                </w14:textFill>
              </w:rPr>
              <w:t>制作数量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本年新</w:t>
            </w:r>
            <w:r>
              <w:rPr>
                <w:rFonts w:ascii="宋体" w:hAnsi="宋体" w:eastAsia="宋体" w:cs="宋体"/>
                <w:color w:val="000000" w:themeColor="text1"/>
                <w:kern w:val="0"/>
                <w:sz w:val="24"/>
                <w14:textFill>
                  <w14:solidFill>
                    <w14:schemeClr w14:val="tx1"/>
                  </w14:solidFill>
                </w14:textFill>
              </w:rPr>
              <w:t>公开数量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对外公开总数量</w:t>
            </w:r>
          </w:p>
        </w:tc>
      </w:tr>
      <w:tr>
        <w:tblPrEx>
          <w:tblCellMar>
            <w:top w:w="0" w:type="dxa"/>
            <w:left w:w="108" w:type="dxa"/>
            <w:bottom w:w="0" w:type="dxa"/>
            <w:right w:w="108" w:type="dxa"/>
          </w:tblCellMar>
        </w:tblPrEx>
        <w:trPr>
          <w:trHeight w:val="69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规章</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0</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Calibri" w:eastAsia="宋体" w:cs="Times New Roman"/>
                <w:color w:val="000000" w:themeColor="text1"/>
                <w:kern w:val="0"/>
                <w:sz w:val="24"/>
                <w14:textFill>
                  <w14:solidFill>
                    <w14:schemeClr w14:val="tx1"/>
                  </w14:solidFill>
                </w14:textFill>
              </w:rPr>
              <w:t> 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规范性文件</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0</w:t>
            </w:r>
          </w:p>
        </w:tc>
        <w:tc>
          <w:tcPr>
            <w:tcW w:w="1985" w:type="dxa"/>
            <w:tcBorders>
              <w:top w:val="nil"/>
              <w:left w:val="nil"/>
              <w:bottom w:val="single" w:color="auto" w:sz="4" w:space="0"/>
              <w:right w:val="single" w:color="auto" w:sz="4" w:space="0"/>
            </w:tcBorders>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Calibri" w:eastAsia="宋体" w:cs="Times New Roman"/>
                <w:color w:val="000000" w:themeColor="text1"/>
                <w:kern w:val="0"/>
                <w:sz w:val="24"/>
                <w14:textFill>
                  <w14:solidFill>
                    <w14:schemeClr w14:val="tx1"/>
                  </w14:solidFill>
                </w14:textFill>
              </w:rPr>
              <w:t> 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0</w:t>
            </w:r>
          </w:p>
        </w:tc>
      </w:tr>
      <w:tr>
        <w:tblPrEx>
          <w:tblCellMar>
            <w:top w:w="0" w:type="dxa"/>
            <w:left w:w="108" w:type="dxa"/>
            <w:bottom w:w="0" w:type="dxa"/>
            <w:right w:w="108" w:type="dxa"/>
          </w:tblCellMar>
        </w:tblPrEx>
        <w:trPr>
          <w:trHeight w:val="480"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第二十条第（五）项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处理决定数量</w:t>
            </w:r>
          </w:p>
        </w:tc>
      </w:tr>
      <w:tr>
        <w:tblPrEx>
          <w:tblCellMar>
            <w:top w:w="0" w:type="dxa"/>
            <w:left w:w="108" w:type="dxa"/>
            <w:bottom w:w="0" w:type="dxa"/>
            <w:right w:w="108" w:type="dxa"/>
          </w:tblCellMar>
        </w:tblPrEx>
        <w:trPr>
          <w:trHeight w:val="6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行政许可</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w:t>
            </w:r>
          </w:p>
        </w:tc>
        <w:tc>
          <w:tcPr>
            <w:tcW w:w="198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40</w:t>
            </w:r>
          </w:p>
        </w:tc>
      </w:tr>
      <w:tr>
        <w:tblPrEx>
          <w:tblCellMar>
            <w:top w:w="0" w:type="dxa"/>
            <w:left w:w="108" w:type="dxa"/>
            <w:bottom w:w="0" w:type="dxa"/>
            <w:right w:w="108" w:type="dxa"/>
          </w:tblCellMar>
        </w:tblPrEx>
        <w:trPr>
          <w:trHeight w:val="69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其他对外管理服务事项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53</w:t>
            </w:r>
          </w:p>
        </w:tc>
        <w:tc>
          <w:tcPr>
            <w:tcW w:w="198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1984" w:type="dxa"/>
            <w:tcBorders>
              <w:top w:val="nil"/>
              <w:left w:val="nil"/>
              <w:bottom w:val="single" w:color="auto" w:sz="4" w:space="0"/>
              <w:right w:val="single" w:color="auto" w:sz="4" w:space="0"/>
            </w:tcBorders>
            <w:noWrap/>
            <w:vAlign w:val="center"/>
          </w:tcPr>
          <w:p>
            <w:pPr>
              <w:widowControl/>
              <w:spacing w:line="360" w:lineRule="auto"/>
              <w:ind w:firstLine="240" w:firstLineChars="1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1216</w:t>
            </w:r>
          </w:p>
        </w:tc>
      </w:tr>
      <w:tr>
        <w:tblPrEx>
          <w:tblCellMar>
            <w:top w:w="0" w:type="dxa"/>
            <w:left w:w="108" w:type="dxa"/>
            <w:bottom w:w="0" w:type="dxa"/>
            <w:right w:w="108" w:type="dxa"/>
          </w:tblCellMar>
        </w:tblPrEx>
        <w:trPr>
          <w:trHeight w:val="40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第二十条第（六）项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处理决定数量</w:t>
            </w:r>
          </w:p>
        </w:tc>
      </w:tr>
      <w:tr>
        <w:tblPrEx>
          <w:tblCellMar>
            <w:top w:w="0" w:type="dxa"/>
            <w:left w:w="108" w:type="dxa"/>
            <w:bottom w:w="0" w:type="dxa"/>
            <w:right w:w="108" w:type="dxa"/>
          </w:tblCellMar>
        </w:tblPrEx>
        <w:trPr>
          <w:trHeight w:val="56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行政处罚</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85</w:t>
            </w:r>
          </w:p>
        </w:tc>
        <w:tc>
          <w:tcPr>
            <w:tcW w:w="1985"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50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行政强制</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9</w:t>
            </w:r>
          </w:p>
        </w:tc>
        <w:tc>
          <w:tcPr>
            <w:tcW w:w="198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0</w:t>
            </w:r>
          </w:p>
        </w:tc>
      </w:tr>
      <w:tr>
        <w:tblPrEx>
          <w:tblCellMar>
            <w:top w:w="0" w:type="dxa"/>
            <w:left w:w="108" w:type="dxa"/>
            <w:bottom w:w="0" w:type="dxa"/>
            <w:right w:w="108" w:type="dxa"/>
          </w:tblCellMar>
        </w:tblPrEx>
        <w:trPr>
          <w:trHeight w:val="474"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第二十条第（八）项</w:t>
            </w:r>
          </w:p>
        </w:tc>
      </w:tr>
      <w:tr>
        <w:tblPrEx>
          <w:tblCellMar>
            <w:top w:w="0" w:type="dxa"/>
            <w:left w:w="108" w:type="dxa"/>
            <w:bottom w:w="0" w:type="dxa"/>
            <w:right w:w="108" w:type="dxa"/>
          </w:tblCellMar>
        </w:tblPrEx>
        <w:trPr>
          <w:trHeight w:val="2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上一年项目数量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本年增/减</w:t>
            </w:r>
          </w:p>
        </w:tc>
      </w:tr>
      <w:tr>
        <w:tblPrEx>
          <w:tblCellMar>
            <w:top w:w="0" w:type="dxa"/>
            <w:left w:w="108" w:type="dxa"/>
            <w:bottom w:w="0" w:type="dxa"/>
            <w:right w:w="108" w:type="dxa"/>
          </w:tblCellMar>
        </w:tblPrEx>
        <w:trPr>
          <w:trHeight w:val="72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行政事业性收费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0</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Calibri" w:eastAsia="宋体" w:cs="Times New Roman"/>
                <w:color w:val="000000" w:themeColor="text1"/>
                <w:kern w:val="0"/>
                <w:sz w:val="24"/>
                <w14:textFill>
                  <w14:solidFill>
                    <w14:schemeClr w14:val="tx1"/>
                  </w14:solidFill>
                </w14:textFill>
              </w:rPr>
              <w:t> 0</w:t>
            </w:r>
          </w:p>
        </w:tc>
      </w:tr>
      <w:tr>
        <w:tblPrEx>
          <w:tblCellMar>
            <w:top w:w="0" w:type="dxa"/>
            <w:left w:w="108" w:type="dxa"/>
            <w:bottom w:w="0" w:type="dxa"/>
            <w:right w:w="108" w:type="dxa"/>
          </w:tblCellMar>
        </w:tblPrEx>
        <w:trPr>
          <w:trHeight w:val="47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第二十条第（九）项</w:t>
            </w:r>
          </w:p>
        </w:tc>
      </w:tr>
      <w:tr>
        <w:tblPrEx>
          <w:tblCellMar>
            <w:top w:w="0" w:type="dxa"/>
            <w:left w:w="108" w:type="dxa"/>
            <w:bottom w:w="0" w:type="dxa"/>
            <w:right w:w="108" w:type="dxa"/>
          </w:tblCellMar>
        </w:tblPrEx>
        <w:trPr>
          <w:trHeight w:val="585"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采购项目数量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采购总金额</w:t>
            </w:r>
          </w:p>
        </w:tc>
      </w:tr>
      <w:tr>
        <w:tblPrEx>
          <w:tblCellMar>
            <w:top w:w="0" w:type="dxa"/>
            <w:left w:w="108" w:type="dxa"/>
            <w:bottom w:w="0" w:type="dxa"/>
            <w:right w:w="108" w:type="dxa"/>
          </w:tblCellMar>
        </w:tblPrEx>
        <w:trPr>
          <w:trHeight w:val="748"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政府集中采购</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0</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r>
    </w:tbl>
    <w:p>
      <w:pPr>
        <w:pStyle w:val="5"/>
        <w:widowControl/>
        <w:spacing w:beforeAutospacing="0" w:afterAutospacing="0" w:line="560" w:lineRule="exact"/>
        <w:ind w:firstLine="420"/>
        <w:jc w:val="both"/>
        <w:rPr>
          <w:rFonts w:hint="eastAsia" w:ascii="黑体" w:hAnsi="黑体" w:eastAsia="黑体" w:cs="黑体"/>
          <w:color w:val="000000" w:themeColor="text1"/>
          <w:sz w:val="32"/>
          <w:szCs w:val="32"/>
          <w14:textFill>
            <w14:solidFill>
              <w14:schemeClr w14:val="tx1"/>
            </w14:solidFill>
          </w14:textFill>
        </w:rPr>
      </w:pPr>
    </w:p>
    <w:p>
      <w:pPr>
        <w:pStyle w:val="5"/>
        <w:widowControl/>
        <w:spacing w:beforeAutospacing="0" w:afterAutospacing="0" w:line="560" w:lineRule="exact"/>
        <w:ind w:firstLine="420"/>
        <w:jc w:val="both"/>
        <w:rPr>
          <w:rFonts w:hint="eastAsia" w:ascii="黑体" w:hAnsi="黑体" w:eastAsia="黑体" w:cs="黑体"/>
          <w:color w:val="000000" w:themeColor="text1"/>
          <w:sz w:val="32"/>
          <w:szCs w:val="32"/>
          <w14:textFill>
            <w14:solidFill>
              <w14:schemeClr w14:val="tx1"/>
            </w14:solidFill>
          </w14:textFill>
        </w:rPr>
      </w:pPr>
    </w:p>
    <w:p>
      <w:pPr>
        <w:pStyle w:val="5"/>
        <w:widowControl/>
        <w:spacing w:beforeAutospacing="0" w:afterAutospacing="0" w:line="560" w:lineRule="exact"/>
        <w:ind w:firstLine="420"/>
        <w:jc w:val="both"/>
        <w:rPr>
          <w:rFonts w:hint="eastAsia" w:ascii="黑体" w:hAnsi="黑体" w:eastAsia="黑体" w:cs="黑体"/>
          <w:color w:val="000000" w:themeColor="text1"/>
          <w:sz w:val="32"/>
          <w:szCs w:val="32"/>
          <w14:textFill>
            <w14:solidFill>
              <w14:schemeClr w14:val="tx1"/>
            </w14:solidFill>
          </w14:textFill>
        </w:rPr>
      </w:pPr>
    </w:p>
    <w:p>
      <w:pPr>
        <w:pStyle w:val="5"/>
        <w:widowControl/>
        <w:spacing w:beforeAutospacing="0" w:afterAutospacing="0" w:line="560" w:lineRule="exact"/>
        <w:ind w:firstLine="420"/>
        <w:jc w:val="both"/>
        <w:rPr>
          <w:rFonts w:ascii="黑体" w:hAnsi="黑体" w:eastAsia="黑体" w:cs="黑体"/>
          <w:color w:val="000000" w:themeColor="text1"/>
          <w:sz w:val="32"/>
          <w:szCs w:val="32"/>
          <w14:textFill>
            <w14:solidFill>
              <w14:schemeClr w14:val="tx1"/>
            </w14:solidFill>
          </w14:textFill>
        </w:rPr>
      </w:pPr>
    </w:p>
    <w:p>
      <w:pPr>
        <w:pStyle w:val="5"/>
        <w:widowControl/>
        <w:spacing w:beforeAutospacing="0" w:afterAutospacing="0" w:line="560" w:lineRule="exact"/>
        <w:ind w:firstLine="42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三、收到和处理政府信息公开申请情况</w:t>
      </w:r>
    </w:p>
    <w:tbl>
      <w:tblPr>
        <w:tblStyle w:val="6"/>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851"/>
        <w:gridCol w:w="2408"/>
        <w:gridCol w:w="825"/>
        <w:gridCol w:w="765"/>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（本列数据的勾稽关系为：第一项加第二项之和，等于第三项加第四项之和）</w:t>
            </w:r>
          </w:p>
        </w:tc>
        <w:tc>
          <w:tcPr>
            <w:tcW w:w="5592"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825"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自然人</w:t>
            </w:r>
          </w:p>
        </w:tc>
        <w:tc>
          <w:tcPr>
            <w:tcW w:w="406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法人或其他组织</w:t>
            </w:r>
          </w:p>
        </w:tc>
        <w:tc>
          <w:tcPr>
            <w:tcW w:w="702"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82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商业企业</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科研机构</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社会公益组织</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法律服务机构</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其他</w:t>
            </w:r>
          </w:p>
        </w:tc>
        <w:tc>
          <w:tcPr>
            <w:tcW w:w="702"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80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一、本年新收政府信息公开申请数量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80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二、上年结转政府信息公开申请数量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4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三、本年度办理结果</w:t>
            </w:r>
          </w:p>
        </w:tc>
        <w:tc>
          <w:tcPr>
            <w:tcW w:w="32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（一）予以公开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32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（二）部分公开（区分处理的，只计这一情形，不计其他情形）</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851"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（三）不予公开</w:t>
            </w:r>
          </w:p>
        </w:tc>
        <w:tc>
          <w:tcPr>
            <w:tcW w:w="2408"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1.属于国家秘密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851"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2408"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2.其他法律行政法规禁止公开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851"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2408"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3.危及“三安全一稳定”</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851"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2408"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4.保护第三方合法权益</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851"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2408"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5.属于三类内部事务信息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851"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2408"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6.属于四类过程性信息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851"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2408"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7.属于行政执法案卷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851"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2408"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8.属于行政查询事项</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851"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（四）无法提供</w:t>
            </w:r>
          </w:p>
        </w:tc>
        <w:tc>
          <w:tcPr>
            <w:tcW w:w="2408"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1.本机关不掌握相关政府信息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851"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2408"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2.没有现成信息需要另行制作</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851"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2408"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3.补正后申请内容仍不明确</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851"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（五）不予处理</w:t>
            </w:r>
          </w:p>
        </w:tc>
        <w:tc>
          <w:tcPr>
            <w:tcW w:w="2408"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1.信访举报投诉类申请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851"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2408"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2.重复申请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851"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2408"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3.要求提供公开出版物</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851"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2408"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4.无正当理由大量反复申请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851"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2408"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5.要求行政机关确认或重新出具已获取信息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32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（六）其他处理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p>
        </w:tc>
        <w:tc>
          <w:tcPr>
            <w:tcW w:w="32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楷体" w:hAnsi="楷体" w:eastAsia="楷体" w:cs="宋体"/>
                <w:color w:val="000000" w:themeColor="text1"/>
                <w:szCs w:val="21"/>
                <w14:textFill>
                  <w14:solidFill>
                    <w14:schemeClr w14:val="tx1"/>
                  </w14:solidFill>
                </w14:textFill>
              </w:rPr>
              <w:t>（七）总计</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四、结转下年度继续办理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w:t>
            </w:r>
            <w:r>
              <w:rPr>
                <w:rFonts w:hint="eastAsia" w:ascii="Calibri" w:hAnsi="Calibri" w:eastAsia="宋体" w:cs="Times New Roman"/>
                <w:color w:val="000000" w:themeColor="text1"/>
                <w:szCs w:val="21"/>
                <w14:textFill>
                  <w14:solidFill>
                    <w14:schemeClr w14:val="tx1"/>
                  </w14:solidFill>
                </w14:textFill>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0</w:t>
            </w:r>
            <w:r>
              <w:rPr>
                <w:rFonts w:ascii="Calibri" w:hAnsi="Calibri" w:eastAsia="宋体" w:cs="Times New Roman"/>
                <w:color w:val="000000" w:themeColor="text1"/>
                <w:szCs w:val="21"/>
                <w14:textFill>
                  <w14:solidFill>
                    <w14:schemeClr w14:val="tx1"/>
                  </w14:solidFill>
                </w14:textFill>
              </w:rPr>
              <w:t> </w:t>
            </w:r>
          </w:p>
        </w:tc>
      </w:tr>
    </w:tbl>
    <w:p>
      <w:pPr>
        <w:pStyle w:val="5"/>
        <w:widowControl/>
        <w:spacing w:beforeAutospacing="0" w:afterAutospacing="0"/>
        <w:jc w:val="both"/>
        <w:rPr>
          <w:rFonts w:hint="eastAsia" w:ascii="仿宋_GB2312" w:hAnsi="仿宋_GB2312" w:eastAsia="仿宋_GB2312" w:cs="仿宋_GB2312"/>
          <w:color w:val="000000" w:themeColor="text1"/>
          <w:sz w:val="32"/>
          <w:szCs w:val="32"/>
          <w14:textFill>
            <w14:solidFill>
              <w14:schemeClr w14:val="tx1"/>
            </w14:solidFill>
          </w14:textFill>
        </w:rPr>
      </w:pPr>
    </w:p>
    <w:p>
      <w:pPr>
        <w:pStyle w:val="5"/>
        <w:widowControl/>
        <w:spacing w:beforeAutospacing="0" w:afterAutospacing="0"/>
        <w:jc w:val="both"/>
        <w:rPr>
          <w:rFonts w:ascii="仿宋_GB2312" w:hAnsi="仿宋_GB2312" w:eastAsia="仿宋_GB2312" w:cs="仿宋_GB2312"/>
          <w:color w:val="000000" w:themeColor="text1"/>
          <w:sz w:val="32"/>
          <w:szCs w:val="32"/>
          <w14:textFill>
            <w14:solidFill>
              <w14:schemeClr w14:val="tx1"/>
            </w14:solidFill>
          </w14:textFill>
        </w:rPr>
      </w:pPr>
    </w:p>
    <w:p>
      <w:pPr>
        <w:pStyle w:val="5"/>
        <w:widowControl/>
        <w:spacing w:beforeAutospacing="0" w:afterAutospacing="0" w:line="560" w:lineRule="exact"/>
        <w:ind w:firstLine="420"/>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四、政府信息公开行政复议、行政诉讼情况</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623"/>
        <w:gridCol w:w="681"/>
        <w:gridCol w:w="669"/>
        <w:gridCol w:w="424"/>
        <w:gridCol w:w="649"/>
        <w:gridCol w:w="623"/>
        <w:gridCol w:w="681"/>
        <w:gridCol w:w="704"/>
        <w:gridCol w:w="313"/>
        <w:gridCol w:w="760"/>
        <w:gridCol w:w="657"/>
        <w:gridCol w:w="658"/>
        <w:gridCol w:w="658"/>
        <w:gridCol w:w="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行政复议</w:t>
            </w:r>
          </w:p>
        </w:tc>
        <w:tc>
          <w:tcPr>
            <w:tcW w:w="5997" w:type="dxa"/>
            <w:gridSpan w:val="10"/>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77" w:type="dxa"/>
            <w:vMerge w:val="restart"/>
            <w:tcBorders>
              <w:top w:val="nil"/>
              <w:left w:val="single" w:color="auto" w:sz="4" w:space="0"/>
              <w:bottom w:val="single" w:color="auto" w:sz="4" w:space="0"/>
              <w:right w:val="single" w:color="auto" w:sz="4" w:space="0"/>
            </w:tcBorders>
            <w:vAlign w:val="center"/>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结果</w:t>
            </w:r>
          </w:p>
          <w:p>
            <w:pPr>
              <w:widowControl/>
              <w:spacing w:before="100" w:beforeAutospacing="1" w:after="180" w:line="200" w:lineRule="exact"/>
              <w:rPr>
                <w:rFonts w:ascii="宋体" w:hAnsi="宋体" w:eastAsia="宋体" w:cs="宋体"/>
                <w:color w:val="000000" w:themeColor="text1"/>
                <w:kern w:val="0"/>
                <w:sz w:val="24"/>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维持</w:t>
            </w:r>
          </w:p>
        </w:tc>
        <w:tc>
          <w:tcPr>
            <w:tcW w:w="623" w:type="dxa"/>
            <w:vMerge w:val="restart"/>
            <w:tcBorders>
              <w:top w:val="nil"/>
              <w:left w:val="nil"/>
              <w:bottom w:val="single" w:color="auto" w:sz="4" w:space="0"/>
              <w:right w:val="single" w:color="auto" w:sz="4" w:space="0"/>
            </w:tcBorders>
            <w:vAlign w:val="center"/>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结果纠正</w:t>
            </w:r>
          </w:p>
        </w:tc>
        <w:tc>
          <w:tcPr>
            <w:tcW w:w="681"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其他结果</w:t>
            </w:r>
          </w:p>
        </w:tc>
        <w:tc>
          <w:tcPr>
            <w:tcW w:w="669"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尚未审结</w:t>
            </w:r>
          </w:p>
        </w:tc>
        <w:tc>
          <w:tcPr>
            <w:tcW w:w="424"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总计</w:t>
            </w:r>
          </w:p>
        </w:tc>
        <w:tc>
          <w:tcPr>
            <w:tcW w:w="2970" w:type="dxa"/>
            <w:gridSpan w:val="5"/>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14:textFill>
                  <w14:solidFill>
                    <w14:schemeClr w14:val="tx1"/>
                  </w14:solidFill>
                </w14:textFill>
              </w:rPr>
            </w:pPr>
          </w:p>
        </w:tc>
        <w:tc>
          <w:tcPr>
            <w:tcW w:w="62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14:textFill>
                  <w14:solidFill>
                    <w14:schemeClr w14:val="tx1"/>
                  </w14:solidFill>
                </w14:textFill>
              </w:rPr>
            </w:pPr>
          </w:p>
        </w:tc>
        <w:tc>
          <w:tcPr>
            <w:tcW w:w="681"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14:textFill>
                  <w14:solidFill>
                    <w14:schemeClr w14:val="tx1"/>
                  </w14:solidFill>
                </w14:textFill>
              </w:rPr>
            </w:pPr>
          </w:p>
        </w:tc>
        <w:tc>
          <w:tcPr>
            <w:tcW w:w="669"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14:textFill>
                  <w14:solidFill>
                    <w14:schemeClr w14:val="tx1"/>
                  </w14:solidFill>
                </w14:textFill>
              </w:rPr>
            </w:pPr>
          </w:p>
        </w:tc>
        <w:tc>
          <w:tcPr>
            <w:tcW w:w="424"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themeColor="text1"/>
                <w:kern w:val="0"/>
                <w:sz w:val="24"/>
                <w14:textFill>
                  <w14:solidFill>
                    <w14:schemeClr w14:val="tx1"/>
                  </w14:solidFill>
                </w14:textFill>
              </w:rPr>
            </w:pPr>
          </w:p>
        </w:tc>
        <w:tc>
          <w:tcPr>
            <w:tcW w:w="649" w:type="dxa"/>
            <w:tcBorders>
              <w:top w:val="single" w:color="auto" w:sz="4" w:space="0"/>
              <w:left w:val="nil"/>
              <w:bottom w:val="single" w:color="auto" w:sz="4" w:space="0"/>
              <w:right w:val="single" w:color="auto" w:sz="4" w:space="0"/>
            </w:tcBorders>
            <w:vAlign w:val="bottom"/>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结果维持</w:t>
            </w:r>
          </w:p>
        </w:tc>
        <w:tc>
          <w:tcPr>
            <w:tcW w:w="623" w:type="dxa"/>
            <w:tcBorders>
              <w:top w:val="single" w:color="auto" w:sz="4" w:space="0"/>
              <w:left w:val="nil"/>
              <w:bottom w:val="single" w:color="auto" w:sz="4" w:space="0"/>
              <w:right w:val="single" w:color="auto" w:sz="4" w:space="0"/>
            </w:tcBorders>
            <w:vAlign w:val="bottom"/>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结果纠正</w:t>
            </w:r>
          </w:p>
        </w:tc>
        <w:tc>
          <w:tcPr>
            <w:tcW w:w="681" w:type="dxa"/>
            <w:tcBorders>
              <w:top w:val="single" w:color="auto" w:sz="4" w:space="0"/>
              <w:left w:val="nil"/>
              <w:bottom w:val="single" w:color="auto" w:sz="4" w:space="0"/>
              <w:right w:val="single" w:color="auto" w:sz="4" w:space="0"/>
            </w:tcBorders>
            <w:vAlign w:val="bottom"/>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其他结果</w:t>
            </w:r>
          </w:p>
        </w:tc>
        <w:tc>
          <w:tcPr>
            <w:tcW w:w="704" w:type="dxa"/>
            <w:tcBorders>
              <w:top w:val="single" w:color="auto" w:sz="4" w:space="0"/>
              <w:left w:val="nil"/>
              <w:bottom w:val="single" w:color="auto" w:sz="4" w:space="0"/>
              <w:right w:val="single" w:color="auto" w:sz="4" w:space="0"/>
            </w:tcBorders>
            <w:vAlign w:val="bottom"/>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尚未审结</w:t>
            </w:r>
          </w:p>
        </w:tc>
        <w:tc>
          <w:tcPr>
            <w:tcW w:w="313" w:type="dxa"/>
            <w:tcBorders>
              <w:top w:val="single" w:color="auto" w:sz="4" w:space="0"/>
              <w:left w:val="nil"/>
              <w:bottom w:val="single" w:color="auto" w:sz="4" w:space="0"/>
              <w:right w:val="single" w:color="auto" w:sz="4" w:space="0"/>
            </w:tcBorders>
            <w:vAlign w:val="bottom"/>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总计</w:t>
            </w:r>
          </w:p>
        </w:tc>
        <w:tc>
          <w:tcPr>
            <w:tcW w:w="760" w:type="dxa"/>
            <w:tcBorders>
              <w:top w:val="single" w:color="auto" w:sz="4" w:space="0"/>
              <w:left w:val="nil"/>
              <w:bottom w:val="single" w:color="auto" w:sz="4" w:space="0"/>
              <w:right w:val="single" w:color="auto" w:sz="4" w:space="0"/>
            </w:tcBorders>
            <w:vAlign w:val="bottom"/>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结果维持</w:t>
            </w:r>
          </w:p>
        </w:tc>
        <w:tc>
          <w:tcPr>
            <w:tcW w:w="657" w:type="dxa"/>
            <w:tcBorders>
              <w:top w:val="single" w:color="auto" w:sz="4" w:space="0"/>
              <w:left w:val="nil"/>
              <w:bottom w:val="single" w:color="auto" w:sz="4" w:space="0"/>
              <w:right w:val="single" w:color="auto" w:sz="4" w:space="0"/>
            </w:tcBorders>
            <w:vAlign w:val="bottom"/>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结果纠正</w:t>
            </w:r>
          </w:p>
        </w:tc>
        <w:tc>
          <w:tcPr>
            <w:tcW w:w="658" w:type="dxa"/>
            <w:tcBorders>
              <w:top w:val="single" w:color="auto" w:sz="4" w:space="0"/>
              <w:left w:val="nil"/>
              <w:bottom w:val="single" w:color="auto" w:sz="4" w:space="0"/>
              <w:right w:val="single" w:color="auto" w:sz="4" w:space="0"/>
            </w:tcBorders>
            <w:vAlign w:val="bottom"/>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其他结果</w:t>
            </w:r>
          </w:p>
        </w:tc>
        <w:tc>
          <w:tcPr>
            <w:tcW w:w="658" w:type="dxa"/>
            <w:tcBorders>
              <w:top w:val="single" w:color="auto" w:sz="4" w:space="0"/>
              <w:left w:val="nil"/>
              <w:bottom w:val="single" w:color="auto" w:sz="4" w:space="0"/>
              <w:right w:val="single" w:color="auto" w:sz="4" w:space="0"/>
            </w:tcBorders>
            <w:vAlign w:val="bottom"/>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尚未审结</w:t>
            </w:r>
          </w:p>
        </w:tc>
        <w:tc>
          <w:tcPr>
            <w:tcW w:w="294" w:type="dxa"/>
            <w:tcBorders>
              <w:top w:val="single" w:color="auto" w:sz="4" w:space="0"/>
              <w:left w:val="nil"/>
              <w:bottom w:val="single" w:color="auto" w:sz="4" w:space="0"/>
              <w:right w:val="single" w:color="auto" w:sz="4" w:space="0"/>
            </w:tcBorders>
            <w:vAlign w:val="bottom"/>
          </w:tcPr>
          <w:p>
            <w:pPr>
              <w:widowControl/>
              <w:spacing w:before="100" w:beforeAutospacing="1" w:after="180" w:line="200" w:lineRule="exact"/>
              <w:rPr>
                <w:rFonts w:ascii="Calibri" w:hAnsi="Calibri" w:eastAsia="宋体" w:cs="Times New Roman"/>
                <w:color w:val="000000" w:themeColor="text1"/>
                <w:sz w:val="20"/>
                <w:szCs w:val="20"/>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Calibri" w:hAnsi="Calibri" w:eastAsia="宋体" w:cs="Times New Roman"/>
                <w:color w:val="000000" w:themeColor="text1"/>
                <w:sz w:val="20"/>
                <w:szCs w:val="20"/>
                <w14:textFill>
                  <w14:solidFill>
                    <w14:schemeClr w14:val="tx1"/>
                  </w14:solidFill>
                </w14:textFill>
              </w:rPr>
              <w:t>0</w:t>
            </w:r>
          </w:p>
        </w:tc>
        <w:tc>
          <w:tcPr>
            <w:tcW w:w="623"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681"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66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424"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64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623"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681"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704"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313"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760"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65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658"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658"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0</w:t>
            </w:r>
          </w:p>
        </w:tc>
        <w:tc>
          <w:tcPr>
            <w:tcW w:w="294"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r>
    </w:tbl>
    <w:p>
      <w:pPr>
        <w:pStyle w:val="5"/>
        <w:widowControl/>
        <w:spacing w:beforeAutospacing="0" w:afterAutospacing="0" w:line="560" w:lineRule="exact"/>
        <w:ind w:firstLine="420"/>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五、存在的主要问题及改进情况</w:t>
      </w:r>
    </w:p>
    <w:p>
      <w:pPr>
        <w:pStyle w:val="5"/>
        <w:widowControl/>
        <w:spacing w:beforeAutospacing="0" w:afterAutospacing="0" w:line="560" w:lineRule="exact"/>
        <w:ind w:firstLine="420"/>
        <w:jc w:val="both"/>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（一）存在问题</w:t>
      </w:r>
    </w:p>
    <w:p>
      <w:pPr>
        <w:pStyle w:val="5"/>
        <w:widowControl/>
        <w:spacing w:beforeAutospacing="0" w:afterAutospacing="0" w:line="560" w:lineRule="exact"/>
        <w:ind w:firstLine="42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一是部分干部职工对政务公开工作重要性认识不足，存在更新不及时、不完善情况；二是部分政务公开工作人员网络运用能力较弱，不能很好完成相关工作。</w:t>
      </w:r>
    </w:p>
    <w:p>
      <w:pPr>
        <w:pStyle w:val="5"/>
        <w:widowControl/>
        <w:spacing w:beforeAutospacing="0" w:afterAutospacing="0" w:line="560" w:lineRule="exact"/>
        <w:ind w:firstLine="420"/>
        <w:jc w:val="both"/>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（二）改进措施</w:t>
      </w:r>
    </w:p>
    <w:p>
      <w:pPr>
        <w:pStyle w:val="5"/>
        <w:widowControl/>
        <w:spacing w:beforeAutospacing="0" w:afterAutospacing="0" w:line="560" w:lineRule="exact"/>
        <w:ind w:firstLine="42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一是通过将政务公开工作纳入年终考核、召开专题会议强调等方式提高干部职工对其认识；二是加强业务培训，提高政务公开业务工作能力，不断适应政务公开新发展、新变化。</w:t>
      </w:r>
    </w:p>
    <w:p>
      <w:pPr>
        <w:pStyle w:val="5"/>
        <w:widowControl/>
        <w:spacing w:beforeAutospacing="0" w:afterAutospacing="0" w:line="560" w:lineRule="exact"/>
        <w:ind w:firstLine="420"/>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六、其他需要报告的事项</w:t>
      </w:r>
    </w:p>
    <w:p>
      <w:pPr>
        <w:pStyle w:val="5"/>
        <w:widowControl/>
        <w:spacing w:beforeAutospacing="0" w:afterAutospacing="0" w:line="560" w:lineRule="exact"/>
        <w:ind w:firstLine="42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无。</w:t>
      </w:r>
    </w:p>
    <w:p>
      <w:pPr>
        <w:pStyle w:val="5"/>
        <w:widowControl/>
        <w:spacing w:beforeAutospacing="0" w:afterAutospacing="0" w:line="560" w:lineRule="exact"/>
        <w:ind w:firstLine="42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Microsoft YaHei">
    <w:altName w:val="Courier New"/>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Courier New">
    <w:panose1 w:val="02070309020205020404"/>
    <w:charset w:val="00"/>
    <w:family w:val="auto"/>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2380C"/>
    <w:multiLevelType w:val="singleLevel"/>
    <w:tmpl w:val="1DE2380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E5C2C"/>
    <w:rsid w:val="0070385E"/>
    <w:rsid w:val="00D57561"/>
    <w:rsid w:val="0C14154C"/>
    <w:rsid w:val="0CDE52C1"/>
    <w:rsid w:val="12C567F0"/>
    <w:rsid w:val="1AE53DCF"/>
    <w:rsid w:val="24FB1283"/>
    <w:rsid w:val="39371BF6"/>
    <w:rsid w:val="4849762C"/>
    <w:rsid w:val="582B52BD"/>
    <w:rsid w:val="60BA7FCC"/>
    <w:rsid w:val="6D902128"/>
    <w:rsid w:val="6E8A2FB8"/>
    <w:rsid w:val="73CD791C"/>
    <w:rsid w:val="745B2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FollowedHyperlink"/>
    <w:basedOn w:val="7"/>
    <w:qFormat/>
    <w:uiPriority w:val="0"/>
    <w:rPr>
      <w:rFonts w:hint="default" w:ascii="Microsoft YaHei" w:hAnsi="Microsoft YaHei" w:eastAsia="Microsoft YaHei" w:cs="Microsoft YaHei"/>
      <w:color w:val="800080"/>
      <w:u w:val="none"/>
    </w:rPr>
  </w:style>
  <w:style w:type="character" w:styleId="9">
    <w:name w:val="Hyperlink"/>
    <w:basedOn w:val="7"/>
    <w:qFormat/>
    <w:uiPriority w:val="0"/>
    <w:rPr>
      <w:color w:val="0000FF"/>
      <w:u w:val="single"/>
    </w:rPr>
  </w:style>
  <w:style w:type="paragraph" w:customStyle="1" w:styleId="10">
    <w:name w:val="样式1"/>
    <w:basedOn w:val="1"/>
    <w:qFormat/>
    <w:uiPriority w:val="0"/>
    <w:rPr>
      <w:rFonts w:ascii="Calibri" w:hAnsi="Calibri" w:eastAsia="仿宋_GB2312" w:cs="Times New Roman"/>
      <w:sz w:val="32"/>
    </w:rPr>
  </w:style>
  <w:style w:type="paragraph" w:customStyle="1" w:styleId="11">
    <w:name w:val="样式2"/>
    <w:basedOn w:val="1"/>
    <w:qFormat/>
    <w:uiPriority w:val="0"/>
    <w:rPr>
      <w:rFonts w:ascii="Calibri" w:hAnsi="Calibri" w:eastAsia="宋体" w:cs="Times New Roman"/>
    </w:rPr>
  </w:style>
  <w:style w:type="character" w:customStyle="1" w:styleId="12">
    <w:name w:val="页眉 Char"/>
    <w:basedOn w:val="7"/>
    <w:link w:val="4"/>
    <w:qFormat/>
    <w:uiPriority w:val="0"/>
    <w:rPr>
      <w:kern w:val="2"/>
      <w:sz w:val="18"/>
      <w:szCs w:val="18"/>
    </w:rPr>
  </w:style>
  <w:style w:type="character" w:customStyle="1" w:styleId="13">
    <w:name w:val="页脚 Char"/>
    <w:basedOn w:val="7"/>
    <w:link w:val="3"/>
    <w:uiPriority w:val="0"/>
    <w:rPr>
      <w:kern w:val="2"/>
      <w:sz w:val="18"/>
      <w:szCs w:val="18"/>
    </w:rPr>
  </w:style>
  <w:style w:type="character" w:customStyle="1" w:styleId="14">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3.xml"/><Relationship Id="rId6" Type="http://schemas.openxmlformats.org/officeDocument/2006/relationships/image" Target="media/image1.png"/><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multiLvlStrRef>
              <c:f>[工作簿1]Sheet1!$A$6:$B$7</c:f>
              <c:multiLvlStrCache>
                <c:ptCount val="2"/>
                <c:lvl>
                  <c:pt idx="0">
                    <c:v>人大代表建议</c:v>
                  </c:pt>
                  <c:pt idx="1">
                    <c:v>政协委员提案</c:v>
                  </c:pt>
                </c:lvl>
                <c:lvl>
                  <c:pt idx="0">
                    <c:v>县交通运输局2019年建议提案办理结果公开情况</c:v>
                  </c:pt>
                </c:lvl>
              </c:multiLvlStrCache>
            </c:multiLvlStrRef>
          </c:cat>
          <c:val>
            <c:numRef>
              <c:f>[工作簿1]Sheet1!$A$8:$B$8</c:f>
              <c:numCache>
                <c:formatCode>General</c:formatCode>
                <c:ptCount val="2"/>
                <c:pt idx="0">
                  <c:v>1</c:v>
                </c:pt>
                <c:pt idx="1">
                  <c:v>1</c:v>
                </c:pt>
              </c:numCache>
            </c:numRef>
          </c:val>
        </c:ser>
        <c:dLbls>
          <c:showLegendKey val="0"/>
          <c:showVal val="0"/>
          <c:showCatName val="0"/>
          <c:showSerName val="0"/>
          <c:showPercent val="0"/>
          <c:showBubbleSize val="0"/>
        </c:dLbls>
        <c:gapWidth val="219"/>
        <c:overlap val="-27"/>
        <c:axId val="69633920"/>
        <c:axId val="69635456"/>
      </c:barChart>
      <c:catAx>
        <c:axId val="6963392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635456"/>
        <c:crosses val="autoZero"/>
        <c:auto val="1"/>
        <c:lblAlgn val="ctr"/>
        <c:lblOffset val="100"/>
        <c:noMultiLvlLbl val="0"/>
      </c:catAx>
      <c:valAx>
        <c:axId val="696354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633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multiLvlStrRef>
              <c:f>[工作簿1]Sheet1!$A$1:$E$2</c:f>
              <c:multiLvlStrCache>
                <c:ptCount val="5"/>
                <c:lvl>
                  <c:pt idx="0">
                    <c:v>工程招投标及中标</c:v>
                  </c:pt>
                  <c:pt idx="1">
                    <c:v>客运信息</c:v>
                  </c:pt>
                  <c:pt idx="2">
                    <c:v>事业单位注销登记</c:v>
                  </c:pt>
                  <c:pt idx="3">
                    <c:v>质量信用考核</c:v>
                  </c:pt>
                  <c:pt idx="4">
                    <c:v>安全提示</c:v>
                  </c:pt>
                </c:lvl>
                <c:lvl>
                  <c:pt idx="0">
                    <c:v>县交通运输局2019年公示公告公开情况</c:v>
                  </c:pt>
                </c:lvl>
              </c:multiLvlStrCache>
            </c:multiLvlStrRef>
          </c:cat>
          <c:val>
            <c:numRef>
              <c:f>[工作簿1]Sheet1!$A$3:$E$3</c:f>
              <c:numCache>
                <c:formatCode>General</c:formatCode>
                <c:ptCount val="5"/>
                <c:pt idx="0">
                  <c:v>17</c:v>
                </c:pt>
                <c:pt idx="1">
                  <c:v>4</c:v>
                </c:pt>
                <c:pt idx="2">
                  <c:v>2</c:v>
                </c:pt>
                <c:pt idx="3">
                  <c:v>1</c:v>
                </c:pt>
                <c:pt idx="4">
                  <c:v>1</c:v>
                </c:pt>
              </c:numCache>
            </c:numRef>
          </c:val>
        </c:ser>
        <c:dLbls>
          <c:showLegendKey val="0"/>
          <c:showVal val="1"/>
          <c:showCatName val="0"/>
          <c:showSerName val="0"/>
          <c:showPercent val="0"/>
          <c:showBubbleSize val="0"/>
        </c:dLbls>
        <c:gapWidth val="219"/>
        <c:overlap val="-27"/>
        <c:axId val="121226368"/>
        <c:axId val="125180160"/>
      </c:barChart>
      <c:catAx>
        <c:axId val="12122636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5180160"/>
        <c:crosses val="autoZero"/>
        <c:auto val="1"/>
        <c:lblAlgn val="ctr"/>
        <c:lblOffset val="100"/>
        <c:noMultiLvlLbl val="0"/>
      </c:catAx>
      <c:valAx>
        <c:axId val="1251801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1226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lang="zh-CN" altLang="en-US"/>
              <a:t>年县交通运输局支出预算</a:t>
            </a:r>
            <a:endParaRPr lang="zh-CN" altLang="en-US"/>
          </a:p>
          <a:p>
            <a:pPr defTabSz="914400">
              <a:defRPr lang="zh-CN" sz="1400" b="0" i="0" u="none" strike="noStrike" kern="1200" spc="0" baseline="0">
                <a:solidFill>
                  <a:schemeClr val="tx1">
                    <a:lumMod val="65000"/>
                    <a:lumOff val="35000"/>
                  </a:schemeClr>
                </a:solidFill>
                <a:latin typeface="+mn-lt"/>
                <a:ea typeface="+mn-ea"/>
                <a:cs typeface="+mn-cs"/>
              </a:defRPr>
            </a:pPr>
            <a:endParaRPr lang="zh-CN" altLang="en-US"/>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[工作簿1]Sheet1!$A$12:$D$12</c:f>
              <c:strCache>
                <c:ptCount val="4"/>
                <c:pt idx="0">
                  <c:v>社会保障和就业支出</c:v>
                </c:pt>
                <c:pt idx="1">
                  <c:v>卫生健康支出</c:v>
                </c:pt>
                <c:pt idx="2">
                  <c:v>住房保障支出</c:v>
                </c:pt>
                <c:pt idx="3">
                  <c:v>交通运输支出</c:v>
                </c:pt>
              </c:strCache>
            </c:strRef>
          </c:cat>
          <c:val>
            <c:numRef>
              <c:f>[工作簿1]Sheet1!$A$13:$D$13</c:f>
              <c:numCache>
                <c:formatCode>General</c:formatCode>
                <c:ptCount val="4"/>
                <c:pt idx="0">
                  <c:v>69.13</c:v>
                </c:pt>
                <c:pt idx="1">
                  <c:v>28.77</c:v>
                </c:pt>
                <c:pt idx="2">
                  <c:v>44.87</c:v>
                </c:pt>
                <c:pt idx="3">
                  <c:v>489.25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Pages>
  <Words>541</Words>
  <Characters>3088</Characters>
  <Lines>25</Lines>
  <Paragraphs>7</Paragraphs>
  <TotalTime>1</TotalTime>
  <ScaleCrop>false</ScaleCrop>
  <LinksUpToDate>false</LinksUpToDate>
  <CharactersWithSpaces>3622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韩景明</dc:creator>
  <cp:lastModifiedBy>韩景明</cp:lastModifiedBy>
  <dcterms:modified xsi:type="dcterms:W3CDTF">2021-02-02T07:54:22Z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