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jc w:val="center"/>
        <w:rPr>
          <w:rFonts w:hint="eastAsia" w:ascii="微软雅黑" w:eastAsia="宋体"/>
          <w:sz w:val="84"/>
          <w:szCs w:val="84"/>
          <w:lang w:val="en-US" w:eastAsia="zh-CN"/>
        </w:rPr>
      </w:pPr>
    </w:p>
    <w:p>
      <w:pPr>
        <w:spacing w:line="259" w:lineRule="auto"/>
        <w:jc w:val="center"/>
        <w:rPr>
          <w:rFonts w:hint="eastAsia" w:ascii="微软雅黑" w:eastAsia="宋体"/>
          <w:sz w:val="84"/>
          <w:szCs w:val="84"/>
          <w:lang w:val="en-US" w:eastAsia="zh-CN"/>
        </w:rPr>
      </w:pPr>
    </w:p>
    <w:p>
      <w:pPr>
        <w:spacing w:line="259" w:lineRule="auto"/>
        <w:jc w:val="center"/>
        <w:rPr>
          <w:rFonts w:hint="eastAsia" w:ascii="微软雅黑" w:eastAsia="宋体"/>
          <w:sz w:val="84"/>
          <w:szCs w:val="84"/>
          <w:lang w:val="en-US" w:eastAsia="zh-CN"/>
        </w:rPr>
      </w:pPr>
    </w:p>
    <w:p>
      <w:pPr>
        <w:spacing w:line="259" w:lineRule="auto"/>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2021年高青县交通运输局本级单位预算</w:t>
      </w:r>
    </w:p>
    <w:p>
      <w:pPr>
        <w:spacing w:line="580" w:lineRule="exact"/>
        <w:jc w:val="center"/>
        <w:rPr>
          <w:rFonts w:hint="eastAsia" w:ascii="黑体" w:eastAsia="黑体"/>
          <w:sz w:val="44"/>
          <w:szCs w:val="44"/>
        </w:rPr>
      </w:pPr>
    </w:p>
    <w:p>
      <w:pPr>
        <w:spacing w:line="580" w:lineRule="exact"/>
        <w:jc w:val="center"/>
        <w:rPr>
          <w:rFonts w:hint="eastAsia" w:ascii="黑体" w:eastAsia="黑体"/>
          <w:sz w:val="44"/>
          <w:szCs w:val="44"/>
        </w:rPr>
      </w:pPr>
    </w:p>
    <w:p>
      <w:pPr>
        <w:spacing w:line="580" w:lineRule="exact"/>
        <w:jc w:val="center"/>
        <w:rPr>
          <w:rFonts w:hint="eastAsia" w:ascii="黑体" w:eastAsia="黑体"/>
          <w:sz w:val="44"/>
          <w:szCs w:val="44"/>
        </w:rPr>
      </w:pPr>
    </w:p>
    <w:p>
      <w:pPr>
        <w:spacing w:line="580" w:lineRule="exact"/>
        <w:jc w:val="center"/>
        <w:rPr>
          <w:rFonts w:hint="eastAsia" w:ascii="黑体" w:eastAsia="黑体"/>
          <w:sz w:val="44"/>
          <w:szCs w:val="44"/>
        </w:rPr>
      </w:pPr>
    </w:p>
    <w:p>
      <w:pPr>
        <w:spacing w:line="580" w:lineRule="exact"/>
        <w:jc w:val="center"/>
        <w:rPr>
          <w:rFonts w:hint="eastAsia" w:ascii="黑体" w:eastAsia="黑体"/>
          <w:sz w:val="44"/>
          <w:szCs w:val="44"/>
        </w:rPr>
      </w:pPr>
    </w:p>
    <w:p>
      <w:pPr>
        <w:spacing w:line="580" w:lineRule="exact"/>
        <w:jc w:val="center"/>
        <w:rPr>
          <w:rFonts w:hint="eastAsia" w:ascii="黑体" w:eastAsia="黑体"/>
          <w:sz w:val="44"/>
          <w:szCs w:val="44"/>
        </w:rPr>
      </w:pPr>
    </w:p>
    <w:p>
      <w:pPr>
        <w:spacing w:line="580" w:lineRule="exact"/>
        <w:jc w:val="center"/>
        <w:rPr>
          <w:rFonts w:hint="eastAsia" w:ascii="黑体" w:eastAsia="黑体"/>
          <w:sz w:val="44"/>
          <w:szCs w:val="44"/>
        </w:rPr>
      </w:pPr>
    </w:p>
    <w:p>
      <w:pPr>
        <w:spacing w:line="580" w:lineRule="exact"/>
        <w:jc w:val="center"/>
        <w:rPr>
          <w:rFonts w:hint="eastAsia" w:ascii="黑体" w:eastAsia="黑体"/>
          <w:sz w:val="44"/>
          <w:szCs w:val="44"/>
        </w:rPr>
      </w:pPr>
    </w:p>
    <w:p>
      <w:pPr>
        <w:spacing w:line="580" w:lineRule="exact"/>
        <w:jc w:val="center"/>
        <w:rPr>
          <w:rFonts w:hint="eastAsia" w:ascii="黑体" w:eastAsia="黑体"/>
          <w:sz w:val="44"/>
          <w:szCs w:val="44"/>
        </w:rPr>
      </w:pPr>
    </w:p>
    <w:p>
      <w:pPr>
        <w:spacing w:line="580" w:lineRule="exact"/>
        <w:jc w:val="both"/>
        <w:rPr>
          <w:rFonts w:hint="eastAsia" w:ascii="黑体" w:eastAsia="黑体"/>
          <w:sz w:val="44"/>
          <w:szCs w:val="44"/>
        </w:rPr>
      </w:pPr>
    </w:p>
    <w:p>
      <w:pPr>
        <w:spacing w:line="580" w:lineRule="exact"/>
        <w:jc w:val="center"/>
        <w:rPr>
          <w:rFonts w:hint="eastAsia" w:ascii="黑体" w:eastAsia="黑体"/>
          <w:sz w:val="44"/>
          <w:szCs w:val="44"/>
        </w:rPr>
      </w:pPr>
    </w:p>
    <w:p>
      <w:pPr>
        <w:spacing w:line="580" w:lineRule="exact"/>
        <w:jc w:val="center"/>
        <w:rPr>
          <w:rFonts w:hint="eastAsia" w:ascii="黑体" w:eastAsia="黑体"/>
          <w:sz w:val="44"/>
          <w:szCs w:val="44"/>
        </w:rPr>
      </w:pPr>
    </w:p>
    <w:p>
      <w:pPr>
        <w:spacing w:line="580" w:lineRule="exact"/>
        <w:jc w:val="center"/>
        <w:rPr>
          <w:rFonts w:ascii="黑体" w:eastAsia="黑体"/>
          <w:sz w:val="44"/>
          <w:szCs w:val="44"/>
        </w:rPr>
      </w:pPr>
      <w:r>
        <w:rPr>
          <w:rFonts w:hint="eastAsia" w:ascii="黑体" w:eastAsia="黑体"/>
          <w:sz w:val="44"/>
          <w:szCs w:val="44"/>
        </w:rPr>
        <w:t>目  录</w:t>
      </w:r>
    </w:p>
    <w:p>
      <w:pPr>
        <w:spacing w:line="580" w:lineRule="exact"/>
        <w:jc w:val="center"/>
        <w:rPr>
          <w:rFonts w:ascii="黑体" w:eastAsia="黑体"/>
          <w:sz w:val="44"/>
          <w:szCs w:val="44"/>
        </w:rPr>
      </w:pPr>
    </w:p>
    <w:p>
      <w:pPr>
        <w:spacing w:line="580" w:lineRule="exact"/>
        <w:rPr>
          <w:rFonts w:ascii="黑体" w:eastAsia="黑体"/>
          <w:sz w:val="36"/>
          <w:szCs w:val="36"/>
        </w:rPr>
      </w:pPr>
      <w:r>
        <w:rPr>
          <w:rFonts w:hint="eastAsia" w:ascii="黑体" w:eastAsia="黑体"/>
          <w:sz w:val="36"/>
          <w:szCs w:val="36"/>
        </w:rPr>
        <w:t>第一部分</w:t>
      </w:r>
      <w:r>
        <w:rPr>
          <w:rFonts w:hint="eastAsia" w:ascii="黑体" w:hAnsi="黑体" w:eastAsia="黑体"/>
          <w:sz w:val="36"/>
          <w:szCs w:val="36"/>
        </w:rPr>
        <w:t xml:space="preserve"> </w:t>
      </w:r>
      <w:r>
        <w:rPr>
          <w:rFonts w:hint="eastAsia" w:ascii="黑体" w:eastAsia="黑体"/>
          <w:sz w:val="36"/>
          <w:szCs w:val="36"/>
          <w:lang w:eastAsia="zh-CN"/>
        </w:rPr>
        <w:t>单位</w:t>
      </w:r>
      <w:r>
        <w:rPr>
          <w:rFonts w:hint="eastAsia" w:ascii="黑体" w:eastAsia="黑体"/>
          <w:sz w:val="36"/>
          <w:szCs w:val="36"/>
        </w:rPr>
        <w:t>概况</w:t>
      </w:r>
    </w:p>
    <w:p>
      <w:pPr>
        <w:numPr>
          <w:ilvl w:val="0"/>
          <w:numId w:val="1"/>
        </w:numPr>
        <w:spacing w:line="580" w:lineRule="exact"/>
        <w:rPr>
          <w:rFonts w:ascii="楷体_GB2312" w:eastAsia="楷体_GB2312"/>
          <w:sz w:val="32"/>
          <w:szCs w:val="32"/>
        </w:rPr>
      </w:pPr>
      <w:r>
        <w:rPr>
          <w:rFonts w:hint="eastAsia" w:ascii="楷体_GB2312" w:eastAsia="楷体_GB2312"/>
          <w:sz w:val="32"/>
          <w:szCs w:val="32"/>
        </w:rPr>
        <w:t>主要职能</w:t>
      </w:r>
    </w:p>
    <w:p>
      <w:pPr>
        <w:spacing w:line="580" w:lineRule="exact"/>
        <w:ind w:left="640"/>
        <w:rPr>
          <w:rFonts w:ascii="楷体_GB2312" w:eastAsia="楷体_GB2312"/>
          <w:sz w:val="32"/>
          <w:szCs w:val="32"/>
        </w:rPr>
      </w:pPr>
      <w:r>
        <w:rPr>
          <w:rFonts w:hint="eastAsia" w:ascii="楷体_GB2312" w:eastAsia="楷体_GB2312"/>
          <w:sz w:val="32"/>
          <w:szCs w:val="32"/>
        </w:rPr>
        <w:t xml:space="preserve">二、预算单位构成 </w:t>
      </w:r>
    </w:p>
    <w:p>
      <w:pPr>
        <w:spacing w:line="580" w:lineRule="exact"/>
        <w:rPr>
          <w:rFonts w:ascii="黑体" w:eastAsia="黑体"/>
          <w:sz w:val="36"/>
          <w:szCs w:val="36"/>
        </w:rPr>
      </w:pPr>
      <w:r>
        <w:rPr>
          <w:rFonts w:hint="eastAsia" w:ascii="黑体" w:eastAsia="黑体"/>
          <w:sz w:val="36"/>
          <w:szCs w:val="36"/>
        </w:rPr>
        <w:t>第二部分 2021年</w:t>
      </w:r>
      <w:r>
        <w:rPr>
          <w:rFonts w:hint="eastAsia" w:ascii="黑体" w:eastAsia="黑体"/>
          <w:sz w:val="36"/>
          <w:szCs w:val="36"/>
          <w:lang w:eastAsia="zh-CN"/>
        </w:rPr>
        <w:t>单位</w:t>
      </w:r>
      <w:r>
        <w:rPr>
          <w:rFonts w:hint="eastAsia" w:ascii="黑体" w:eastAsia="黑体"/>
          <w:sz w:val="36"/>
          <w:szCs w:val="36"/>
        </w:rPr>
        <w:t>预算表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一、收支预算总表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二、收入预算表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三、支出预算表</w:t>
      </w:r>
    </w:p>
    <w:p>
      <w:pPr>
        <w:spacing w:line="580" w:lineRule="exact"/>
        <w:ind w:firstLine="640" w:firstLineChars="200"/>
        <w:rPr>
          <w:rFonts w:ascii="仿宋_GB2312" w:eastAsia="仿宋_GB2312"/>
          <w:sz w:val="32"/>
          <w:szCs w:val="32"/>
          <w:highlight w:val="green"/>
        </w:rPr>
      </w:pPr>
      <w:r>
        <w:rPr>
          <w:rFonts w:hint="eastAsia" w:ascii="仿宋_GB2312" w:eastAsia="仿宋_GB2312"/>
          <w:sz w:val="32"/>
          <w:szCs w:val="32"/>
        </w:rPr>
        <w:t>四、财政拨款收支预算表</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五、一般公共预算支出表</w:t>
      </w:r>
    </w:p>
    <w:p>
      <w:pPr>
        <w:spacing w:line="580" w:lineRule="exact"/>
        <w:ind w:firstLine="640" w:firstLineChars="200"/>
        <w:rPr>
          <w:rFonts w:hint="eastAsia" w:ascii="仿宋_GB2312" w:eastAsia="仿宋_GB2312"/>
          <w:sz w:val="32"/>
          <w:szCs w:val="32"/>
          <w:highlight w:val="red"/>
          <w:lang w:val="en-US" w:eastAsia="zh-CN"/>
        </w:rPr>
      </w:pP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rPr>
        <w:t>政府</w:t>
      </w:r>
      <w:r>
        <w:rPr>
          <w:rFonts w:hint="eastAsia" w:ascii="仿宋_GB2312" w:eastAsia="仿宋_GB2312"/>
          <w:sz w:val="32"/>
          <w:szCs w:val="32"/>
        </w:rPr>
        <w:t>性基金预算支出表</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七</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国有资本经营预算支出表</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八</w:t>
      </w:r>
      <w:r>
        <w:rPr>
          <w:rFonts w:hint="eastAsia" w:ascii="仿宋_GB2312" w:eastAsia="仿宋_GB2312"/>
          <w:sz w:val="32"/>
          <w:szCs w:val="32"/>
        </w:rPr>
        <w:t>、财政拨款安排的基本支出预算表（政府预算支出经济分类科目）</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九</w:t>
      </w:r>
      <w:r>
        <w:rPr>
          <w:rFonts w:hint="eastAsia" w:ascii="仿宋_GB2312" w:eastAsia="仿宋_GB2312"/>
          <w:sz w:val="32"/>
          <w:szCs w:val="32"/>
        </w:rPr>
        <w:t>、财政拨款安排的基本支出预算表（</w:t>
      </w:r>
      <w:r>
        <w:rPr>
          <w:rFonts w:hint="eastAsia" w:ascii="仿宋_GB2312" w:eastAsia="仿宋_GB2312"/>
          <w:sz w:val="32"/>
          <w:szCs w:val="32"/>
          <w:lang w:eastAsia="zh-CN"/>
        </w:rPr>
        <w:t>单位</w:t>
      </w:r>
      <w:r>
        <w:rPr>
          <w:rFonts w:hint="eastAsia" w:ascii="仿宋_GB2312" w:eastAsia="仿宋_GB2312"/>
          <w:sz w:val="32"/>
          <w:szCs w:val="32"/>
        </w:rPr>
        <w:t>预算支出经济分类科目）</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十</w:t>
      </w:r>
      <w:r>
        <w:rPr>
          <w:rFonts w:hint="eastAsia" w:ascii="仿宋_GB2312" w:eastAsia="仿宋_GB2312"/>
          <w:sz w:val="32"/>
          <w:szCs w:val="32"/>
          <w:highlight w:val="none"/>
        </w:rPr>
        <w:t>、项目支出</w:t>
      </w:r>
      <w:r>
        <w:rPr>
          <w:rFonts w:hint="eastAsia" w:ascii="仿宋_GB2312" w:eastAsia="仿宋_GB2312"/>
          <w:sz w:val="32"/>
          <w:szCs w:val="32"/>
          <w:highlight w:val="none"/>
          <w:lang w:eastAsia="zh-CN"/>
        </w:rPr>
        <w:t>预算</w:t>
      </w:r>
      <w:r>
        <w:rPr>
          <w:rFonts w:hint="eastAsia" w:ascii="仿宋_GB2312" w:eastAsia="仿宋_GB2312"/>
          <w:sz w:val="32"/>
          <w:szCs w:val="32"/>
          <w:highlight w:val="none"/>
        </w:rPr>
        <w:t>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一</w:t>
      </w:r>
      <w:r>
        <w:rPr>
          <w:rFonts w:hint="eastAsia" w:ascii="仿宋_GB2312" w:eastAsia="仿宋_GB2312"/>
          <w:sz w:val="32"/>
          <w:szCs w:val="32"/>
        </w:rPr>
        <w:t>、政府采购预算表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二</w:t>
      </w:r>
      <w:r>
        <w:rPr>
          <w:rFonts w:hint="eastAsia" w:ascii="仿宋_GB2312" w:eastAsia="仿宋_GB2312"/>
          <w:sz w:val="32"/>
          <w:szCs w:val="32"/>
        </w:rPr>
        <w:t>、一般公共预算财政拨款安排的“三公”经费支出表</w:t>
      </w:r>
    </w:p>
    <w:p>
      <w:pPr>
        <w:spacing w:line="580" w:lineRule="exact"/>
        <w:ind w:left="1602" w:hanging="1602" w:hangingChars="445"/>
        <w:rPr>
          <w:rFonts w:ascii="黑体" w:eastAsia="黑体"/>
          <w:sz w:val="36"/>
          <w:szCs w:val="36"/>
        </w:rPr>
      </w:pPr>
      <w:r>
        <w:rPr>
          <w:rFonts w:hint="eastAsia" w:ascii="黑体" w:eastAsia="黑体"/>
          <w:sz w:val="36"/>
          <w:szCs w:val="36"/>
        </w:rPr>
        <w:t>第三部分 2021年</w:t>
      </w:r>
      <w:r>
        <w:rPr>
          <w:rFonts w:hint="eastAsia" w:ascii="黑体" w:eastAsia="黑体"/>
          <w:sz w:val="36"/>
          <w:szCs w:val="36"/>
          <w:lang w:eastAsia="zh-CN"/>
        </w:rPr>
        <w:t>单位</w:t>
      </w:r>
      <w:r>
        <w:rPr>
          <w:rFonts w:hint="eastAsia" w:ascii="黑体" w:eastAsia="黑体"/>
          <w:sz w:val="36"/>
          <w:szCs w:val="36"/>
        </w:rPr>
        <w:t>预算情况和重要事项说明</w:t>
      </w:r>
    </w:p>
    <w:p>
      <w:pPr>
        <w:rPr>
          <w:rFonts w:ascii="黑体" w:eastAsia="黑体"/>
          <w:sz w:val="36"/>
          <w:szCs w:val="36"/>
        </w:rPr>
      </w:pPr>
      <w:r>
        <w:rPr>
          <w:rFonts w:hint="eastAsia" w:ascii="黑体" w:eastAsia="黑体"/>
          <w:sz w:val="36"/>
          <w:szCs w:val="36"/>
        </w:rPr>
        <w:t>第四部分 名词解释</w:t>
      </w:r>
    </w:p>
    <w:p>
      <w:pPr>
        <w:spacing w:line="468" w:lineRule="auto"/>
        <w:rPr>
          <w:rFonts w:ascii="微软雅黑"/>
          <w:sz w:val="21"/>
        </w:rPr>
      </w:pPr>
    </w:p>
    <w:p>
      <w:pPr>
        <w:spacing w:before="169" w:line="188" w:lineRule="auto"/>
        <w:rPr>
          <w:rFonts w:ascii="黑体" w:hAnsi="黑体" w:eastAsia="黑体" w:cs="黑体"/>
          <w:sz w:val="52"/>
          <w:szCs w:val="52"/>
        </w:rPr>
      </w:pPr>
      <w:r>
        <w:rPr>
          <w:rFonts w:ascii="黑体" w:hAnsi="黑体" w:eastAsia="黑体" w:cs="黑体"/>
          <w:spacing w:val="-5"/>
          <w:sz w:val="52"/>
          <w:szCs w:val="52"/>
        </w:rPr>
        <w:t>第一部分</w:t>
      </w:r>
    </w:p>
    <w:p>
      <w:pPr>
        <w:spacing w:line="247" w:lineRule="auto"/>
        <w:rPr>
          <w:rFonts w:ascii="微软雅黑"/>
          <w:sz w:val="21"/>
        </w:rPr>
      </w:pPr>
    </w:p>
    <w:p>
      <w:pPr>
        <w:spacing w:line="247" w:lineRule="auto"/>
        <w:rPr>
          <w:rFonts w:ascii="微软雅黑"/>
          <w:sz w:val="21"/>
        </w:rPr>
      </w:pPr>
    </w:p>
    <w:p>
      <w:pPr>
        <w:spacing w:line="247" w:lineRule="auto"/>
        <w:rPr>
          <w:rFonts w:ascii="微软雅黑"/>
          <w:sz w:val="21"/>
        </w:rPr>
      </w:pPr>
    </w:p>
    <w:p>
      <w:pPr>
        <w:spacing w:line="248" w:lineRule="auto"/>
        <w:rPr>
          <w:rFonts w:ascii="微软雅黑"/>
          <w:sz w:val="21"/>
        </w:rPr>
      </w:pPr>
    </w:p>
    <w:p>
      <w:pPr>
        <w:spacing w:before="169" w:line="188" w:lineRule="auto"/>
        <w:ind w:firstLine="3845"/>
        <w:rPr>
          <w:rFonts w:ascii="黑体" w:hAnsi="黑体" w:eastAsia="黑体" w:cs="黑体"/>
          <w:sz w:val="52"/>
          <w:szCs w:val="52"/>
        </w:rPr>
      </w:pPr>
      <w:r>
        <w:rPr>
          <w:rFonts w:hint="eastAsia" w:ascii="黑体" w:hAnsi="黑体" w:eastAsia="黑体" w:cs="黑体"/>
          <w:spacing w:val="-8"/>
          <w:sz w:val="52"/>
          <w:szCs w:val="52"/>
          <w:lang w:eastAsia="zh-CN"/>
        </w:rPr>
        <w:t>单位</w:t>
      </w:r>
      <w:r>
        <w:rPr>
          <w:rFonts w:ascii="黑体" w:hAnsi="黑体" w:eastAsia="黑体" w:cs="黑体"/>
          <w:spacing w:val="-8"/>
          <w:sz w:val="52"/>
          <w:szCs w:val="52"/>
        </w:rPr>
        <w:t>概况</w:t>
      </w:r>
    </w:p>
    <w:p>
      <w:pPr>
        <w:sectPr>
          <w:headerReference r:id="rId5" w:type="default"/>
          <w:footerReference r:id="rId6" w:type="default"/>
          <w:pgSz w:w="11906" w:h="16839"/>
          <w:pgMar w:top="1431" w:right="1100" w:bottom="1435" w:left="1100" w:header="0" w:footer="1268" w:gutter="0"/>
          <w:pgNumType w:fmt="decimal" w:start="1"/>
          <w:cols w:space="720" w:num="1"/>
        </w:sectPr>
      </w:pPr>
    </w:p>
    <w:p>
      <w:pPr>
        <w:spacing w:before="189" w:line="187" w:lineRule="auto"/>
        <w:ind w:firstLine="99"/>
        <w:rPr>
          <w:rFonts w:ascii="黑体" w:hAnsi="黑体" w:eastAsia="黑体" w:cs="黑体"/>
          <w:sz w:val="32"/>
          <w:szCs w:val="32"/>
        </w:rPr>
      </w:pPr>
      <w:r>
        <w:rPr>
          <w:rFonts w:ascii="黑体" w:hAnsi="黑体" w:eastAsia="黑体" w:cs="黑体"/>
          <w:spacing w:val="-4"/>
          <w:sz w:val="32"/>
          <w:szCs w:val="32"/>
        </w:rPr>
        <w:t>一、主要职能</w:t>
      </w:r>
    </w:p>
    <w:p>
      <w:pPr>
        <w:spacing w:before="218" w:line="360" w:lineRule="auto"/>
        <w:ind w:left="3" w:right="86" w:firstLine="478"/>
        <w:rPr>
          <w:rFonts w:ascii="仿宋" w:hAnsi="仿宋" w:eastAsia="仿宋" w:cs="仿宋"/>
          <w:sz w:val="32"/>
          <w:szCs w:val="32"/>
        </w:rPr>
      </w:pPr>
      <w:r>
        <w:rPr>
          <w:rFonts w:ascii="仿宋" w:hAnsi="仿宋" w:eastAsia="仿宋" w:cs="仿宋"/>
          <w:spacing w:val="-1"/>
          <w:sz w:val="32"/>
          <w:szCs w:val="32"/>
        </w:rPr>
        <w:t>（一）承担涉及综合运输体系的规划协调工作，会同有关部门组织编制综合运输体系规划，指导交通运输枢纽规划和管理。</w:t>
      </w:r>
    </w:p>
    <w:p>
      <w:pPr>
        <w:spacing w:before="3" w:line="302" w:lineRule="auto"/>
        <w:ind w:left="2" w:right="2" w:firstLine="479"/>
        <w:rPr>
          <w:rFonts w:ascii="仿宋" w:hAnsi="仿宋" w:eastAsia="仿宋" w:cs="仿宋"/>
          <w:sz w:val="32"/>
          <w:szCs w:val="32"/>
        </w:rPr>
      </w:pPr>
      <w:r>
        <w:rPr>
          <w:rFonts w:ascii="仿宋" w:hAnsi="仿宋" w:eastAsia="仿宋" w:cs="仿宋"/>
          <w:spacing w:val="-8"/>
          <w:sz w:val="32"/>
          <w:szCs w:val="32"/>
        </w:rPr>
        <w:t>（二）拟订全县公路、水路行业规划、计划、政策、标准并监</w:t>
      </w:r>
      <w:r>
        <w:rPr>
          <w:rFonts w:ascii="仿宋" w:hAnsi="仿宋" w:eastAsia="仿宋" w:cs="仿宋"/>
          <w:spacing w:val="-11"/>
          <w:sz w:val="32"/>
          <w:szCs w:val="32"/>
        </w:rPr>
        <w:t>督实施；参与拟订现代物流业发展战略和规划，参与拟订有关政策</w:t>
      </w:r>
      <w:r>
        <w:rPr>
          <w:rFonts w:ascii="仿宋" w:hAnsi="仿宋" w:eastAsia="仿宋" w:cs="仿宋"/>
          <w:spacing w:val="-10"/>
          <w:sz w:val="32"/>
          <w:szCs w:val="32"/>
        </w:rPr>
        <w:t>和标准并监督实施；指导公路、水路行业有关体制改革工作。</w:t>
      </w:r>
    </w:p>
    <w:p>
      <w:pPr>
        <w:spacing w:before="298" w:line="317" w:lineRule="auto"/>
        <w:ind w:firstLine="572" w:firstLineChars="200"/>
        <w:rPr>
          <w:rFonts w:ascii="仿宋" w:hAnsi="仿宋" w:eastAsia="仿宋" w:cs="仿宋"/>
          <w:sz w:val="32"/>
          <w:szCs w:val="32"/>
        </w:rPr>
      </w:pPr>
      <w:r>
        <w:rPr>
          <w:rFonts w:ascii="仿宋" w:hAnsi="仿宋" w:eastAsia="仿宋" w:cs="仿宋"/>
          <w:spacing w:val="-17"/>
          <w:sz w:val="32"/>
          <w:szCs w:val="32"/>
        </w:rPr>
        <w:t>（三）承担道路、水路和城市客运运输市场监管责任；拟订道</w:t>
      </w:r>
      <w:r>
        <w:rPr>
          <w:rFonts w:ascii="仿宋" w:hAnsi="仿宋" w:eastAsia="仿宋" w:cs="仿宋"/>
          <w:spacing w:val="-4"/>
          <w:sz w:val="32"/>
          <w:szCs w:val="32"/>
        </w:rPr>
        <w:t>路、水路和城市客运运输有关政策、准入制度、运营规范、技术标</w:t>
      </w:r>
      <w:r>
        <w:rPr>
          <w:rFonts w:ascii="仿宋" w:hAnsi="仿宋" w:eastAsia="仿宋" w:cs="仿宋"/>
          <w:spacing w:val="-18"/>
          <w:sz w:val="32"/>
          <w:szCs w:val="32"/>
        </w:rPr>
        <w:t>准并监督实施；按规定组织协调重点物资、紧急客货运输；指导道</w:t>
      </w:r>
      <w:r>
        <w:rPr>
          <w:rFonts w:ascii="仿宋" w:hAnsi="仿宋" w:eastAsia="仿宋" w:cs="仿宋"/>
          <w:spacing w:val="-2"/>
          <w:sz w:val="32"/>
          <w:szCs w:val="32"/>
        </w:rPr>
        <w:t>路、水路运输服务行业管理工作。</w:t>
      </w:r>
    </w:p>
    <w:p>
      <w:pPr>
        <w:spacing w:before="295" w:line="365" w:lineRule="auto"/>
        <w:ind w:firstLine="481"/>
        <w:rPr>
          <w:rFonts w:ascii="仿宋" w:hAnsi="仿宋" w:eastAsia="仿宋" w:cs="仿宋"/>
          <w:sz w:val="30"/>
          <w:szCs w:val="30"/>
        </w:rPr>
      </w:pPr>
      <w:r>
        <w:rPr>
          <w:rFonts w:ascii="仿宋" w:hAnsi="仿宋" w:eastAsia="仿宋" w:cs="仿宋"/>
          <w:spacing w:val="-16"/>
          <w:sz w:val="32"/>
          <w:szCs w:val="32"/>
        </w:rPr>
        <w:t>（四）承担水上交通安全监管责任；负责县辖内河水上交通管</w:t>
      </w:r>
      <w:r>
        <w:rPr>
          <w:rFonts w:ascii="仿宋" w:hAnsi="仿宋" w:eastAsia="仿宋" w:cs="仿宋"/>
          <w:spacing w:val="-11"/>
          <w:sz w:val="32"/>
          <w:szCs w:val="32"/>
        </w:rPr>
        <w:t>制、救助打捞、危险品运输监督管理工作</w:t>
      </w:r>
      <w:r>
        <w:rPr>
          <w:rFonts w:hint="eastAsia" w:ascii="仿宋" w:hAnsi="仿宋" w:eastAsia="仿宋" w:cs="仿宋"/>
          <w:spacing w:val="-11"/>
          <w:sz w:val="32"/>
          <w:szCs w:val="32"/>
          <w:lang w:eastAsia="zh-CN"/>
        </w:rPr>
        <w:t>、</w:t>
      </w:r>
      <w:r>
        <w:rPr>
          <w:rFonts w:ascii="仿宋" w:hAnsi="仿宋" w:eastAsia="仿宋" w:cs="仿宋"/>
          <w:spacing w:val="-11"/>
          <w:sz w:val="32"/>
          <w:szCs w:val="32"/>
        </w:rPr>
        <w:t>负责船舶（不含渔业船</w:t>
      </w:r>
      <w:r>
        <w:rPr>
          <w:rFonts w:ascii="仿宋" w:hAnsi="仿宋" w:eastAsia="仿宋" w:cs="仿宋"/>
          <w:spacing w:val="-19"/>
          <w:sz w:val="32"/>
          <w:szCs w:val="32"/>
        </w:rPr>
        <w:t>舶）及相关水上设施检验、登记、防止污染工作；指导内河港口</w:t>
      </w:r>
      <w:r>
        <w:rPr>
          <w:rFonts w:ascii="仿宋" w:hAnsi="仿宋" w:eastAsia="仿宋" w:cs="仿宋"/>
          <w:spacing w:val="-19"/>
          <w:sz w:val="30"/>
          <w:szCs w:val="30"/>
        </w:rPr>
        <w:t>设</w:t>
      </w:r>
      <w:r>
        <w:rPr>
          <w:rFonts w:ascii="仿宋" w:hAnsi="仿宋" w:eastAsia="仿宋" w:cs="仿宋"/>
          <w:spacing w:val="-2"/>
          <w:sz w:val="30"/>
          <w:szCs w:val="30"/>
        </w:rPr>
        <w:t>施保安、引航管理工作。</w:t>
      </w:r>
    </w:p>
    <w:p>
      <w:pPr>
        <w:spacing w:before="7" w:line="360" w:lineRule="auto"/>
        <w:ind w:left="4" w:right="2" w:firstLine="476"/>
        <w:rPr>
          <w:rFonts w:ascii="仿宋" w:hAnsi="仿宋" w:eastAsia="仿宋" w:cs="仿宋"/>
          <w:sz w:val="32"/>
          <w:szCs w:val="32"/>
        </w:rPr>
      </w:pPr>
      <w:r>
        <w:rPr>
          <w:rFonts w:ascii="仿宋" w:hAnsi="仿宋" w:eastAsia="仿宋" w:cs="仿宋"/>
          <w:spacing w:val="-7"/>
          <w:sz w:val="32"/>
          <w:szCs w:val="32"/>
        </w:rPr>
        <w:t>（五）负责提出公路、水路、城市客运固定资产投资规模和方</w:t>
      </w:r>
      <w:r>
        <w:rPr>
          <w:rFonts w:ascii="仿宋" w:hAnsi="仿宋" w:eastAsia="仿宋" w:cs="仿宋"/>
          <w:spacing w:val="-11"/>
          <w:sz w:val="32"/>
          <w:szCs w:val="32"/>
        </w:rPr>
        <w:t>向、政府财政性资金安排建议；拟订全县公路、水路有关规费政策</w:t>
      </w:r>
      <w:r>
        <w:rPr>
          <w:rFonts w:ascii="仿宋" w:hAnsi="仿宋" w:eastAsia="仿宋" w:cs="仿宋"/>
          <w:spacing w:val="-12"/>
          <w:sz w:val="32"/>
          <w:szCs w:val="32"/>
        </w:rPr>
        <w:t>并监督实施，提出有关财政、土地、价格等政策建议；负责公路通</w:t>
      </w:r>
      <w:r>
        <w:rPr>
          <w:rFonts w:ascii="仿宋" w:hAnsi="仿宋" w:eastAsia="仿宋" w:cs="仿宋"/>
          <w:spacing w:val="-11"/>
          <w:sz w:val="32"/>
          <w:szCs w:val="32"/>
        </w:rPr>
        <w:t>行费收费、内河船闸、超限超载监测站点设置的审核呈报工作；指</w:t>
      </w:r>
      <w:r>
        <w:rPr>
          <w:rFonts w:ascii="仿宋" w:hAnsi="仿宋" w:eastAsia="仿宋" w:cs="仿宋"/>
          <w:spacing w:val="-3"/>
          <w:sz w:val="32"/>
          <w:szCs w:val="32"/>
        </w:rPr>
        <w:t>导行业投融资工作。</w:t>
      </w:r>
    </w:p>
    <w:p>
      <w:pPr>
        <w:spacing w:before="5" w:line="359" w:lineRule="auto"/>
        <w:ind w:firstLine="481"/>
        <w:rPr>
          <w:rFonts w:ascii="仿宋" w:hAnsi="仿宋" w:eastAsia="仿宋" w:cs="仿宋"/>
          <w:sz w:val="32"/>
          <w:szCs w:val="32"/>
        </w:rPr>
      </w:pPr>
      <w:r>
        <w:rPr>
          <w:rFonts w:ascii="仿宋" w:hAnsi="仿宋" w:eastAsia="仿宋" w:cs="仿宋"/>
          <w:spacing w:val="-16"/>
          <w:sz w:val="32"/>
          <w:szCs w:val="32"/>
        </w:rPr>
        <w:t>（六）承担公路、水路和城市客运建设市场监管责任；拟订公</w:t>
      </w:r>
      <w:r>
        <w:rPr>
          <w:rFonts w:ascii="仿宋" w:hAnsi="仿宋" w:eastAsia="仿宋" w:cs="仿宋"/>
          <w:spacing w:val="-11"/>
          <w:sz w:val="32"/>
          <w:szCs w:val="32"/>
        </w:rPr>
        <w:t>路、水路工程建设相关政策、制度、技术标准并监督实施；组织协</w:t>
      </w:r>
      <w:r>
        <w:rPr>
          <w:rFonts w:ascii="仿宋" w:hAnsi="仿宋" w:eastAsia="仿宋" w:cs="仿宋"/>
          <w:spacing w:val="-4"/>
          <w:sz w:val="32"/>
          <w:szCs w:val="32"/>
        </w:rPr>
        <w:t>调公路、水路有关重点工程建设和工程质量、安全生产监督管理工</w:t>
      </w:r>
    </w:p>
    <w:p>
      <w:pPr>
        <w:sectPr>
          <w:footerReference r:id="rId7" w:type="default"/>
          <w:pgSz w:w="11906" w:h="16839"/>
          <w:pgMar w:top="1431" w:right="1079" w:bottom="1435" w:left="1638" w:header="0" w:footer="1267" w:gutter="0"/>
          <w:pgNumType w:fmt="decimal"/>
          <w:cols w:space="720" w:num="1"/>
        </w:sectPr>
      </w:pPr>
    </w:p>
    <w:p>
      <w:pPr>
        <w:spacing w:before="65" w:line="360" w:lineRule="auto"/>
        <w:ind w:left="57" w:right="2" w:hanging="52"/>
        <w:rPr>
          <w:rFonts w:ascii="仿宋" w:hAnsi="仿宋" w:eastAsia="仿宋" w:cs="仿宋"/>
          <w:sz w:val="32"/>
          <w:szCs w:val="32"/>
        </w:rPr>
      </w:pPr>
      <w:r>
        <w:rPr>
          <w:rFonts w:ascii="仿宋" w:hAnsi="仿宋" w:eastAsia="仿宋" w:cs="仿宋"/>
          <w:spacing w:val="-11"/>
          <w:sz w:val="32"/>
          <w:szCs w:val="32"/>
        </w:rPr>
        <w:t>作，指导公路、水路基础设施管理和维护工作；按规定负责内河港</w:t>
      </w:r>
      <w:r>
        <w:rPr>
          <w:rFonts w:ascii="仿宋" w:hAnsi="仿宋" w:eastAsia="仿宋" w:cs="仿宋"/>
          <w:spacing w:val="-7"/>
          <w:sz w:val="32"/>
          <w:szCs w:val="32"/>
        </w:rPr>
        <w:t>口规划和岸线使用管理工作。</w:t>
      </w:r>
    </w:p>
    <w:p>
      <w:pPr>
        <w:spacing w:before="1" w:line="201" w:lineRule="auto"/>
        <w:ind w:firstLine="479"/>
        <w:rPr>
          <w:rFonts w:ascii="仿宋" w:hAnsi="仿宋" w:eastAsia="仿宋" w:cs="仿宋"/>
          <w:sz w:val="32"/>
          <w:szCs w:val="32"/>
        </w:rPr>
      </w:pPr>
      <w:r>
        <w:rPr>
          <w:rFonts w:ascii="仿宋" w:hAnsi="仿宋" w:eastAsia="仿宋" w:cs="仿宋"/>
          <w:spacing w:val="-7"/>
          <w:sz w:val="32"/>
          <w:szCs w:val="32"/>
        </w:rPr>
        <w:t>（七）监督和指导农村公路的规划、建设、养护、管理工作。</w:t>
      </w:r>
    </w:p>
    <w:p>
      <w:pPr>
        <w:spacing w:before="274" w:line="188" w:lineRule="auto"/>
        <w:ind w:firstLine="479"/>
        <w:rPr>
          <w:rFonts w:ascii="仿宋" w:hAnsi="仿宋" w:eastAsia="仿宋" w:cs="仿宋"/>
          <w:sz w:val="32"/>
          <w:szCs w:val="32"/>
        </w:rPr>
      </w:pPr>
      <w:r>
        <w:rPr>
          <w:rFonts w:ascii="仿宋" w:hAnsi="仿宋" w:eastAsia="仿宋" w:cs="仿宋"/>
          <w:spacing w:val="-16"/>
          <w:sz w:val="32"/>
          <w:szCs w:val="32"/>
        </w:rPr>
        <w:t>（八）负责城市客运（含出租车）运营管理工作。</w:t>
      </w:r>
    </w:p>
    <w:p>
      <w:pPr>
        <w:spacing w:before="298" w:line="317" w:lineRule="auto"/>
        <w:ind w:firstLine="479"/>
        <w:rPr>
          <w:rFonts w:ascii="仿宋" w:hAnsi="仿宋" w:eastAsia="仿宋" w:cs="仿宋"/>
          <w:sz w:val="32"/>
          <w:szCs w:val="32"/>
        </w:rPr>
      </w:pPr>
      <w:r>
        <w:rPr>
          <w:rFonts w:ascii="仿宋" w:hAnsi="仿宋" w:eastAsia="仿宋" w:cs="仿宋"/>
          <w:spacing w:val="-7"/>
          <w:sz w:val="32"/>
          <w:szCs w:val="32"/>
        </w:rPr>
        <w:t>（九）贯彻实施国家交通科技政策、技术标准和规范，组织行</w:t>
      </w:r>
      <w:r>
        <w:rPr>
          <w:rFonts w:ascii="仿宋" w:hAnsi="仿宋" w:eastAsia="仿宋" w:cs="仿宋"/>
          <w:spacing w:val="-11"/>
          <w:sz w:val="32"/>
          <w:szCs w:val="32"/>
        </w:rPr>
        <w:t>业科技开发，推动技术进步；指导公路、水路行业环境保护和节能</w:t>
      </w:r>
      <w:r>
        <w:rPr>
          <w:rFonts w:ascii="仿宋" w:hAnsi="仿宋" w:eastAsia="仿宋" w:cs="仿宋"/>
          <w:spacing w:val="-19"/>
          <w:sz w:val="32"/>
          <w:szCs w:val="32"/>
        </w:rPr>
        <w:t>减排工作；指导行业教育、培训工作；负责相关行业统计，发布有</w:t>
      </w:r>
      <w:r>
        <w:rPr>
          <w:rFonts w:ascii="仿宋" w:hAnsi="仿宋" w:eastAsia="仿宋" w:cs="仿宋"/>
          <w:spacing w:val="-6"/>
          <w:sz w:val="32"/>
          <w:szCs w:val="32"/>
        </w:rPr>
        <w:t>关信息。</w:t>
      </w:r>
    </w:p>
    <w:p>
      <w:pPr>
        <w:spacing w:before="298" w:line="274" w:lineRule="auto"/>
        <w:ind w:left="2" w:right="86" w:firstLine="476"/>
        <w:rPr>
          <w:rFonts w:ascii="仿宋" w:hAnsi="仿宋" w:eastAsia="仿宋" w:cs="仿宋"/>
          <w:sz w:val="32"/>
          <w:szCs w:val="32"/>
        </w:rPr>
      </w:pPr>
      <w:r>
        <w:rPr>
          <w:rFonts w:ascii="仿宋" w:hAnsi="仿宋" w:eastAsia="仿宋" w:cs="仿宋"/>
          <w:spacing w:val="-16"/>
          <w:sz w:val="32"/>
          <w:szCs w:val="32"/>
        </w:rPr>
        <w:t>（十）指导交通运输方面的合作与交流工作；负责相关涉外运</w:t>
      </w:r>
      <w:r>
        <w:rPr>
          <w:rFonts w:ascii="仿宋" w:hAnsi="仿宋" w:eastAsia="仿宋" w:cs="仿宋"/>
          <w:spacing w:val="-4"/>
          <w:sz w:val="32"/>
          <w:szCs w:val="32"/>
        </w:rPr>
        <w:t>输的管理工作。</w:t>
      </w:r>
    </w:p>
    <w:p>
      <w:pPr>
        <w:spacing w:before="297" w:line="360" w:lineRule="auto"/>
        <w:ind w:left="7" w:right="86" w:firstLine="471"/>
        <w:rPr>
          <w:rFonts w:ascii="仿宋" w:hAnsi="仿宋" w:eastAsia="仿宋" w:cs="仿宋"/>
          <w:sz w:val="32"/>
          <w:szCs w:val="32"/>
        </w:rPr>
      </w:pPr>
      <w:r>
        <w:rPr>
          <w:rFonts w:ascii="仿宋" w:hAnsi="仿宋" w:eastAsia="仿宋" w:cs="仿宋"/>
          <w:spacing w:val="-10"/>
          <w:sz w:val="32"/>
          <w:szCs w:val="32"/>
        </w:rPr>
        <w:t>（十一）指导公路、水路安全生产和应急管理工作；负责全县</w:t>
      </w:r>
      <w:r>
        <w:rPr>
          <w:rFonts w:ascii="仿宋" w:hAnsi="仿宋" w:eastAsia="仿宋" w:cs="仿宋"/>
          <w:spacing w:val="-3"/>
          <w:sz w:val="32"/>
          <w:szCs w:val="32"/>
        </w:rPr>
        <w:t>交通战备及有关工作。</w:t>
      </w:r>
    </w:p>
    <w:p>
      <w:pPr>
        <w:spacing w:line="204" w:lineRule="auto"/>
        <w:ind w:firstLine="479"/>
        <w:rPr>
          <w:rFonts w:hint="eastAsia" w:ascii="仿宋" w:hAnsi="仿宋" w:eastAsia="仿宋" w:cs="仿宋"/>
          <w:sz w:val="32"/>
          <w:szCs w:val="32"/>
          <w:lang w:eastAsia="zh-CN"/>
        </w:rPr>
      </w:pPr>
      <w:r>
        <w:rPr>
          <w:rFonts w:ascii="仿宋" w:hAnsi="仿宋" w:eastAsia="仿宋" w:cs="仿宋"/>
          <w:spacing w:val="-7"/>
          <w:sz w:val="32"/>
          <w:szCs w:val="32"/>
        </w:rPr>
        <w:t>（十二）承办县委、县政府和上级业务部门交办的其他事项</w:t>
      </w:r>
      <w:r>
        <w:rPr>
          <w:rFonts w:hint="eastAsia" w:ascii="仿宋" w:hAnsi="仿宋" w:eastAsia="仿宋" w:cs="仿宋"/>
          <w:spacing w:val="-7"/>
          <w:sz w:val="32"/>
          <w:szCs w:val="32"/>
          <w:lang w:eastAsia="zh-CN"/>
        </w:rPr>
        <w:t>。</w:t>
      </w:r>
    </w:p>
    <w:p>
      <w:pPr>
        <w:spacing w:before="306" w:line="187" w:lineRule="auto"/>
        <w:ind w:firstLine="735"/>
        <w:rPr>
          <w:rFonts w:ascii="黑体" w:hAnsi="黑体" w:eastAsia="黑体" w:cs="黑体"/>
          <w:sz w:val="32"/>
          <w:szCs w:val="32"/>
        </w:rPr>
      </w:pPr>
      <w:r>
        <w:rPr>
          <w:rFonts w:ascii="黑体" w:hAnsi="黑体" w:eastAsia="黑体" w:cs="黑体"/>
          <w:spacing w:val="-2"/>
          <w:sz w:val="32"/>
          <w:szCs w:val="32"/>
        </w:rPr>
        <w:t>二、预算单位构成</w:t>
      </w:r>
    </w:p>
    <w:p>
      <w:pPr>
        <w:spacing w:before="221" w:line="350" w:lineRule="auto"/>
        <w:ind w:left="6" w:right="82" w:firstLine="612"/>
        <w:rPr>
          <w:rFonts w:hint="eastAsia" w:ascii="仿宋" w:hAnsi="仿宋" w:eastAsia="仿宋" w:cs="仿宋"/>
          <w:sz w:val="30"/>
          <w:szCs w:val="30"/>
          <w:lang w:eastAsia="zh-CN"/>
        </w:rPr>
      </w:pPr>
      <w:r>
        <w:rPr>
          <w:rFonts w:hint="eastAsia" w:ascii="仿宋" w:hAnsi="仿宋" w:eastAsia="仿宋" w:cs="仿宋"/>
          <w:sz w:val="30"/>
          <w:szCs w:val="30"/>
          <w:lang w:val="en-US" w:eastAsia="zh-CN"/>
        </w:rPr>
        <w:t>本单位无下级</w:t>
      </w:r>
      <w:r>
        <w:rPr>
          <w:rFonts w:ascii="仿宋" w:hAnsi="仿宋" w:eastAsia="仿宋" w:cs="仿宋"/>
          <w:sz w:val="30"/>
          <w:szCs w:val="30"/>
        </w:rPr>
        <w:t>预算单</w:t>
      </w:r>
      <w:r>
        <w:rPr>
          <w:rFonts w:ascii="仿宋" w:hAnsi="仿宋" w:eastAsia="仿宋" w:cs="仿宋"/>
          <w:spacing w:val="-18"/>
          <w:sz w:val="30"/>
          <w:szCs w:val="30"/>
        </w:rPr>
        <w:t>位</w:t>
      </w:r>
      <w:r>
        <w:rPr>
          <w:rFonts w:hint="eastAsia" w:ascii="仿宋" w:hAnsi="仿宋" w:eastAsia="仿宋" w:cs="仿宋"/>
          <w:spacing w:val="-16"/>
          <w:sz w:val="30"/>
          <w:szCs w:val="30"/>
          <w:lang w:eastAsia="zh-CN"/>
        </w:rPr>
        <w:t>。</w:t>
      </w:r>
    </w:p>
    <w:p>
      <w:pPr>
        <w:spacing w:before="169" w:line="188" w:lineRule="auto"/>
        <w:rPr>
          <w:rFonts w:ascii="黑体" w:hAnsi="黑体" w:eastAsia="黑体" w:cs="黑体"/>
          <w:spacing w:val="-5"/>
          <w:sz w:val="52"/>
          <w:szCs w:val="52"/>
        </w:rPr>
      </w:pPr>
    </w:p>
    <w:p>
      <w:pPr>
        <w:spacing w:before="169" w:line="188" w:lineRule="auto"/>
        <w:rPr>
          <w:rFonts w:ascii="黑体" w:hAnsi="黑体" w:eastAsia="黑体" w:cs="黑体"/>
          <w:spacing w:val="-5"/>
          <w:sz w:val="52"/>
          <w:szCs w:val="52"/>
        </w:rPr>
      </w:pPr>
    </w:p>
    <w:p>
      <w:pPr>
        <w:spacing w:before="169" w:line="188" w:lineRule="auto"/>
        <w:rPr>
          <w:rFonts w:ascii="黑体" w:hAnsi="黑体" w:eastAsia="黑体" w:cs="黑体"/>
          <w:spacing w:val="-5"/>
          <w:sz w:val="52"/>
          <w:szCs w:val="52"/>
        </w:rPr>
      </w:pPr>
    </w:p>
    <w:p>
      <w:pPr>
        <w:spacing w:before="169" w:line="188" w:lineRule="auto"/>
        <w:ind w:firstLine="4750" w:firstLineChars="2500"/>
        <w:rPr>
          <w:rFonts w:hint="eastAsia" w:ascii="宋体" w:hAnsi="宋体" w:eastAsia="宋体" w:cs="宋体"/>
          <w:spacing w:val="-5"/>
          <w:sz w:val="20"/>
          <w:szCs w:val="20"/>
          <w:lang w:val="en-US" w:eastAsia="zh-CN"/>
        </w:rPr>
      </w:pPr>
    </w:p>
    <w:p>
      <w:pPr>
        <w:spacing w:before="169" w:line="188" w:lineRule="auto"/>
        <w:ind w:firstLine="4750" w:firstLineChars="2500"/>
        <w:rPr>
          <w:rFonts w:hint="eastAsia" w:ascii="宋体" w:hAnsi="宋体" w:eastAsia="宋体" w:cs="宋体"/>
          <w:spacing w:val="-5"/>
          <w:sz w:val="20"/>
          <w:szCs w:val="20"/>
          <w:lang w:val="en-US" w:eastAsia="zh-CN"/>
        </w:rPr>
      </w:pPr>
    </w:p>
    <w:p>
      <w:pPr>
        <w:spacing w:before="169" w:line="188" w:lineRule="auto"/>
        <w:ind w:firstLine="4750" w:firstLineChars="2500"/>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4</w:t>
      </w:r>
    </w:p>
    <w:p>
      <w:pPr>
        <w:spacing w:before="169" w:line="188" w:lineRule="auto"/>
        <w:rPr>
          <w:rFonts w:ascii="黑体" w:hAnsi="黑体" w:eastAsia="黑体" w:cs="黑体"/>
          <w:spacing w:val="-5"/>
          <w:sz w:val="52"/>
          <w:szCs w:val="52"/>
        </w:rPr>
      </w:pPr>
    </w:p>
    <w:p>
      <w:pPr>
        <w:spacing w:before="169" w:line="188" w:lineRule="auto"/>
        <w:rPr>
          <w:rFonts w:ascii="黑体" w:hAnsi="黑体" w:eastAsia="黑体" w:cs="黑体"/>
          <w:spacing w:val="-5"/>
          <w:sz w:val="52"/>
          <w:szCs w:val="52"/>
        </w:rPr>
      </w:pPr>
    </w:p>
    <w:p>
      <w:pPr>
        <w:spacing w:before="169" w:line="188" w:lineRule="auto"/>
        <w:rPr>
          <w:rFonts w:ascii="黑体" w:hAnsi="黑体" w:eastAsia="黑体" w:cs="黑体"/>
          <w:spacing w:val="-5"/>
          <w:sz w:val="52"/>
          <w:szCs w:val="52"/>
        </w:rPr>
      </w:pPr>
    </w:p>
    <w:p>
      <w:pPr>
        <w:spacing w:before="169" w:line="188" w:lineRule="auto"/>
        <w:rPr>
          <w:rFonts w:ascii="黑体" w:hAnsi="黑体" w:eastAsia="黑体" w:cs="黑体"/>
          <w:spacing w:val="-5"/>
          <w:sz w:val="52"/>
          <w:szCs w:val="52"/>
        </w:rPr>
      </w:pPr>
    </w:p>
    <w:p>
      <w:pPr>
        <w:spacing w:before="169" w:line="188" w:lineRule="auto"/>
        <w:ind w:firstLine="1020" w:firstLineChars="200"/>
        <w:rPr>
          <w:rFonts w:ascii="黑体" w:hAnsi="黑体" w:eastAsia="黑体" w:cs="黑体"/>
          <w:sz w:val="52"/>
          <w:szCs w:val="52"/>
        </w:rPr>
      </w:pPr>
      <w:r>
        <w:rPr>
          <w:rFonts w:ascii="黑体" w:hAnsi="黑体" w:eastAsia="黑体" w:cs="黑体"/>
          <w:spacing w:val="-5"/>
          <w:sz w:val="52"/>
          <w:szCs w:val="52"/>
        </w:rPr>
        <w:t>第二部分</w:t>
      </w:r>
    </w:p>
    <w:p>
      <w:pPr>
        <w:spacing w:line="247" w:lineRule="auto"/>
        <w:rPr>
          <w:rFonts w:ascii="微软雅黑"/>
          <w:sz w:val="21"/>
        </w:rPr>
      </w:pPr>
    </w:p>
    <w:p>
      <w:pPr>
        <w:spacing w:line="247" w:lineRule="auto"/>
        <w:rPr>
          <w:rFonts w:ascii="微软雅黑"/>
          <w:sz w:val="21"/>
        </w:rPr>
      </w:pPr>
    </w:p>
    <w:p>
      <w:pPr>
        <w:spacing w:line="247" w:lineRule="auto"/>
        <w:rPr>
          <w:rFonts w:ascii="微软雅黑"/>
          <w:sz w:val="21"/>
        </w:rPr>
      </w:pPr>
    </w:p>
    <w:p>
      <w:pPr>
        <w:spacing w:line="248" w:lineRule="auto"/>
        <w:rPr>
          <w:rFonts w:ascii="微软雅黑"/>
          <w:sz w:val="21"/>
        </w:rPr>
      </w:pPr>
    </w:p>
    <w:p>
      <w:pPr>
        <w:spacing w:before="169" w:line="188" w:lineRule="auto"/>
        <w:ind w:firstLine="2589"/>
        <w:rPr>
          <w:rFonts w:ascii="Times New Roman" w:hAnsi="Times New Roman" w:eastAsia="Times New Roman" w:cs="Times New Roman"/>
          <w:spacing w:val="-3"/>
          <w:sz w:val="52"/>
          <w:szCs w:val="52"/>
        </w:rPr>
      </w:pPr>
    </w:p>
    <w:p>
      <w:pPr>
        <w:spacing w:before="169" w:line="188" w:lineRule="auto"/>
        <w:ind w:firstLine="2589"/>
        <w:rPr>
          <w:rFonts w:ascii="Times New Roman" w:hAnsi="Times New Roman" w:eastAsia="Times New Roman" w:cs="Times New Roman"/>
          <w:spacing w:val="-3"/>
          <w:sz w:val="52"/>
          <w:szCs w:val="52"/>
        </w:rPr>
      </w:pPr>
    </w:p>
    <w:p>
      <w:pPr>
        <w:spacing w:before="169" w:line="188" w:lineRule="auto"/>
        <w:ind w:firstLine="2589"/>
        <w:rPr>
          <w:rFonts w:ascii="黑体" w:hAnsi="黑体" w:eastAsia="黑体" w:cs="黑体"/>
          <w:sz w:val="52"/>
          <w:szCs w:val="52"/>
        </w:rPr>
      </w:pPr>
      <w:r>
        <w:rPr>
          <w:rFonts w:ascii="Times New Roman" w:hAnsi="Times New Roman" w:eastAsia="Times New Roman" w:cs="Times New Roman"/>
          <w:spacing w:val="-3"/>
          <w:sz w:val="52"/>
          <w:szCs w:val="52"/>
        </w:rPr>
        <w:t>2021</w:t>
      </w:r>
      <w:r>
        <w:rPr>
          <w:rFonts w:ascii="Times New Roman" w:hAnsi="Times New Roman" w:eastAsia="Times New Roman" w:cs="Times New Roman"/>
          <w:spacing w:val="22"/>
          <w:sz w:val="52"/>
          <w:szCs w:val="52"/>
        </w:rPr>
        <w:t xml:space="preserve"> </w:t>
      </w:r>
      <w:r>
        <w:rPr>
          <w:rFonts w:ascii="黑体" w:hAnsi="黑体" w:eastAsia="黑体" w:cs="黑体"/>
          <w:spacing w:val="-3"/>
          <w:sz w:val="52"/>
          <w:szCs w:val="52"/>
        </w:rPr>
        <w:t>年</w:t>
      </w:r>
      <w:r>
        <w:rPr>
          <w:rFonts w:hint="eastAsia" w:ascii="黑体" w:hAnsi="黑体" w:eastAsia="黑体" w:cs="黑体"/>
          <w:spacing w:val="-3"/>
          <w:sz w:val="52"/>
          <w:szCs w:val="52"/>
          <w:lang w:eastAsia="zh-CN"/>
        </w:rPr>
        <w:t>单位</w:t>
      </w:r>
      <w:r>
        <w:rPr>
          <w:rFonts w:ascii="黑体" w:hAnsi="黑体" w:eastAsia="黑体" w:cs="黑体"/>
          <w:spacing w:val="-3"/>
          <w:sz w:val="52"/>
          <w:szCs w:val="52"/>
        </w:rPr>
        <w:t>预算表</w:t>
      </w: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7" w:lineRule="auto"/>
        <w:rPr>
          <w:rFonts w:ascii="微软雅黑"/>
          <w:sz w:val="21"/>
        </w:rPr>
      </w:pPr>
    </w:p>
    <w:p>
      <w:pPr>
        <w:spacing w:line="247" w:lineRule="auto"/>
        <w:rPr>
          <w:rFonts w:ascii="微软雅黑"/>
          <w:sz w:val="21"/>
        </w:rPr>
      </w:pPr>
    </w:p>
    <w:p>
      <w:pPr>
        <w:spacing w:line="247" w:lineRule="auto"/>
        <w:rPr>
          <w:rFonts w:ascii="微软雅黑"/>
          <w:sz w:val="21"/>
        </w:rPr>
      </w:pPr>
    </w:p>
    <w:p>
      <w:pPr>
        <w:spacing w:line="247" w:lineRule="auto"/>
        <w:rPr>
          <w:rFonts w:ascii="微软雅黑"/>
          <w:sz w:val="21"/>
        </w:rPr>
      </w:pPr>
    </w:p>
    <w:p>
      <w:pPr>
        <w:spacing w:line="247" w:lineRule="auto"/>
        <w:rPr>
          <w:rFonts w:hint="eastAsia" w:ascii="宋体" w:hAnsi="宋体" w:eastAsia="宋体" w:cs="宋体"/>
          <w:sz w:val="20"/>
          <w:szCs w:val="20"/>
        </w:rPr>
      </w:pPr>
    </w:p>
    <w:p>
      <w:pPr>
        <w:spacing w:line="247" w:lineRule="auto"/>
        <w:rPr>
          <w:rFonts w:hint="eastAsia" w:ascii="宋体" w:hAnsi="宋体" w:eastAsia="宋体" w:cs="宋体"/>
          <w:sz w:val="15"/>
          <w:szCs w:val="15"/>
          <w:lang w:val="en-US" w:eastAsia="zh-CN"/>
        </w:rPr>
      </w:pPr>
    </w:p>
    <w:p>
      <w:pPr>
        <w:jc w:val="center"/>
        <w:rPr>
          <w:rFonts w:hint="eastAsia" w:ascii="宋体" w:hAnsi="宋体" w:eastAsia="宋体"/>
          <w:b/>
          <w:szCs w:val="21"/>
          <w:lang w:val="en-US" w:eastAsia="zh-CN"/>
        </w:rPr>
      </w:pPr>
      <w:r>
        <w:rPr>
          <w:rFonts w:hint="eastAsia" w:ascii="宋体" w:hAnsi="宋体" w:eastAsia="宋体"/>
          <w:b/>
          <w:szCs w:val="21"/>
          <w:lang w:val="en-US" w:eastAsia="zh-CN"/>
        </w:rPr>
        <w:t xml:space="preserve">                                                                </w:t>
      </w:r>
    </w:p>
    <w:p>
      <w:pPr>
        <w:jc w:val="center"/>
        <w:rPr>
          <w:rFonts w:hint="eastAsia" w:ascii="宋体" w:hAnsi="宋体" w:eastAsia="宋体"/>
          <w:b/>
          <w:szCs w:val="21"/>
          <w:lang w:val="en-US" w:eastAsia="zh-CN"/>
        </w:rPr>
      </w:pPr>
      <w:r>
        <w:rPr>
          <w:rFonts w:hint="eastAsia" w:ascii="宋体" w:hAnsi="宋体" w:eastAsia="宋体"/>
          <w:b/>
          <w:szCs w:val="21"/>
          <w:lang w:val="en-US" w:eastAsia="zh-CN"/>
        </w:rPr>
        <w:t xml:space="preserve">                                                                  </w:t>
      </w:r>
    </w:p>
    <w:p>
      <w:pPr>
        <w:jc w:val="center"/>
        <w:rPr>
          <w:rFonts w:hint="eastAsia" w:ascii="宋体" w:hAnsi="宋体" w:eastAsia="宋体"/>
          <w:b/>
          <w:szCs w:val="21"/>
          <w:lang w:val="en-US" w:eastAsia="zh-CN"/>
        </w:rPr>
      </w:pPr>
      <w:r>
        <w:rPr>
          <w:rFonts w:hint="eastAsia" w:ascii="宋体" w:hAnsi="宋体" w:eastAsia="宋体"/>
          <w:b w:val="0"/>
          <w:bCs/>
          <w:sz w:val="20"/>
          <w:szCs w:val="20"/>
          <w:lang w:val="en-US" w:eastAsia="zh-CN"/>
        </w:rPr>
        <w:t>5</w:t>
      </w:r>
      <w:r>
        <w:rPr>
          <w:rFonts w:hint="eastAsia" w:ascii="宋体" w:hAnsi="宋体" w:eastAsia="宋体"/>
          <w:b/>
          <w:szCs w:val="21"/>
          <w:lang w:val="en-US" w:eastAsia="zh-CN"/>
        </w:rPr>
        <w:t xml:space="preserve">                                                                  </w:t>
      </w:r>
    </w:p>
    <w:p>
      <w:pPr>
        <w:jc w:val="center"/>
        <w:rPr>
          <w:rFonts w:hint="eastAsia" w:ascii="宋体" w:hAnsi="宋体" w:eastAsia="宋体"/>
          <w:b/>
          <w:szCs w:val="21"/>
          <w:lang w:val="en-US" w:eastAsia="zh-CN"/>
        </w:rPr>
      </w:pPr>
    </w:p>
    <w:p>
      <w:pPr>
        <w:jc w:val="center"/>
        <w:rPr>
          <w:rFonts w:hint="eastAsia" w:ascii="宋体" w:hAnsi="宋体" w:eastAsia="宋体"/>
          <w:b/>
          <w:szCs w:val="21"/>
          <w:lang w:val="en-US" w:eastAsia="zh-CN"/>
        </w:rPr>
      </w:pPr>
    </w:p>
    <w:p>
      <w:pPr>
        <w:jc w:val="center"/>
        <w:rPr>
          <w:rFonts w:hint="eastAsia" w:ascii="宋体" w:hAnsi="宋体" w:eastAsia="宋体"/>
          <w:b/>
          <w:szCs w:val="21"/>
          <w:lang w:val="en-US" w:eastAsia="zh-CN"/>
        </w:rPr>
      </w:pPr>
    </w:p>
    <w:p>
      <w:pPr>
        <w:jc w:val="center"/>
        <w:rPr>
          <w:rFonts w:hint="eastAsia" w:ascii="宋体" w:hAnsi="宋体" w:eastAsia="宋体"/>
          <w:b/>
          <w:szCs w:val="21"/>
          <w:lang w:val="en-US" w:eastAsia="zh-CN"/>
        </w:rPr>
      </w:pPr>
    </w:p>
    <w:p>
      <w:pPr>
        <w:jc w:val="center"/>
        <w:rPr>
          <w:rFonts w:hint="default" w:ascii="宋体" w:hAnsi="宋体" w:eastAsia="宋体"/>
          <w:b/>
          <w:szCs w:val="21"/>
          <w:lang w:val="en-US" w:eastAsia="zh-CN"/>
        </w:rPr>
      </w:pPr>
      <w:r>
        <w:rPr>
          <w:rFonts w:hint="eastAsia" w:ascii="宋体" w:hAnsi="宋体" w:eastAsia="宋体"/>
          <w:b/>
          <w:szCs w:val="21"/>
          <w:lang w:val="en-US" w:eastAsia="zh-CN"/>
        </w:rPr>
        <w:t xml:space="preserve">                                                                     单位</w:t>
      </w:r>
      <w:r>
        <w:rPr>
          <w:rFonts w:hint="eastAsia" w:ascii="宋体" w:hAnsi="宋体"/>
          <w:b/>
          <w:szCs w:val="21"/>
        </w:rPr>
        <w:t>公</w:t>
      </w:r>
      <w:r>
        <w:rPr>
          <w:rFonts w:hint="eastAsia" w:ascii="宋体" w:hAnsi="宋体" w:eastAsia="宋体"/>
          <w:b/>
          <w:szCs w:val="21"/>
          <w:lang w:val="en-US" w:eastAsia="zh-CN"/>
        </w:rPr>
        <w:t>开表1</w:t>
      </w:r>
    </w:p>
    <w:p>
      <w:pPr>
        <w:jc w:val="right"/>
        <w:rPr>
          <w:rFonts w:ascii="仿宋_GB2312" w:eastAsia="仿宋_GB2312"/>
          <w:b/>
          <w:sz w:val="30"/>
          <w:szCs w:val="30"/>
        </w:rPr>
      </w:pPr>
    </w:p>
    <w:p>
      <w:pPr>
        <w:jc w:val="center"/>
        <w:rPr>
          <w:rFonts w:ascii="宋体" w:hAnsi="宋体" w:cs="宋体"/>
          <w:kern w:val="0"/>
          <w:sz w:val="36"/>
          <w:szCs w:val="36"/>
        </w:rPr>
      </w:pPr>
      <w:r>
        <w:rPr>
          <w:rFonts w:hint="eastAsia" w:ascii="仿宋_GB2312" w:eastAsia="仿宋_GB2312"/>
          <w:b/>
          <w:sz w:val="30"/>
          <w:szCs w:val="30"/>
        </w:rPr>
        <w:t>表1</w:t>
      </w:r>
      <w:bookmarkStart w:id="0" w:name="RANGE!A2:D28"/>
      <w:r>
        <w:rPr>
          <w:rFonts w:hint="eastAsia" w:ascii="仿宋_GB2312" w:eastAsia="仿宋_GB2312"/>
          <w:b/>
          <w:sz w:val="30"/>
          <w:szCs w:val="30"/>
        </w:rPr>
        <w:t>.收支预算总表</w:t>
      </w:r>
      <w:bookmarkEnd w:id="0"/>
      <w:r>
        <w:rPr>
          <w:rFonts w:hint="eastAsia" w:ascii="宋体" w:hAnsi="宋体" w:cs="宋体"/>
          <w:kern w:val="0"/>
          <w:sz w:val="36"/>
          <w:szCs w:val="36"/>
        </w:rPr>
        <w:t xml:space="preserve">            </w:t>
      </w:r>
    </w:p>
    <w:p>
      <w:pPr>
        <w:jc w:val="center"/>
        <w:rPr>
          <w:rFonts w:ascii="仿宋_GB2312" w:hAnsi="宋体" w:eastAsia="仿宋_GB2312" w:cs="宋体"/>
          <w:kern w:val="0"/>
          <w:szCs w:val="21"/>
        </w:rPr>
      </w:pPr>
      <w:r>
        <w:rPr>
          <w:rFonts w:hint="eastAsia" w:ascii="宋体" w:hAnsi="宋体" w:cs="宋体"/>
          <w:kern w:val="0"/>
          <w:sz w:val="36"/>
          <w:szCs w:val="36"/>
        </w:rPr>
        <w:t xml:space="preserve">                </w:t>
      </w:r>
      <w:r>
        <w:rPr>
          <w:rFonts w:hint="eastAsia" w:ascii="仿宋_GB2312" w:hAnsi="宋体" w:eastAsia="仿宋_GB2312" w:cs="宋体"/>
          <w:kern w:val="0"/>
          <w:sz w:val="36"/>
          <w:szCs w:val="36"/>
        </w:rPr>
        <w:t xml:space="preserve">                   </w:t>
      </w:r>
      <w:r>
        <w:rPr>
          <w:rFonts w:hint="eastAsia" w:ascii="仿宋_GB2312" w:hAnsi="宋体" w:eastAsia="仿宋_GB2312" w:cs="宋体"/>
          <w:kern w:val="0"/>
          <w:szCs w:val="21"/>
        </w:rPr>
        <w:t xml:space="preserve"> </w:t>
      </w:r>
      <w:r>
        <w:rPr>
          <w:rFonts w:hint="eastAsia" w:ascii="仿宋_GB2312" w:hAnsi="宋体" w:eastAsia="仿宋_GB2312" w:cs="宋体"/>
          <w:kern w:val="0"/>
          <w:szCs w:val="21"/>
          <w:lang w:val="en-US" w:eastAsia="zh-CN"/>
        </w:rPr>
        <w:t xml:space="preserve">       </w:t>
      </w:r>
      <w:r>
        <w:rPr>
          <w:rFonts w:hint="eastAsia" w:ascii="仿宋_GB2312" w:hAnsi="宋体" w:eastAsia="仿宋_GB2312" w:cs="宋体"/>
          <w:kern w:val="0"/>
          <w:szCs w:val="21"/>
        </w:rPr>
        <w:t>单位：万元</w:t>
      </w:r>
    </w:p>
    <w:tbl>
      <w:tblPr>
        <w:tblStyle w:val="5"/>
        <w:tblW w:w="9000" w:type="dxa"/>
        <w:jc w:val="center"/>
        <w:tblLayout w:type="fixed"/>
        <w:tblCellMar>
          <w:top w:w="0" w:type="dxa"/>
          <w:left w:w="108" w:type="dxa"/>
          <w:bottom w:w="0" w:type="dxa"/>
          <w:right w:w="108" w:type="dxa"/>
        </w:tblCellMar>
      </w:tblPr>
      <w:tblGrid>
        <w:gridCol w:w="3466"/>
        <w:gridCol w:w="992"/>
        <w:gridCol w:w="3544"/>
        <w:gridCol w:w="998"/>
      </w:tblGrid>
      <w:tr>
        <w:trPr>
          <w:trHeight w:val="390" w:hRule="atLeast"/>
          <w:jc w:val="center"/>
        </w:trPr>
        <w:tc>
          <w:tcPr>
            <w:tcW w:w="445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收     入</w:t>
            </w:r>
          </w:p>
        </w:tc>
        <w:tc>
          <w:tcPr>
            <w:tcW w:w="454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支     出</w:t>
            </w:r>
          </w:p>
        </w:tc>
      </w:tr>
      <w:tr>
        <w:tblPrEx>
          <w:tblCellMar>
            <w:top w:w="0" w:type="dxa"/>
            <w:left w:w="108" w:type="dxa"/>
            <w:bottom w:w="0" w:type="dxa"/>
            <w:right w:w="108" w:type="dxa"/>
          </w:tblCellMar>
        </w:tblPrEx>
        <w:trPr>
          <w:trHeight w:val="540"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项      目</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预算数</w:t>
            </w:r>
          </w:p>
        </w:tc>
        <w:tc>
          <w:tcPr>
            <w:tcW w:w="3544" w:type="dxa"/>
            <w:tcBorders>
              <w:top w:val="nil"/>
              <w:left w:val="nil"/>
              <w:bottom w:val="single" w:color="auto" w:sz="4" w:space="0"/>
              <w:right w:val="nil"/>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项      目</w:t>
            </w:r>
          </w:p>
        </w:tc>
        <w:tc>
          <w:tcPr>
            <w:tcW w:w="99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预算数</w:t>
            </w:r>
          </w:p>
        </w:tc>
      </w:tr>
      <w:tr>
        <w:tblPrEx>
          <w:tblCellMar>
            <w:top w:w="0" w:type="dxa"/>
            <w:left w:w="108" w:type="dxa"/>
            <w:bottom w:w="0" w:type="dxa"/>
            <w:right w:w="108" w:type="dxa"/>
          </w:tblCellMar>
        </w:tblPrEx>
        <w:trPr>
          <w:trHeight w:val="255" w:hRule="atLeast"/>
          <w:jc w:val="center"/>
        </w:trPr>
        <w:tc>
          <w:tcPr>
            <w:tcW w:w="3466" w:type="dxa"/>
            <w:tcBorders>
              <w:top w:val="nil"/>
              <w:left w:val="single" w:color="auto" w:sz="4" w:space="0"/>
              <w:bottom w:val="single" w:color="auto" w:sz="4" w:space="0"/>
              <w:right w:val="single" w:color="auto" w:sz="4" w:space="0"/>
            </w:tcBorders>
          </w:tcPr>
          <w:p>
            <w:pPr>
              <w:widowControl/>
              <w:jc w:val="left"/>
            </w:pPr>
            <w:r>
              <w:rPr>
                <w:rFonts w:hint="eastAsia"/>
              </w:rPr>
              <w:t>一、财政拨款</w:t>
            </w:r>
          </w:p>
        </w:tc>
        <w:tc>
          <w:tcPr>
            <w:tcW w:w="992" w:type="dxa"/>
            <w:tcBorders>
              <w:top w:val="nil"/>
              <w:left w:val="nil"/>
              <w:bottom w:val="single" w:color="auto" w:sz="4" w:space="0"/>
              <w:right w:val="single" w:color="auto" w:sz="4" w:space="0"/>
            </w:tcBorders>
            <w:vAlign w:val="top"/>
          </w:tcPr>
          <w:p>
            <w:pPr>
              <w:spacing w:before="118" w:line="180" w:lineRule="auto"/>
              <w:ind w:firstLine="154" w:firstLineChars="100"/>
              <w:jc w:val="both"/>
              <w:rPr>
                <w:rFonts w:hint="eastAsia" w:ascii="宋体" w:hAnsi="宋体" w:eastAsia="宋体" w:cs="宋体"/>
                <w:kern w:val="2"/>
                <w:sz w:val="16"/>
                <w:szCs w:val="16"/>
                <w:lang w:val="en-US" w:eastAsia="zh-CN" w:bidi="ar-SA"/>
              </w:rPr>
            </w:pPr>
            <w:r>
              <w:rPr>
                <w:rFonts w:hint="eastAsia" w:ascii="宋体" w:hAnsi="宋体" w:eastAsia="宋体" w:cs="宋体"/>
                <w:spacing w:val="-3"/>
                <w:sz w:val="16"/>
                <w:szCs w:val="16"/>
              </w:rPr>
              <w:t>1422.43</w:t>
            </w:r>
          </w:p>
        </w:tc>
        <w:tc>
          <w:tcPr>
            <w:tcW w:w="3544"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rPr>
              <w:t>一、一般公共服务支出</w:t>
            </w:r>
          </w:p>
        </w:tc>
        <w:tc>
          <w:tcPr>
            <w:tcW w:w="998" w:type="dxa"/>
            <w:tcBorders>
              <w:top w:val="nil"/>
              <w:left w:val="nil"/>
              <w:bottom w:val="single" w:color="auto" w:sz="4" w:space="0"/>
              <w:right w:val="single" w:color="auto" w:sz="4" w:space="0"/>
            </w:tcBorders>
            <w:vAlign w:val="top"/>
          </w:tcPr>
          <w:p>
            <w:pPr>
              <w:spacing w:line="334"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tcPr>
          <w:p>
            <w:pPr>
              <w:widowControl/>
              <w:jc w:val="left"/>
            </w:pPr>
            <w:r>
              <w:rPr>
                <w:rFonts w:hint="eastAsia"/>
              </w:rPr>
              <w:t xml:space="preserve">  一般公共预算拨款收入</w:t>
            </w:r>
          </w:p>
        </w:tc>
        <w:tc>
          <w:tcPr>
            <w:tcW w:w="992" w:type="dxa"/>
            <w:tcBorders>
              <w:top w:val="nil"/>
              <w:left w:val="nil"/>
              <w:bottom w:val="single" w:color="auto" w:sz="4" w:space="0"/>
              <w:right w:val="single" w:color="auto" w:sz="4" w:space="0"/>
            </w:tcBorders>
            <w:vAlign w:val="top"/>
          </w:tcPr>
          <w:p>
            <w:pPr>
              <w:spacing w:before="120" w:line="180" w:lineRule="auto"/>
              <w:ind w:firstLine="154" w:firstLineChars="100"/>
              <w:jc w:val="both"/>
              <w:rPr>
                <w:rFonts w:hint="eastAsia" w:ascii="宋体" w:hAnsi="宋体" w:eastAsia="宋体" w:cs="宋体"/>
                <w:kern w:val="2"/>
                <w:sz w:val="16"/>
                <w:szCs w:val="16"/>
                <w:lang w:val="en-US" w:eastAsia="zh-CN" w:bidi="ar-SA"/>
              </w:rPr>
            </w:pPr>
            <w:r>
              <w:rPr>
                <w:rFonts w:hint="eastAsia" w:ascii="宋体" w:hAnsi="宋体" w:eastAsia="宋体" w:cs="宋体"/>
                <w:spacing w:val="-3"/>
                <w:sz w:val="16"/>
                <w:szCs w:val="16"/>
              </w:rPr>
              <w:t>1422.43</w:t>
            </w:r>
          </w:p>
        </w:tc>
        <w:tc>
          <w:tcPr>
            <w:tcW w:w="3544"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rPr>
              <w:t>二、外交支出</w:t>
            </w:r>
          </w:p>
        </w:tc>
        <w:tc>
          <w:tcPr>
            <w:tcW w:w="998" w:type="dxa"/>
            <w:tcBorders>
              <w:top w:val="nil"/>
              <w:left w:val="nil"/>
              <w:bottom w:val="single" w:color="auto" w:sz="4" w:space="0"/>
              <w:right w:val="single" w:color="auto" w:sz="4" w:space="0"/>
            </w:tcBorders>
            <w:vAlign w:val="top"/>
          </w:tcPr>
          <w:p>
            <w:pPr>
              <w:spacing w:line="334"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90" w:hRule="atLeast"/>
          <w:jc w:val="center"/>
        </w:trPr>
        <w:tc>
          <w:tcPr>
            <w:tcW w:w="3466" w:type="dxa"/>
            <w:tcBorders>
              <w:top w:val="nil"/>
              <w:left w:val="single" w:color="auto" w:sz="4" w:space="0"/>
              <w:bottom w:val="single" w:color="auto" w:sz="4" w:space="0"/>
              <w:right w:val="single" w:color="auto" w:sz="4" w:space="0"/>
            </w:tcBorders>
          </w:tcPr>
          <w:p>
            <w:pPr>
              <w:widowControl/>
              <w:jc w:val="left"/>
            </w:pPr>
            <w:r>
              <w:rPr>
                <w:rFonts w:hint="eastAsia"/>
              </w:rPr>
              <w:t xml:space="preserve">  政府性基金预算拨款收入</w:t>
            </w: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b w:val="0"/>
                <w:bCs w:val="0"/>
                <w:kern w:val="2"/>
                <w:sz w:val="16"/>
                <w:szCs w:val="16"/>
                <w:lang w:val="en-US" w:eastAsia="zh-CN" w:bidi="ar-SA"/>
              </w:rPr>
            </w:pPr>
            <w:r>
              <w:rPr>
                <w:rFonts w:hint="eastAsia" w:ascii="宋体" w:hAnsi="宋体" w:eastAsia="宋体" w:cs="宋体"/>
                <w:b w:val="0"/>
                <w:bCs w:val="0"/>
                <w:sz w:val="16"/>
                <w:szCs w:val="16"/>
                <w:lang w:val="en-US" w:eastAsia="zh-CN"/>
              </w:rPr>
              <w:t>0.00</w:t>
            </w:r>
          </w:p>
        </w:tc>
        <w:tc>
          <w:tcPr>
            <w:tcW w:w="3544" w:type="dxa"/>
            <w:tcBorders>
              <w:top w:val="nil"/>
              <w:left w:val="nil"/>
              <w:bottom w:val="single" w:color="auto" w:sz="4" w:space="0"/>
              <w:right w:val="nil"/>
            </w:tcBorders>
          </w:tcPr>
          <w:p>
            <w:pPr>
              <w:widowControl/>
              <w:jc w:val="left"/>
              <w:rPr>
                <w:rFonts w:ascii="仿宋_GB2312" w:hAnsi="宋体" w:eastAsia="仿宋_GB2312" w:cs="宋体"/>
                <w:kern w:val="0"/>
                <w:szCs w:val="21"/>
              </w:rPr>
            </w:pPr>
            <w:r>
              <w:rPr>
                <w:rFonts w:hint="eastAsia"/>
              </w:rPr>
              <w:t>三、国防支出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tcPr>
          <w:p>
            <w:pPr>
              <w:widowControl/>
              <w:jc w:val="left"/>
            </w:pPr>
            <w:r>
              <w:rPr>
                <w:rFonts w:hint="eastAsia"/>
              </w:rPr>
              <w:t xml:space="preserve">  国有资本经营预算拨款收入</w:t>
            </w: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kern w:val="2"/>
                <w:sz w:val="16"/>
                <w:szCs w:val="16"/>
                <w:lang w:val="en-US" w:eastAsia="zh-CN" w:bidi="ar-SA"/>
              </w:rPr>
            </w:pPr>
            <w:r>
              <w:rPr>
                <w:rFonts w:hint="eastAsia" w:ascii="宋体" w:hAnsi="宋体" w:eastAsia="宋体" w:cs="宋体"/>
                <w:sz w:val="16"/>
                <w:szCs w:val="16"/>
                <w:lang w:val="en-US" w:eastAsia="zh-CN"/>
              </w:rPr>
              <w:t>0.00</w:t>
            </w:r>
          </w:p>
        </w:tc>
        <w:tc>
          <w:tcPr>
            <w:tcW w:w="3544" w:type="dxa"/>
            <w:tcBorders>
              <w:top w:val="nil"/>
              <w:left w:val="nil"/>
              <w:bottom w:val="single" w:color="auto" w:sz="4" w:space="0"/>
              <w:right w:val="nil"/>
            </w:tcBorders>
          </w:tcPr>
          <w:p>
            <w:pPr>
              <w:widowControl/>
              <w:jc w:val="left"/>
              <w:rPr>
                <w:rFonts w:ascii="仿宋_GB2312" w:hAnsi="宋体" w:eastAsia="仿宋_GB2312" w:cs="宋体"/>
                <w:kern w:val="0"/>
                <w:szCs w:val="21"/>
              </w:rPr>
            </w:pPr>
            <w:r>
              <w:rPr>
                <w:rFonts w:hint="eastAsia"/>
              </w:rPr>
              <w:t>四、公共安全支出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tcPr>
          <w:p>
            <w:pPr>
              <w:widowControl/>
              <w:jc w:val="left"/>
            </w:pPr>
            <w:r>
              <w:rPr>
                <w:rFonts w:hint="eastAsia"/>
              </w:rPr>
              <w:t>二、财政专户管理资金收入</w:t>
            </w: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b w:val="0"/>
                <w:bCs w:val="0"/>
                <w:snapToGrid w:val="0"/>
                <w:color w:val="000000"/>
                <w:kern w:val="0"/>
                <w:sz w:val="16"/>
                <w:szCs w:val="16"/>
                <w:lang w:val="en-US" w:eastAsia="zh-CN" w:bidi="ar-SA"/>
              </w:rPr>
            </w:pPr>
            <w:r>
              <w:rPr>
                <w:rFonts w:hint="eastAsia" w:ascii="宋体" w:hAnsi="宋体" w:eastAsia="宋体" w:cs="宋体"/>
                <w:b w:val="0"/>
                <w:bCs w:val="0"/>
                <w:sz w:val="16"/>
                <w:szCs w:val="16"/>
                <w:lang w:val="en-US" w:eastAsia="zh-CN"/>
              </w:rPr>
              <w:t>0.00</w:t>
            </w:r>
          </w:p>
        </w:tc>
        <w:tc>
          <w:tcPr>
            <w:tcW w:w="3544" w:type="dxa"/>
            <w:tcBorders>
              <w:top w:val="nil"/>
              <w:left w:val="nil"/>
              <w:bottom w:val="single" w:color="auto" w:sz="4" w:space="0"/>
              <w:right w:val="nil"/>
            </w:tcBorders>
            <w:vAlign w:val="center"/>
          </w:tcPr>
          <w:p>
            <w:pPr>
              <w:widowControl/>
              <w:jc w:val="left"/>
            </w:pPr>
            <w:r>
              <w:rPr>
                <w:rFonts w:hint="eastAsia"/>
              </w:rPr>
              <w:t>五、教育支出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tcPr>
          <w:p>
            <w:pPr>
              <w:widowControl/>
              <w:jc w:val="left"/>
            </w:pPr>
            <w:r>
              <w:rPr>
                <w:rFonts w:hint="eastAsia"/>
              </w:rPr>
              <w:t>三、事业收入</w:t>
            </w: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c>
          <w:tcPr>
            <w:tcW w:w="3544" w:type="dxa"/>
            <w:tcBorders>
              <w:top w:val="nil"/>
              <w:left w:val="nil"/>
              <w:bottom w:val="single" w:color="auto" w:sz="4" w:space="0"/>
              <w:right w:val="nil"/>
            </w:tcBorders>
            <w:vAlign w:val="center"/>
          </w:tcPr>
          <w:p>
            <w:pPr>
              <w:widowControl/>
              <w:jc w:val="left"/>
            </w:pPr>
            <w:r>
              <w:rPr>
                <w:rFonts w:hint="eastAsia"/>
              </w:rPr>
              <w:t>六、科学技术支出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30" w:hRule="atLeast"/>
          <w:jc w:val="center"/>
        </w:trPr>
        <w:tc>
          <w:tcPr>
            <w:tcW w:w="3466" w:type="dxa"/>
            <w:tcBorders>
              <w:top w:val="nil"/>
              <w:left w:val="single" w:color="auto" w:sz="4" w:space="0"/>
              <w:bottom w:val="single" w:color="auto" w:sz="4" w:space="0"/>
              <w:right w:val="single" w:color="auto" w:sz="4" w:space="0"/>
            </w:tcBorders>
          </w:tcPr>
          <w:p>
            <w:pPr>
              <w:widowControl/>
              <w:jc w:val="left"/>
            </w:pPr>
            <w:r>
              <w:rPr>
                <w:rFonts w:hint="eastAsia"/>
              </w:rPr>
              <w:t>四、事业单位经营收入</w:t>
            </w:r>
          </w:p>
        </w:tc>
        <w:tc>
          <w:tcPr>
            <w:tcW w:w="992" w:type="dxa"/>
            <w:tcBorders>
              <w:top w:val="nil"/>
              <w:left w:val="nil"/>
              <w:bottom w:val="single" w:color="auto" w:sz="4" w:space="0"/>
              <w:right w:val="single" w:color="auto" w:sz="4" w:space="0"/>
            </w:tcBorders>
            <w:vAlign w:val="top"/>
          </w:tcPr>
          <w:p>
            <w:pPr>
              <w:spacing w:line="335" w:lineRule="exact"/>
              <w:jc w:val="center"/>
              <w:rPr>
                <w:rFonts w:hint="default" w:ascii="宋体" w:hAnsi="宋体" w:eastAsia="宋体" w:cs="宋体"/>
                <w:kern w:val="2"/>
                <w:sz w:val="16"/>
                <w:szCs w:val="16"/>
                <w:lang w:val="en-US" w:eastAsia="zh-CN" w:bidi="ar-SA"/>
              </w:rPr>
            </w:pPr>
            <w:r>
              <w:rPr>
                <w:rFonts w:hint="eastAsia" w:ascii="宋体" w:hAnsi="宋体" w:cs="宋体"/>
                <w:kern w:val="2"/>
                <w:sz w:val="16"/>
                <w:szCs w:val="16"/>
                <w:lang w:val="en-US" w:eastAsia="zh-CN" w:bidi="ar-SA"/>
              </w:rPr>
              <w:t>0.00</w:t>
            </w:r>
          </w:p>
        </w:tc>
        <w:tc>
          <w:tcPr>
            <w:tcW w:w="3544" w:type="dxa"/>
            <w:tcBorders>
              <w:top w:val="nil"/>
              <w:left w:val="nil"/>
              <w:bottom w:val="single" w:color="auto" w:sz="4" w:space="0"/>
              <w:right w:val="nil"/>
            </w:tcBorders>
            <w:vAlign w:val="center"/>
          </w:tcPr>
          <w:p>
            <w:pPr>
              <w:widowControl/>
              <w:jc w:val="left"/>
            </w:pPr>
            <w:r>
              <w:rPr>
                <w:rFonts w:hint="eastAsia"/>
              </w:rPr>
              <w:t>七、文化旅游体育与传媒支出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tcPr>
          <w:p>
            <w:pPr>
              <w:widowControl/>
              <w:jc w:val="left"/>
            </w:pPr>
            <w:r>
              <w:rPr>
                <w:rFonts w:hint="eastAsia"/>
              </w:rPr>
              <w:t>五、上级补助收入</w:t>
            </w:r>
          </w:p>
        </w:tc>
        <w:tc>
          <w:tcPr>
            <w:tcW w:w="992" w:type="dxa"/>
            <w:tcBorders>
              <w:top w:val="nil"/>
              <w:left w:val="nil"/>
              <w:bottom w:val="single" w:color="auto" w:sz="4" w:space="0"/>
              <w:right w:val="single" w:color="auto" w:sz="4" w:space="0"/>
            </w:tcBorders>
            <w:vAlign w:val="top"/>
          </w:tcPr>
          <w:p>
            <w:pPr>
              <w:spacing w:line="335" w:lineRule="exact"/>
              <w:jc w:val="center"/>
              <w:rPr>
                <w:rFonts w:hint="default" w:ascii="宋体" w:hAnsi="宋体" w:eastAsia="宋体" w:cs="宋体"/>
                <w:kern w:val="2"/>
                <w:sz w:val="16"/>
                <w:szCs w:val="16"/>
                <w:lang w:val="en-US" w:eastAsia="zh-CN" w:bidi="ar-SA"/>
              </w:rPr>
            </w:pPr>
            <w:r>
              <w:rPr>
                <w:rFonts w:hint="eastAsia" w:ascii="宋体" w:hAnsi="宋体" w:cs="宋体"/>
                <w:kern w:val="2"/>
                <w:sz w:val="16"/>
                <w:szCs w:val="16"/>
                <w:lang w:val="en-US" w:eastAsia="zh-CN" w:bidi="ar-SA"/>
              </w:rPr>
              <w:t>0.00</w:t>
            </w:r>
          </w:p>
        </w:tc>
        <w:tc>
          <w:tcPr>
            <w:tcW w:w="3544" w:type="dxa"/>
            <w:tcBorders>
              <w:top w:val="nil"/>
              <w:left w:val="nil"/>
              <w:bottom w:val="single" w:color="auto" w:sz="4" w:space="0"/>
              <w:right w:val="nil"/>
            </w:tcBorders>
            <w:vAlign w:val="center"/>
          </w:tcPr>
          <w:p>
            <w:pPr>
              <w:widowControl/>
              <w:jc w:val="left"/>
            </w:pPr>
            <w:r>
              <w:rPr>
                <w:rFonts w:hint="eastAsia"/>
              </w:rPr>
              <w:t>八、社会保障和就业支出</w:t>
            </w:r>
          </w:p>
        </w:tc>
        <w:tc>
          <w:tcPr>
            <w:tcW w:w="998" w:type="dxa"/>
            <w:tcBorders>
              <w:top w:val="nil"/>
              <w:left w:val="single" w:color="auto" w:sz="4" w:space="0"/>
              <w:bottom w:val="single" w:color="auto" w:sz="4" w:space="0"/>
              <w:right w:val="single" w:color="auto" w:sz="4" w:space="0"/>
            </w:tcBorders>
            <w:vAlign w:val="top"/>
          </w:tcPr>
          <w:p>
            <w:pPr>
              <w:spacing w:before="121" w:line="180" w:lineRule="auto"/>
              <w:ind w:firstLine="308" w:firstLineChars="200"/>
              <w:jc w:val="both"/>
              <w:rPr>
                <w:rFonts w:hint="eastAsia" w:ascii="宋体" w:hAnsi="宋体" w:eastAsia="宋体" w:cs="宋体"/>
                <w:kern w:val="2"/>
                <w:sz w:val="16"/>
                <w:szCs w:val="16"/>
                <w:lang w:val="en-US" w:eastAsia="zh-CN" w:bidi="ar-SA"/>
              </w:rPr>
            </w:pPr>
            <w:r>
              <w:rPr>
                <w:rFonts w:hint="eastAsia" w:ascii="宋体" w:hAnsi="宋体" w:eastAsia="宋体" w:cs="宋体"/>
                <w:spacing w:val="-3"/>
                <w:sz w:val="16"/>
                <w:szCs w:val="16"/>
              </w:rPr>
              <w:t>125.53</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bottom"/>
          </w:tcPr>
          <w:p>
            <w:pPr>
              <w:widowControl/>
              <w:jc w:val="left"/>
            </w:pPr>
            <w:r>
              <w:rPr>
                <w:rFonts w:hint="eastAsia"/>
              </w:rPr>
              <w:t>六、附属单位上缴收入</w:t>
            </w:r>
          </w:p>
        </w:tc>
        <w:tc>
          <w:tcPr>
            <w:tcW w:w="992" w:type="dxa"/>
            <w:tcBorders>
              <w:top w:val="nil"/>
              <w:left w:val="nil"/>
              <w:bottom w:val="single" w:color="auto" w:sz="4" w:space="0"/>
              <w:right w:val="single" w:color="auto" w:sz="4" w:space="0"/>
            </w:tcBorders>
            <w:vAlign w:val="top"/>
          </w:tcPr>
          <w:p>
            <w:pPr>
              <w:spacing w:line="335" w:lineRule="exact"/>
              <w:jc w:val="center"/>
              <w:rPr>
                <w:rFonts w:hint="default" w:ascii="宋体" w:hAnsi="宋体" w:eastAsia="宋体" w:cs="宋体"/>
                <w:kern w:val="2"/>
                <w:sz w:val="16"/>
                <w:szCs w:val="16"/>
                <w:lang w:val="en-US" w:eastAsia="zh-CN" w:bidi="ar-SA"/>
              </w:rPr>
            </w:pPr>
            <w:r>
              <w:rPr>
                <w:rFonts w:hint="eastAsia" w:ascii="宋体" w:hAnsi="宋体" w:cs="宋体"/>
                <w:kern w:val="2"/>
                <w:sz w:val="16"/>
                <w:szCs w:val="16"/>
                <w:lang w:val="en-US" w:eastAsia="zh-CN" w:bidi="ar-SA"/>
              </w:rPr>
              <w:t>0.00</w:t>
            </w:r>
          </w:p>
        </w:tc>
        <w:tc>
          <w:tcPr>
            <w:tcW w:w="3544" w:type="dxa"/>
            <w:tcBorders>
              <w:top w:val="nil"/>
              <w:left w:val="nil"/>
              <w:bottom w:val="single" w:color="auto" w:sz="4" w:space="0"/>
              <w:right w:val="nil"/>
            </w:tcBorders>
            <w:vAlign w:val="center"/>
          </w:tcPr>
          <w:p>
            <w:pPr>
              <w:widowControl/>
              <w:jc w:val="left"/>
            </w:pPr>
            <w:r>
              <w:rPr>
                <w:rFonts w:hint="eastAsia"/>
              </w:rPr>
              <w:t>九、社会保险基金支出</w:t>
            </w:r>
          </w:p>
        </w:tc>
        <w:tc>
          <w:tcPr>
            <w:tcW w:w="998" w:type="dxa"/>
            <w:tcBorders>
              <w:top w:val="nil"/>
              <w:left w:val="single" w:color="auto" w:sz="4" w:space="0"/>
              <w:bottom w:val="single" w:color="auto" w:sz="4" w:space="0"/>
              <w:right w:val="single" w:color="auto" w:sz="4" w:space="0"/>
            </w:tcBorders>
            <w:vAlign w:val="top"/>
          </w:tcPr>
          <w:p>
            <w:pPr>
              <w:spacing w:before="120" w:line="180" w:lineRule="auto"/>
              <w:ind w:firstLine="320" w:firstLineChars="200"/>
              <w:jc w:val="both"/>
              <w:rPr>
                <w:rFonts w:hint="default" w:ascii="宋体" w:hAnsi="宋体" w:eastAsia="宋体" w:cs="宋体"/>
                <w:kern w:val="2"/>
                <w:sz w:val="16"/>
                <w:szCs w:val="16"/>
                <w:lang w:val="en-US" w:eastAsia="zh-CN" w:bidi="ar-SA"/>
              </w:rPr>
            </w:pPr>
            <w:r>
              <w:rPr>
                <w:rFonts w:hint="eastAsia" w:ascii="宋体" w:hAnsi="宋体" w:cs="宋体"/>
                <w:kern w:val="2"/>
                <w:sz w:val="16"/>
                <w:szCs w:val="16"/>
                <w:lang w:val="en-US" w:eastAsia="zh-CN" w:bidi="ar-SA"/>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bottom"/>
          </w:tcPr>
          <w:p>
            <w:pPr>
              <w:widowControl/>
              <w:jc w:val="left"/>
            </w:pPr>
            <w:r>
              <w:rPr>
                <w:rFonts w:hint="eastAsia"/>
              </w:rPr>
              <w:t>七、其他收入</w:t>
            </w:r>
          </w:p>
        </w:tc>
        <w:tc>
          <w:tcPr>
            <w:tcW w:w="992" w:type="dxa"/>
            <w:tcBorders>
              <w:top w:val="nil"/>
              <w:left w:val="nil"/>
              <w:bottom w:val="single" w:color="auto" w:sz="4" w:space="0"/>
              <w:right w:val="single" w:color="auto" w:sz="4" w:space="0"/>
            </w:tcBorders>
            <w:vAlign w:val="top"/>
          </w:tcPr>
          <w:p>
            <w:pPr>
              <w:spacing w:line="335" w:lineRule="exact"/>
              <w:jc w:val="center"/>
              <w:rPr>
                <w:rFonts w:hint="default" w:ascii="宋体" w:hAnsi="宋体" w:eastAsia="宋体" w:cs="宋体"/>
                <w:kern w:val="2"/>
                <w:sz w:val="16"/>
                <w:szCs w:val="16"/>
                <w:lang w:val="en-US" w:eastAsia="zh-CN" w:bidi="ar-SA"/>
              </w:rPr>
            </w:pPr>
            <w:r>
              <w:rPr>
                <w:rFonts w:hint="eastAsia" w:ascii="宋体" w:hAnsi="宋体" w:cs="宋体"/>
                <w:kern w:val="2"/>
                <w:sz w:val="16"/>
                <w:szCs w:val="16"/>
                <w:lang w:val="en-US" w:eastAsia="zh-CN" w:bidi="ar-SA"/>
              </w:rPr>
              <w:t>0.00</w:t>
            </w:r>
          </w:p>
        </w:tc>
        <w:tc>
          <w:tcPr>
            <w:tcW w:w="3544" w:type="dxa"/>
            <w:tcBorders>
              <w:top w:val="nil"/>
              <w:left w:val="nil"/>
              <w:bottom w:val="single" w:color="auto" w:sz="4" w:space="0"/>
              <w:right w:val="nil"/>
            </w:tcBorders>
            <w:vAlign w:val="center"/>
          </w:tcPr>
          <w:p>
            <w:pPr>
              <w:widowControl/>
              <w:jc w:val="left"/>
            </w:pPr>
            <w:r>
              <w:rPr>
                <w:rFonts w:hint="eastAsia"/>
              </w:rPr>
              <w:t>十、卫生健康支出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pacing w:val="-2"/>
                <w:sz w:val="16"/>
                <w:szCs w:val="16"/>
              </w:rPr>
              <w:t>65.52</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bottom"/>
          </w:tcPr>
          <w:p>
            <w:pPr>
              <w:widowControl/>
              <w:jc w:val="left"/>
            </w:pP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kern w:val="2"/>
                <w:sz w:val="16"/>
                <w:szCs w:val="16"/>
                <w:lang w:val="en-US" w:eastAsia="zh-CN" w:bidi="ar-SA"/>
              </w:rPr>
            </w:pPr>
          </w:p>
        </w:tc>
        <w:tc>
          <w:tcPr>
            <w:tcW w:w="3544" w:type="dxa"/>
            <w:tcBorders>
              <w:top w:val="nil"/>
              <w:left w:val="nil"/>
              <w:bottom w:val="single" w:color="auto" w:sz="4" w:space="0"/>
              <w:right w:val="nil"/>
            </w:tcBorders>
            <w:vAlign w:val="center"/>
          </w:tcPr>
          <w:p>
            <w:pPr>
              <w:widowControl/>
              <w:jc w:val="left"/>
            </w:pPr>
            <w:r>
              <w:rPr>
                <w:rFonts w:hint="eastAsia"/>
              </w:rPr>
              <w:t>十一、节能环保支出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r>
              <w:rPr>
                <w:rFonts w:hint="eastAsia"/>
              </w:rPr>
              <w:t>　</w:t>
            </w: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kern w:val="2"/>
                <w:sz w:val="16"/>
                <w:szCs w:val="16"/>
                <w:lang w:val="en-US" w:eastAsia="zh-CN" w:bidi="ar-SA"/>
              </w:rPr>
            </w:pPr>
          </w:p>
        </w:tc>
        <w:tc>
          <w:tcPr>
            <w:tcW w:w="3544" w:type="dxa"/>
            <w:tcBorders>
              <w:top w:val="nil"/>
              <w:left w:val="nil"/>
              <w:bottom w:val="single" w:color="auto" w:sz="4" w:space="0"/>
              <w:right w:val="nil"/>
            </w:tcBorders>
            <w:vAlign w:val="center"/>
          </w:tcPr>
          <w:p>
            <w:pPr>
              <w:widowControl/>
              <w:jc w:val="left"/>
            </w:pPr>
            <w:r>
              <w:rPr>
                <w:rFonts w:hint="eastAsia"/>
              </w:rPr>
              <w:t>十二、城乡社区支出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kern w:val="2"/>
                <w:sz w:val="16"/>
                <w:szCs w:val="16"/>
                <w:lang w:val="en-US" w:eastAsia="zh-CN" w:bidi="ar-SA"/>
              </w:rPr>
            </w:pPr>
          </w:p>
        </w:tc>
        <w:tc>
          <w:tcPr>
            <w:tcW w:w="3544" w:type="dxa"/>
            <w:tcBorders>
              <w:top w:val="nil"/>
              <w:left w:val="nil"/>
              <w:bottom w:val="single" w:color="auto" w:sz="4" w:space="0"/>
              <w:right w:val="nil"/>
            </w:tcBorders>
            <w:vAlign w:val="center"/>
          </w:tcPr>
          <w:p>
            <w:pPr>
              <w:widowControl/>
              <w:jc w:val="left"/>
            </w:pPr>
            <w:r>
              <w:rPr>
                <w:rFonts w:hint="eastAsia"/>
              </w:rPr>
              <w:t>十三、农林水支出</w:t>
            </w:r>
          </w:p>
        </w:tc>
        <w:tc>
          <w:tcPr>
            <w:tcW w:w="998" w:type="dxa"/>
            <w:tcBorders>
              <w:top w:val="nil"/>
              <w:left w:val="single" w:color="auto" w:sz="4" w:space="0"/>
              <w:bottom w:val="single" w:color="auto" w:sz="4" w:space="0"/>
              <w:right w:val="single" w:color="auto" w:sz="4" w:space="0"/>
            </w:tcBorders>
            <w:vAlign w:val="top"/>
          </w:tcPr>
          <w:p>
            <w:pPr>
              <w:spacing w:before="120" w:line="180" w:lineRule="auto"/>
              <w:ind w:firstLine="320" w:firstLineChars="200"/>
              <w:jc w:val="both"/>
              <w:rPr>
                <w:rFonts w:hint="default" w:ascii="宋体" w:hAnsi="宋体" w:eastAsia="宋体" w:cs="宋体"/>
                <w:kern w:val="2"/>
                <w:sz w:val="16"/>
                <w:szCs w:val="16"/>
                <w:lang w:val="en-US" w:eastAsia="zh-CN" w:bidi="ar-SA"/>
              </w:rPr>
            </w:pPr>
            <w:r>
              <w:rPr>
                <w:rFonts w:hint="eastAsia" w:ascii="宋体" w:hAnsi="宋体" w:cs="宋体"/>
                <w:kern w:val="2"/>
                <w:sz w:val="16"/>
                <w:szCs w:val="16"/>
                <w:lang w:val="en-US" w:eastAsia="zh-CN" w:bidi="ar-SA"/>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kern w:val="2"/>
                <w:sz w:val="16"/>
                <w:szCs w:val="16"/>
                <w:lang w:val="en-US" w:eastAsia="zh-CN" w:bidi="ar-SA"/>
              </w:rPr>
            </w:pPr>
          </w:p>
        </w:tc>
        <w:tc>
          <w:tcPr>
            <w:tcW w:w="3544" w:type="dxa"/>
            <w:tcBorders>
              <w:top w:val="nil"/>
              <w:left w:val="nil"/>
              <w:bottom w:val="single" w:color="auto" w:sz="4" w:space="0"/>
              <w:right w:val="nil"/>
            </w:tcBorders>
            <w:vAlign w:val="center"/>
          </w:tcPr>
          <w:p>
            <w:pPr>
              <w:widowControl/>
              <w:jc w:val="left"/>
            </w:pPr>
            <w:r>
              <w:rPr>
                <w:rFonts w:hint="eastAsia"/>
              </w:rPr>
              <w:t>十四、交通运输支出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default" w:ascii="宋体" w:hAnsi="宋体" w:eastAsia="宋体" w:cs="宋体"/>
                <w:snapToGrid w:val="0"/>
                <w:color w:val="000000"/>
                <w:kern w:val="0"/>
                <w:sz w:val="16"/>
                <w:szCs w:val="16"/>
                <w:lang w:val="en-US" w:eastAsia="zh-CN" w:bidi="ar-SA"/>
              </w:rPr>
            </w:pPr>
            <w:r>
              <w:rPr>
                <w:rFonts w:hint="eastAsia" w:ascii="宋体" w:hAnsi="宋体" w:cs="宋体"/>
                <w:sz w:val="16"/>
                <w:szCs w:val="16"/>
                <w:lang w:val="en-US" w:eastAsia="zh-CN"/>
              </w:rPr>
              <w:t>1126.43</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kern w:val="2"/>
                <w:sz w:val="16"/>
                <w:szCs w:val="16"/>
                <w:lang w:val="en-US" w:eastAsia="zh-CN" w:bidi="ar-SA"/>
              </w:rPr>
            </w:pPr>
          </w:p>
        </w:tc>
        <w:tc>
          <w:tcPr>
            <w:tcW w:w="3544" w:type="dxa"/>
            <w:tcBorders>
              <w:top w:val="nil"/>
              <w:left w:val="nil"/>
              <w:bottom w:val="single" w:color="auto" w:sz="4" w:space="0"/>
              <w:right w:val="nil"/>
            </w:tcBorders>
            <w:vAlign w:val="center"/>
          </w:tcPr>
          <w:p>
            <w:pPr>
              <w:widowControl/>
              <w:jc w:val="left"/>
            </w:pPr>
            <w:r>
              <w:rPr>
                <w:rFonts w:hint="eastAsia"/>
              </w:rPr>
              <w:t>十五、资源勘探工业信息等支出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kern w:val="2"/>
                <w:sz w:val="16"/>
                <w:szCs w:val="16"/>
                <w:lang w:val="en-US" w:eastAsia="zh-CN" w:bidi="ar-SA"/>
              </w:rPr>
            </w:pPr>
          </w:p>
        </w:tc>
        <w:tc>
          <w:tcPr>
            <w:tcW w:w="3544" w:type="dxa"/>
            <w:tcBorders>
              <w:top w:val="nil"/>
              <w:left w:val="nil"/>
              <w:bottom w:val="single" w:color="auto" w:sz="4" w:space="0"/>
              <w:right w:val="nil"/>
            </w:tcBorders>
            <w:vAlign w:val="center"/>
          </w:tcPr>
          <w:p>
            <w:pPr>
              <w:widowControl/>
              <w:jc w:val="left"/>
            </w:pPr>
            <w:r>
              <w:rPr>
                <w:rFonts w:hint="eastAsia"/>
              </w:rPr>
              <w:t>十六、商业服务业等支出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kern w:val="2"/>
                <w:sz w:val="16"/>
                <w:szCs w:val="16"/>
                <w:lang w:val="en-US" w:eastAsia="zh-CN" w:bidi="ar-SA"/>
              </w:rPr>
            </w:pPr>
          </w:p>
        </w:tc>
        <w:tc>
          <w:tcPr>
            <w:tcW w:w="3544" w:type="dxa"/>
            <w:tcBorders>
              <w:top w:val="nil"/>
              <w:left w:val="nil"/>
              <w:bottom w:val="single" w:color="auto" w:sz="4" w:space="0"/>
              <w:right w:val="nil"/>
            </w:tcBorders>
            <w:vAlign w:val="center"/>
          </w:tcPr>
          <w:p>
            <w:pPr>
              <w:widowControl/>
              <w:jc w:val="left"/>
            </w:pPr>
            <w:r>
              <w:rPr>
                <w:rFonts w:hint="eastAsia"/>
              </w:rPr>
              <w:t>十七、金融支出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kern w:val="2"/>
                <w:sz w:val="16"/>
                <w:szCs w:val="16"/>
                <w:lang w:val="en-US" w:eastAsia="zh-CN" w:bidi="ar-SA"/>
              </w:rPr>
            </w:pPr>
          </w:p>
        </w:tc>
        <w:tc>
          <w:tcPr>
            <w:tcW w:w="3544" w:type="dxa"/>
            <w:tcBorders>
              <w:top w:val="nil"/>
              <w:left w:val="nil"/>
              <w:bottom w:val="single" w:color="auto" w:sz="4" w:space="0"/>
              <w:right w:val="nil"/>
            </w:tcBorders>
            <w:vAlign w:val="center"/>
          </w:tcPr>
          <w:p>
            <w:pPr>
              <w:widowControl/>
              <w:jc w:val="left"/>
            </w:pPr>
            <w:r>
              <w:rPr>
                <w:rFonts w:hint="eastAsia"/>
              </w:rPr>
              <w:t>十八、援助其他地区支出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kern w:val="2"/>
                <w:sz w:val="16"/>
                <w:szCs w:val="16"/>
                <w:lang w:val="en-US" w:eastAsia="zh-CN" w:bidi="ar-SA"/>
              </w:rPr>
            </w:pPr>
          </w:p>
        </w:tc>
        <w:tc>
          <w:tcPr>
            <w:tcW w:w="3544" w:type="dxa"/>
            <w:tcBorders>
              <w:top w:val="nil"/>
              <w:left w:val="nil"/>
              <w:bottom w:val="single" w:color="auto" w:sz="4" w:space="0"/>
              <w:right w:val="nil"/>
            </w:tcBorders>
            <w:vAlign w:val="center"/>
          </w:tcPr>
          <w:p>
            <w:pPr>
              <w:widowControl/>
              <w:jc w:val="left"/>
            </w:pPr>
            <w:r>
              <w:rPr>
                <w:rFonts w:hint="eastAsia"/>
              </w:rPr>
              <w:t>十九、自然资源海洋气象等支出</w:t>
            </w:r>
          </w:p>
        </w:tc>
        <w:tc>
          <w:tcPr>
            <w:tcW w:w="998" w:type="dxa"/>
            <w:tcBorders>
              <w:top w:val="nil"/>
              <w:left w:val="single" w:color="auto" w:sz="4" w:space="0"/>
              <w:bottom w:val="single" w:color="auto" w:sz="4" w:space="0"/>
              <w:right w:val="single" w:color="auto" w:sz="4" w:space="0"/>
            </w:tcBorders>
            <w:vAlign w:val="top"/>
          </w:tcPr>
          <w:p>
            <w:pPr>
              <w:spacing w:before="120" w:line="180" w:lineRule="auto"/>
              <w:ind w:firstLine="308" w:firstLineChars="200"/>
              <w:jc w:val="both"/>
              <w:rPr>
                <w:rFonts w:hint="default" w:ascii="宋体" w:hAnsi="宋体" w:eastAsia="宋体" w:cs="宋体"/>
                <w:kern w:val="2"/>
                <w:sz w:val="16"/>
                <w:szCs w:val="16"/>
                <w:lang w:val="en-US" w:eastAsia="zh-CN" w:bidi="ar-SA"/>
              </w:rPr>
            </w:pPr>
            <w:r>
              <w:rPr>
                <w:rFonts w:hint="eastAsia" w:ascii="宋体" w:hAnsi="宋体" w:cs="宋体"/>
                <w:spacing w:val="-3"/>
                <w:sz w:val="16"/>
                <w:szCs w:val="16"/>
                <w:lang w:val="en-US" w:eastAsia="zh-CN"/>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p>
        </w:tc>
        <w:tc>
          <w:tcPr>
            <w:tcW w:w="992" w:type="dxa"/>
            <w:tcBorders>
              <w:top w:val="nil"/>
              <w:left w:val="nil"/>
              <w:bottom w:val="single" w:color="auto" w:sz="4" w:space="0"/>
              <w:right w:val="single" w:color="auto" w:sz="4" w:space="0"/>
            </w:tcBorders>
            <w:vAlign w:val="top"/>
          </w:tcPr>
          <w:p>
            <w:pPr>
              <w:spacing w:line="334" w:lineRule="exact"/>
              <w:jc w:val="center"/>
              <w:rPr>
                <w:rFonts w:hint="eastAsia" w:ascii="宋体" w:hAnsi="宋体" w:eastAsia="宋体" w:cs="宋体"/>
                <w:kern w:val="2"/>
                <w:sz w:val="16"/>
                <w:szCs w:val="16"/>
                <w:lang w:val="en-US" w:eastAsia="zh-CN" w:bidi="ar-SA"/>
              </w:rPr>
            </w:pPr>
          </w:p>
        </w:tc>
        <w:tc>
          <w:tcPr>
            <w:tcW w:w="3544" w:type="dxa"/>
            <w:tcBorders>
              <w:top w:val="nil"/>
              <w:left w:val="nil"/>
              <w:bottom w:val="single" w:color="auto" w:sz="4" w:space="0"/>
              <w:right w:val="nil"/>
            </w:tcBorders>
            <w:vAlign w:val="center"/>
          </w:tcPr>
          <w:p>
            <w:pPr>
              <w:widowControl/>
              <w:jc w:val="left"/>
            </w:pPr>
            <w:r>
              <w:rPr>
                <w:rFonts w:hint="eastAsia"/>
              </w:rPr>
              <w:t>二十、住房保障支出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default" w:ascii="宋体" w:hAnsi="宋体" w:eastAsia="宋体" w:cs="宋体"/>
                <w:snapToGrid w:val="0"/>
                <w:color w:val="000000"/>
                <w:kern w:val="0"/>
                <w:sz w:val="16"/>
                <w:szCs w:val="16"/>
                <w:lang w:val="en-US" w:eastAsia="zh-CN" w:bidi="ar-SA"/>
              </w:rPr>
            </w:pPr>
            <w:r>
              <w:rPr>
                <w:rFonts w:hint="eastAsia" w:ascii="宋体" w:hAnsi="宋体" w:cs="宋体"/>
                <w:sz w:val="16"/>
                <w:szCs w:val="16"/>
                <w:lang w:val="en-US" w:eastAsia="zh-CN"/>
              </w:rPr>
              <w:t>104.95</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kern w:val="2"/>
                <w:sz w:val="16"/>
                <w:szCs w:val="16"/>
                <w:lang w:val="en-US" w:eastAsia="zh-CN" w:bidi="ar-SA"/>
              </w:rPr>
            </w:pPr>
          </w:p>
        </w:tc>
        <w:tc>
          <w:tcPr>
            <w:tcW w:w="3544" w:type="dxa"/>
            <w:tcBorders>
              <w:top w:val="nil"/>
              <w:left w:val="nil"/>
              <w:bottom w:val="single" w:color="auto" w:sz="4" w:space="0"/>
              <w:right w:val="nil"/>
            </w:tcBorders>
            <w:vAlign w:val="center"/>
          </w:tcPr>
          <w:p>
            <w:pPr>
              <w:widowControl/>
              <w:jc w:val="left"/>
            </w:pPr>
            <w:r>
              <w:rPr>
                <w:rFonts w:hint="eastAsia"/>
              </w:rPr>
              <w:t>二十一、粮油物资储备支出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kern w:val="2"/>
                <w:sz w:val="16"/>
                <w:szCs w:val="16"/>
                <w:lang w:val="en-US" w:eastAsia="zh-CN" w:bidi="ar-SA"/>
              </w:rPr>
            </w:pPr>
          </w:p>
        </w:tc>
        <w:tc>
          <w:tcPr>
            <w:tcW w:w="3544" w:type="dxa"/>
            <w:tcBorders>
              <w:top w:val="nil"/>
              <w:left w:val="nil"/>
              <w:bottom w:val="single" w:color="auto" w:sz="4" w:space="0"/>
              <w:right w:val="nil"/>
            </w:tcBorders>
            <w:vAlign w:val="center"/>
          </w:tcPr>
          <w:p>
            <w:pPr>
              <w:widowControl/>
              <w:jc w:val="left"/>
            </w:pPr>
            <w:r>
              <w:rPr>
                <w:rFonts w:hint="eastAsia"/>
              </w:rPr>
              <w:t>二十二、国有资本经营预算支出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kern w:val="2"/>
                <w:sz w:val="16"/>
                <w:szCs w:val="16"/>
                <w:lang w:val="en-US" w:eastAsia="zh-CN" w:bidi="ar-SA"/>
              </w:rPr>
            </w:pPr>
          </w:p>
        </w:tc>
        <w:tc>
          <w:tcPr>
            <w:tcW w:w="3544" w:type="dxa"/>
            <w:tcBorders>
              <w:top w:val="nil"/>
              <w:left w:val="nil"/>
              <w:bottom w:val="single" w:color="auto" w:sz="4" w:space="0"/>
              <w:right w:val="nil"/>
            </w:tcBorders>
            <w:vAlign w:val="center"/>
          </w:tcPr>
          <w:p>
            <w:pPr>
              <w:widowControl/>
              <w:jc w:val="left"/>
            </w:pPr>
            <w:r>
              <w:rPr>
                <w:rFonts w:hint="eastAsia"/>
              </w:rPr>
              <w:t>二十三、灾害防治及应急管理支出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p>
        </w:tc>
        <w:tc>
          <w:tcPr>
            <w:tcW w:w="992"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kern w:val="2"/>
                <w:sz w:val="16"/>
                <w:szCs w:val="16"/>
                <w:lang w:val="en-US" w:eastAsia="zh-CN" w:bidi="ar-SA"/>
              </w:rPr>
            </w:pPr>
          </w:p>
        </w:tc>
        <w:tc>
          <w:tcPr>
            <w:tcW w:w="3544" w:type="dxa"/>
            <w:tcBorders>
              <w:top w:val="nil"/>
              <w:left w:val="nil"/>
              <w:bottom w:val="single" w:color="auto" w:sz="4" w:space="0"/>
              <w:right w:val="nil"/>
            </w:tcBorders>
            <w:vAlign w:val="center"/>
          </w:tcPr>
          <w:p>
            <w:pPr>
              <w:widowControl/>
              <w:jc w:val="left"/>
            </w:pPr>
            <w:r>
              <w:rPr>
                <w:rFonts w:hint="eastAsia"/>
              </w:rPr>
              <w:t>二十四、其他支出</w:t>
            </w:r>
          </w:p>
        </w:tc>
        <w:tc>
          <w:tcPr>
            <w:tcW w:w="998" w:type="dxa"/>
            <w:tcBorders>
              <w:top w:val="nil"/>
              <w:left w:val="single" w:color="auto" w:sz="4" w:space="0"/>
              <w:bottom w:val="single" w:color="auto" w:sz="4" w:space="0"/>
              <w:right w:val="single" w:color="auto" w:sz="4" w:space="0"/>
            </w:tcBorders>
            <w:vAlign w:val="top"/>
          </w:tcPr>
          <w:p>
            <w:pPr>
              <w:spacing w:line="335" w:lineRule="exact"/>
              <w:jc w:val="center"/>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z w:val="16"/>
                <w:szCs w:val="16"/>
                <w:lang w:val="en-US" w:eastAsia="zh-CN"/>
              </w:rPr>
              <w:t>0.00</w:t>
            </w:r>
          </w:p>
        </w:tc>
      </w:tr>
      <w:tr>
        <w:tblPrEx>
          <w:tblCellMar>
            <w:top w:w="0" w:type="dxa"/>
            <w:left w:w="108" w:type="dxa"/>
            <w:bottom w:w="0" w:type="dxa"/>
            <w:right w:w="108" w:type="dxa"/>
          </w:tblCellMar>
        </w:tblPrEx>
        <w:trPr>
          <w:trHeight w:val="423"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r>
              <w:rPr>
                <w:rFonts w:hint="eastAsia"/>
              </w:rPr>
              <w:t>本年收入合计</w:t>
            </w:r>
          </w:p>
        </w:tc>
        <w:tc>
          <w:tcPr>
            <w:tcW w:w="992" w:type="dxa"/>
            <w:tcBorders>
              <w:top w:val="nil"/>
              <w:left w:val="nil"/>
              <w:bottom w:val="single" w:color="auto" w:sz="4" w:space="0"/>
              <w:right w:val="single" w:color="auto" w:sz="4" w:space="0"/>
            </w:tcBorders>
            <w:vAlign w:val="top"/>
          </w:tcPr>
          <w:p>
            <w:pPr>
              <w:spacing w:before="121" w:line="180" w:lineRule="auto"/>
              <w:ind w:firstLine="154" w:firstLineChars="100"/>
              <w:jc w:val="both"/>
              <w:rPr>
                <w:rFonts w:hint="eastAsia" w:ascii="宋体" w:hAnsi="宋体" w:eastAsia="宋体" w:cs="宋体"/>
                <w:kern w:val="2"/>
                <w:sz w:val="16"/>
                <w:szCs w:val="16"/>
                <w:lang w:val="en-US" w:eastAsia="zh-CN" w:bidi="ar-SA"/>
              </w:rPr>
            </w:pPr>
            <w:r>
              <w:rPr>
                <w:rFonts w:hint="eastAsia" w:ascii="宋体" w:hAnsi="宋体" w:eastAsia="宋体" w:cs="宋体"/>
                <w:spacing w:val="-3"/>
                <w:sz w:val="16"/>
                <w:szCs w:val="16"/>
              </w:rPr>
              <w:t>1422.43</w:t>
            </w:r>
          </w:p>
        </w:tc>
        <w:tc>
          <w:tcPr>
            <w:tcW w:w="3544" w:type="dxa"/>
            <w:tcBorders>
              <w:top w:val="nil"/>
              <w:left w:val="nil"/>
              <w:bottom w:val="single" w:color="auto" w:sz="4" w:space="0"/>
              <w:right w:val="single" w:color="auto" w:sz="4" w:space="0"/>
            </w:tcBorders>
            <w:vAlign w:val="center"/>
          </w:tcPr>
          <w:p>
            <w:pPr>
              <w:widowControl/>
              <w:jc w:val="left"/>
            </w:pPr>
            <w:r>
              <w:rPr>
                <w:rFonts w:hint="eastAsia"/>
              </w:rPr>
              <w:t>本年支出合计</w:t>
            </w:r>
          </w:p>
        </w:tc>
        <w:tc>
          <w:tcPr>
            <w:tcW w:w="998" w:type="dxa"/>
            <w:tcBorders>
              <w:top w:val="nil"/>
              <w:left w:val="nil"/>
              <w:bottom w:val="single" w:color="auto" w:sz="4" w:space="0"/>
              <w:right w:val="single" w:color="auto" w:sz="4" w:space="0"/>
            </w:tcBorders>
            <w:vAlign w:val="top"/>
          </w:tcPr>
          <w:p>
            <w:pPr>
              <w:spacing w:before="121" w:line="180" w:lineRule="auto"/>
              <w:jc w:val="both"/>
              <w:rPr>
                <w:rFonts w:hint="eastAsia" w:ascii="宋体" w:hAnsi="宋体" w:eastAsia="宋体" w:cs="宋体"/>
                <w:kern w:val="2"/>
                <w:sz w:val="16"/>
                <w:szCs w:val="16"/>
                <w:lang w:val="en-US" w:eastAsia="zh-CN" w:bidi="ar-SA"/>
              </w:rPr>
            </w:pPr>
            <w:r>
              <w:rPr>
                <w:rFonts w:hint="eastAsia" w:ascii="宋体" w:hAnsi="宋体" w:eastAsia="宋体" w:cs="宋体"/>
                <w:spacing w:val="-3"/>
                <w:sz w:val="16"/>
                <w:szCs w:val="16"/>
              </w:rPr>
              <w:t>1422.43</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r>
              <w:rPr>
                <w:rFonts w:hint="eastAsia"/>
              </w:rPr>
              <w:t>事业基金弥补收支差额</w:t>
            </w:r>
          </w:p>
        </w:tc>
        <w:tc>
          <w:tcPr>
            <w:tcW w:w="992" w:type="dxa"/>
            <w:tcBorders>
              <w:top w:val="nil"/>
              <w:left w:val="nil"/>
              <w:bottom w:val="single" w:color="auto" w:sz="4" w:space="0"/>
              <w:right w:val="single" w:color="auto" w:sz="4" w:space="0"/>
            </w:tcBorders>
            <w:vAlign w:val="top"/>
          </w:tcPr>
          <w:p>
            <w:pPr>
              <w:spacing w:line="335" w:lineRule="exact"/>
              <w:jc w:val="center"/>
              <w:rPr>
                <w:rFonts w:hint="default" w:ascii="宋体" w:hAnsi="宋体" w:eastAsia="宋体" w:cs="宋体"/>
                <w:kern w:val="2"/>
                <w:sz w:val="16"/>
                <w:szCs w:val="16"/>
                <w:lang w:val="en-US" w:eastAsia="zh-CN" w:bidi="ar-SA"/>
              </w:rPr>
            </w:pPr>
            <w:r>
              <w:rPr>
                <w:rFonts w:hint="eastAsia" w:ascii="宋体" w:hAnsi="宋体" w:eastAsia="宋体" w:cs="宋体"/>
                <w:sz w:val="16"/>
                <w:szCs w:val="16"/>
                <w:lang w:val="en-US" w:eastAsia="zh-CN"/>
              </w:rPr>
              <w:t>0.00</w:t>
            </w:r>
          </w:p>
        </w:tc>
        <w:tc>
          <w:tcPr>
            <w:tcW w:w="3544" w:type="dxa"/>
            <w:tcBorders>
              <w:top w:val="nil"/>
              <w:left w:val="nil"/>
              <w:bottom w:val="single" w:color="auto" w:sz="4" w:space="0"/>
              <w:right w:val="single" w:color="auto" w:sz="4" w:space="0"/>
            </w:tcBorders>
            <w:vAlign w:val="center"/>
          </w:tcPr>
          <w:p>
            <w:pPr>
              <w:widowControl/>
              <w:jc w:val="left"/>
            </w:pPr>
          </w:p>
        </w:tc>
        <w:tc>
          <w:tcPr>
            <w:tcW w:w="998" w:type="dxa"/>
            <w:tcBorders>
              <w:top w:val="nil"/>
              <w:left w:val="nil"/>
              <w:bottom w:val="single" w:color="auto" w:sz="4" w:space="0"/>
              <w:right w:val="single" w:color="auto" w:sz="4" w:space="0"/>
            </w:tcBorders>
            <w:vAlign w:val="top"/>
          </w:tcPr>
          <w:p>
            <w:pPr>
              <w:spacing w:line="335" w:lineRule="exact"/>
              <w:jc w:val="center"/>
              <w:rPr>
                <w:rFonts w:hint="eastAsia" w:ascii="宋体" w:hAnsi="宋体" w:eastAsia="宋体" w:cs="宋体"/>
                <w:kern w:val="2"/>
                <w:sz w:val="16"/>
                <w:szCs w:val="16"/>
                <w:lang w:val="en-US" w:eastAsia="zh-CN" w:bidi="ar-SA"/>
              </w:rPr>
            </w:pP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r>
              <w:rPr>
                <w:rFonts w:hint="eastAsia"/>
              </w:rPr>
              <w:t>上年结转结余</w:t>
            </w:r>
          </w:p>
        </w:tc>
        <w:tc>
          <w:tcPr>
            <w:tcW w:w="992" w:type="dxa"/>
            <w:tcBorders>
              <w:top w:val="nil"/>
              <w:left w:val="nil"/>
              <w:bottom w:val="single" w:color="auto" w:sz="4" w:space="0"/>
              <w:right w:val="single" w:color="auto" w:sz="4" w:space="0"/>
            </w:tcBorders>
            <w:vAlign w:val="top"/>
          </w:tcPr>
          <w:p>
            <w:pPr>
              <w:spacing w:line="335" w:lineRule="exact"/>
              <w:jc w:val="center"/>
              <w:rPr>
                <w:rFonts w:hint="default" w:ascii="宋体" w:hAnsi="宋体" w:eastAsia="宋体" w:cs="宋体"/>
                <w:kern w:val="2"/>
                <w:sz w:val="16"/>
                <w:szCs w:val="16"/>
                <w:lang w:val="en-US" w:eastAsia="zh-CN" w:bidi="ar-SA"/>
              </w:rPr>
            </w:pPr>
            <w:r>
              <w:rPr>
                <w:rFonts w:hint="eastAsia" w:ascii="宋体" w:hAnsi="宋体" w:eastAsia="宋体" w:cs="宋体"/>
                <w:sz w:val="16"/>
                <w:szCs w:val="16"/>
                <w:lang w:val="en-US" w:eastAsia="zh-CN"/>
              </w:rPr>
              <w:t>0.00</w:t>
            </w:r>
          </w:p>
        </w:tc>
        <w:tc>
          <w:tcPr>
            <w:tcW w:w="3544" w:type="dxa"/>
            <w:tcBorders>
              <w:top w:val="nil"/>
              <w:left w:val="nil"/>
              <w:bottom w:val="single" w:color="auto" w:sz="4" w:space="0"/>
              <w:right w:val="single" w:color="auto" w:sz="4" w:space="0"/>
            </w:tcBorders>
            <w:vAlign w:val="center"/>
          </w:tcPr>
          <w:p>
            <w:pPr>
              <w:widowControl/>
              <w:jc w:val="left"/>
            </w:pPr>
            <w:r>
              <w:rPr>
                <w:rFonts w:hint="eastAsia"/>
              </w:rPr>
              <w:t>年终结转结余</w:t>
            </w:r>
          </w:p>
        </w:tc>
        <w:tc>
          <w:tcPr>
            <w:tcW w:w="998" w:type="dxa"/>
            <w:tcBorders>
              <w:top w:val="nil"/>
              <w:left w:val="nil"/>
              <w:bottom w:val="single" w:color="auto" w:sz="4" w:space="0"/>
              <w:right w:val="single" w:color="auto" w:sz="4" w:space="0"/>
            </w:tcBorders>
            <w:vAlign w:val="top"/>
          </w:tcPr>
          <w:p>
            <w:pPr>
              <w:spacing w:line="335" w:lineRule="exact"/>
              <w:jc w:val="center"/>
              <w:rPr>
                <w:rFonts w:hint="default" w:ascii="宋体" w:hAnsi="宋体" w:eastAsia="宋体" w:cs="宋体"/>
                <w:kern w:val="2"/>
                <w:sz w:val="16"/>
                <w:szCs w:val="16"/>
                <w:lang w:val="en-US" w:eastAsia="zh-CN" w:bidi="ar-SA"/>
              </w:rPr>
            </w:pPr>
            <w:r>
              <w:rPr>
                <w:rFonts w:hint="eastAsia" w:ascii="宋体" w:hAnsi="宋体" w:cs="宋体"/>
                <w:kern w:val="2"/>
                <w:sz w:val="16"/>
                <w:szCs w:val="16"/>
                <w:lang w:val="en-US" w:eastAsia="zh-CN" w:bidi="ar-SA"/>
              </w:rPr>
              <w:t>0.00</w:t>
            </w:r>
          </w:p>
        </w:tc>
      </w:tr>
      <w:tr>
        <w:tblPrEx>
          <w:tblCellMar>
            <w:top w:w="0" w:type="dxa"/>
            <w:left w:w="108" w:type="dxa"/>
            <w:bottom w:w="0" w:type="dxa"/>
            <w:right w:w="108" w:type="dxa"/>
          </w:tblCellMar>
        </w:tblPrEx>
        <w:trPr>
          <w:trHeight w:val="345" w:hRule="atLeast"/>
          <w:jc w:val="center"/>
        </w:trPr>
        <w:tc>
          <w:tcPr>
            <w:tcW w:w="3466" w:type="dxa"/>
            <w:tcBorders>
              <w:top w:val="nil"/>
              <w:left w:val="single" w:color="auto" w:sz="4" w:space="0"/>
              <w:bottom w:val="single" w:color="auto" w:sz="4" w:space="0"/>
              <w:right w:val="single" w:color="auto" w:sz="4" w:space="0"/>
            </w:tcBorders>
            <w:vAlign w:val="center"/>
          </w:tcPr>
          <w:p>
            <w:pPr>
              <w:widowControl/>
              <w:jc w:val="left"/>
            </w:pPr>
            <w:r>
              <w:rPr>
                <w:rFonts w:hint="eastAsia"/>
              </w:rPr>
              <w:t>收入总计</w:t>
            </w:r>
          </w:p>
        </w:tc>
        <w:tc>
          <w:tcPr>
            <w:tcW w:w="992" w:type="dxa"/>
            <w:tcBorders>
              <w:top w:val="nil"/>
              <w:left w:val="nil"/>
              <w:bottom w:val="single" w:color="auto" w:sz="4" w:space="0"/>
              <w:right w:val="single" w:color="auto" w:sz="4" w:space="0"/>
            </w:tcBorders>
            <w:vAlign w:val="top"/>
          </w:tcPr>
          <w:p>
            <w:pPr>
              <w:spacing w:line="335" w:lineRule="exact"/>
              <w:jc w:val="center"/>
              <w:rPr>
                <w:rFonts w:hint="default" w:ascii="宋体" w:hAnsi="宋体" w:eastAsia="宋体" w:cs="宋体"/>
                <w:kern w:val="2"/>
                <w:sz w:val="16"/>
                <w:szCs w:val="16"/>
                <w:lang w:val="en-US" w:eastAsia="zh-CN" w:bidi="ar-SA"/>
              </w:rPr>
            </w:pPr>
            <w:r>
              <w:rPr>
                <w:rFonts w:hint="eastAsia" w:ascii="宋体" w:hAnsi="宋体" w:cs="宋体"/>
                <w:sz w:val="16"/>
                <w:szCs w:val="16"/>
                <w:lang w:val="en-US" w:eastAsia="zh-CN"/>
              </w:rPr>
              <w:t>1422.43</w:t>
            </w:r>
          </w:p>
        </w:tc>
        <w:tc>
          <w:tcPr>
            <w:tcW w:w="3544" w:type="dxa"/>
            <w:tcBorders>
              <w:top w:val="nil"/>
              <w:left w:val="nil"/>
              <w:bottom w:val="single" w:color="auto" w:sz="4" w:space="0"/>
              <w:right w:val="single" w:color="auto" w:sz="4" w:space="0"/>
            </w:tcBorders>
            <w:vAlign w:val="center"/>
          </w:tcPr>
          <w:p>
            <w:pPr>
              <w:widowControl/>
              <w:jc w:val="left"/>
              <w:rPr>
                <w:rFonts w:hint="default" w:eastAsia="宋体"/>
                <w:lang w:val="en-US" w:eastAsia="zh-CN"/>
              </w:rPr>
            </w:pPr>
            <w:r>
              <w:rPr>
                <w:rFonts w:hint="eastAsia" w:eastAsia="宋体"/>
                <w:lang w:val="en-US" w:eastAsia="zh-CN"/>
              </w:rPr>
              <w:t>支出总计</w:t>
            </w:r>
          </w:p>
        </w:tc>
        <w:tc>
          <w:tcPr>
            <w:tcW w:w="998" w:type="dxa"/>
            <w:tcBorders>
              <w:top w:val="nil"/>
              <w:left w:val="nil"/>
              <w:bottom w:val="single" w:color="auto" w:sz="4" w:space="0"/>
              <w:right w:val="single" w:color="auto" w:sz="4" w:space="0"/>
            </w:tcBorders>
            <w:vAlign w:val="top"/>
          </w:tcPr>
          <w:p>
            <w:pPr>
              <w:spacing w:line="335" w:lineRule="exact"/>
              <w:jc w:val="center"/>
              <w:rPr>
                <w:rFonts w:hint="default" w:ascii="宋体" w:hAnsi="宋体" w:eastAsia="宋体" w:cs="宋体"/>
                <w:kern w:val="2"/>
                <w:sz w:val="16"/>
                <w:szCs w:val="16"/>
                <w:lang w:val="en-US" w:eastAsia="zh-CN" w:bidi="ar-SA"/>
              </w:rPr>
            </w:pPr>
            <w:r>
              <w:rPr>
                <w:rFonts w:hint="eastAsia" w:ascii="宋体" w:hAnsi="宋体" w:cs="宋体"/>
                <w:sz w:val="16"/>
                <w:szCs w:val="16"/>
                <w:lang w:val="en-US" w:eastAsia="zh-CN"/>
              </w:rPr>
              <w:t>1422.43</w:t>
            </w:r>
          </w:p>
        </w:tc>
      </w:tr>
    </w:tbl>
    <w:p>
      <w:pPr>
        <w:jc w:val="center"/>
      </w:pPr>
    </w:p>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p>
      <w:pPr>
        <w:jc w:val="center"/>
        <w:sectPr>
          <w:footerReference r:id="rId8" w:type="default"/>
          <w:pgSz w:w="11906" w:h="16839"/>
          <w:pgMar w:top="1431" w:right="1785" w:bottom="400" w:left="1100" w:header="0" w:footer="0" w:gutter="0"/>
          <w:pgNumType w:fmt="decimal"/>
          <w:cols w:space="720" w:num="1"/>
        </w:sectPr>
      </w:pPr>
    </w:p>
    <w:p>
      <w:pPr>
        <w:jc w:val="right"/>
        <w:rPr>
          <w:rFonts w:ascii="宋体" w:hAnsi="宋体"/>
          <w:b/>
          <w:szCs w:val="21"/>
        </w:rPr>
      </w:pPr>
      <w:r>
        <w:rPr>
          <w:rFonts w:hint="eastAsia" w:ascii="宋体" w:hAnsi="宋体" w:eastAsia="宋体"/>
          <w:b/>
          <w:szCs w:val="21"/>
          <w:lang w:val="en-US" w:eastAsia="zh-CN"/>
        </w:rPr>
        <w:t xml:space="preserve">                                                                </w:t>
      </w:r>
      <w:r>
        <w:rPr>
          <w:rFonts w:hint="eastAsia" w:ascii="宋体" w:hAnsi="宋体" w:eastAsia="宋体"/>
          <w:b/>
          <w:szCs w:val="21"/>
          <w:lang w:eastAsia="zh-CN"/>
        </w:rPr>
        <w:t>单位</w:t>
      </w:r>
      <w:r>
        <w:rPr>
          <w:rFonts w:hint="eastAsia" w:ascii="宋体" w:hAnsi="宋体"/>
          <w:b/>
          <w:szCs w:val="21"/>
        </w:rPr>
        <w:t>公开表2</w:t>
      </w:r>
    </w:p>
    <w:p>
      <w:pPr>
        <w:jc w:val="center"/>
        <w:rPr>
          <w:rFonts w:ascii="仿宋_GB2312" w:eastAsia="仿宋_GB2312"/>
          <w:b/>
          <w:sz w:val="30"/>
          <w:szCs w:val="30"/>
        </w:rPr>
      </w:pPr>
      <w:r>
        <w:rPr>
          <w:rFonts w:hint="eastAsia" w:ascii="仿宋_GB2312" w:eastAsia="仿宋_GB2312"/>
          <w:b/>
          <w:sz w:val="30"/>
          <w:szCs w:val="30"/>
        </w:rPr>
        <w:t>表2.收入预算表</w:t>
      </w:r>
    </w:p>
    <w:p>
      <w:pPr>
        <w:ind w:right="420"/>
        <w:jc w:val="right"/>
        <w:rPr>
          <w:rFonts w:ascii="仿宋_GB2312" w:eastAsia="仿宋_GB2312"/>
          <w:b/>
          <w:sz w:val="30"/>
          <w:szCs w:val="30"/>
        </w:rPr>
      </w:pPr>
      <w:r>
        <w:rPr>
          <w:rFonts w:hint="eastAsia" w:ascii="仿宋_GB2312" w:hAnsi="宋体" w:eastAsia="仿宋_GB2312" w:cs="宋体"/>
          <w:kern w:val="0"/>
          <w:szCs w:val="21"/>
        </w:rPr>
        <w:t xml:space="preserve">   单位：万元</w:t>
      </w:r>
    </w:p>
    <w:tbl>
      <w:tblPr>
        <w:tblStyle w:val="5"/>
        <w:tblW w:w="15444" w:type="dxa"/>
        <w:tblInd w:w="0" w:type="dxa"/>
        <w:tblLayout w:type="fixed"/>
        <w:tblCellMar>
          <w:top w:w="0" w:type="dxa"/>
          <w:left w:w="0" w:type="dxa"/>
          <w:bottom w:w="0" w:type="dxa"/>
          <w:right w:w="0" w:type="dxa"/>
        </w:tblCellMar>
      </w:tblPr>
      <w:tblGrid>
        <w:gridCol w:w="560"/>
        <w:gridCol w:w="563"/>
        <w:gridCol w:w="352"/>
        <w:gridCol w:w="482"/>
        <w:gridCol w:w="720"/>
        <w:gridCol w:w="1706"/>
        <w:gridCol w:w="795"/>
        <w:gridCol w:w="765"/>
        <w:gridCol w:w="735"/>
        <w:gridCol w:w="810"/>
        <w:gridCol w:w="450"/>
        <w:gridCol w:w="465"/>
        <w:gridCol w:w="435"/>
        <w:gridCol w:w="510"/>
        <w:gridCol w:w="435"/>
        <w:gridCol w:w="450"/>
        <w:gridCol w:w="510"/>
        <w:gridCol w:w="465"/>
        <w:gridCol w:w="480"/>
        <w:gridCol w:w="450"/>
        <w:gridCol w:w="465"/>
        <w:gridCol w:w="555"/>
        <w:gridCol w:w="585"/>
        <w:gridCol w:w="555"/>
        <w:gridCol w:w="555"/>
        <w:gridCol w:w="555"/>
        <w:gridCol w:w="36"/>
      </w:tblGrid>
      <w:tr>
        <w:tblPrEx>
          <w:tblCellMar>
            <w:top w:w="0" w:type="dxa"/>
            <w:left w:w="0" w:type="dxa"/>
            <w:bottom w:w="0" w:type="dxa"/>
            <w:right w:w="0" w:type="dxa"/>
          </w:tblCellMar>
        </w:tblPrEx>
        <w:trPr>
          <w:gridAfter w:val="1"/>
          <w:wAfter w:w="36" w:type="dxa"/>
          <w:trHeight w:val="560" w:hRule="atLeast"/>
        </w:trPr>
        <w:tc>
          <w:tcPr>
            <w:tcW w:w="56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单位</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编码</w:t>
            </w:r>
          </w:p>
        </w:tc>
        <w:tc>
          <w:tcPr>
            <w:tcW w:w="563"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单位</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名称</w:t>
            </w:r>
          </w:p>
        </w:tc>
        <w:tc>
          <w:tcPr>
            <w:tcW w:w="1554" w:type="dxa"/>
            <w:gridSpan w:val="3"/>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科目编码</w:t>
            </w:r>
          </w:p>
        </w:tc>
        <w:tc>
          <w:tcPr>
            <w:tcW w:w="1706"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科目名称</w:t>
            </w:r>
          </w:p>
        </w:tc>
        <w:tc>
          <w:tcPr>
            <w:tcW w:w="79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总计</w:t>
            </w:r>
          </w:p>
        </w:tc>
        <w:tc>
          <w:tcPr>
            <w:tcW w:w="36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财政拨款</w:t>
            </w:r>
          </w:p>
        </w:tc>
        <w:tc>
          <w:tcPr>
            <w:tcW w:w="51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财政专户管理资金</w:t>
            </w:r>
          </w:p>
        </w:tc>
        <w:tc>
          <w:tcPr>
            <w:tcW w:w="43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事业</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收入</w:t>
            </w:r>
          </w:p>
        </w:tc>
        <w:tc>
          <w:tcPr>
            <w:tcW w:w="45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事业单位经营收入</w:t>
            </w:r>
          </w:p>
        </w:tc>
        <w:tc>
          <w:tcPr>
            <w:tcW w:w="510"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上级补助收入</w:t>
            </w:r>
          </w:p>
        </w:tc>
        <w:tc>
          <w:tcPr>
            <w:tcW w:w="46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附属单位上缴收入</w:t>
            </w:r>
          </w:p>
        </w:tc>
        <w:tc>
          <w:tcPr>
            <w:tcW w:w="480" w:type="dxa"/>
            <w:vMerge w:val="restart"/>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其他</w:t>
            </w:r>
          </w:p>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bidi="ar"/>
              </w:rPr>
              <w:t>收入</w:t>
            </w:r>
          </w:p>
        </w:tc>
        <w:tc>
          <w:tcPr>
            <w:tcW w:w="45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事业基金弥补收支差额</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上年结转</w:t>
            </w:r>
          </w:p>
        </w:tc>
      </w:tr>
      <w:tr>
        <w:tblPrEx>
          <w:tblCellMar>
            <w:top w:w="0" w:type="dxa"/>
            <w:left w:w="0" w:type="dxa"/>
            <w:bottom w:w="0" w:type="dxa"/>
            <w:right w:w="0" w:type="dxa"/>
          </w:tblCellMar>
        </w:tblPrEx>
        <w:trPr>
          <w:trHeight w:val="560" w:hRule="atLeast"/>
        </w:trPr>
        <w:tc>
          <w:tcPr>
            <w:tcW w:w="56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52"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类</w:t>
            </w:r>
          </w:p>
        </w:tc>
        <w:tc>
          <w:tcPr>
            <w:tcW w:w="482"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款</w:t>
            </w:r>
          </w:p>
        </w:tc>
        <w:tc>
          <w:tcPr>
            <w:tcW w:w="720"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项</w:t>
            </w:r>
          </w:p>
        </w:tc>
        <w:tc>
          <w:tcPr>
            <w:tcW w:w="1706" w:type="dxa"/>
            <w:vMerge w:val="continue"/>
            <w:tcBorders>
              <w:left w:val="single" w:color="000000" w:sz="4" w:space="0"/>
              <w:right w:val="single" w:color="000000" w:sz="4" w:space="0"/>
            </w:tcBorders>
            <w:shd w:val="clear" w:color="auto" w:fill="FFFFFF"/>
          </w:tcPr>
          <w:p>
            <w:pPr>
              <w:jc w:val="center"/>
              <w:rPr>
                <w:rFonts w:ascii="宋体" w:hAnsi="宋体" w:cs="宋体"/>
                <w:color w:val="000000"/>
                <w:sz w:val="20"/>
                <w:szCs w:val="20"/>
              </w:rPr>
            </w:pPr>
          </w:p>
        </w:tc>
        <w:tc>
          <w:tcPr>
            <w:tcW w:w="79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6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一般公共预算</w:t>
            </w:r>
          </w:p>
        </w:tc>
        <w:tc>
          <w:tcPr>
            <w:tcW w:w="46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政府性基金</w:t>
            </w:r>
          </w:p>
          <w:p>
            <w:pPr>
              <w:widowControl/>
              <w:jc w:val="center"/>
              <w:textAlignment w:val="center"/>
              <w:rPr>
                <w:rFonts w:ascii="宋体" w:hAnsi="宋体" w:cs="宋体"/>
                <w:color w:val="000000"/>
                <w:sz w:val="20"/>
                <w:szCs w:val="20"/>
              </w:rPr>
            </w:pPr>
          </w:p>
        </w:tc>
        <w:tc>
          <w:tcPr>
            <w:tcW w:w="43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国有资本经营预算</w:t>
            </w:r>
          </w:p>
        </w:tc>
        <w:tc>
          <w:tcPr>
            <w:tcW w:w="51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10"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80" w:type="dxa"/>
            <w:vMerge w:val="continue"/>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6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上年</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结转</w:t>
            </w:r>
          </w:p>
        </w:tc>
        <w:tc>
          <w:tcPr>
            <w:tcW w:w="2841"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其中：财政拨款结转</w:t>
            </w:r>
          </w:p>
        </w:tc>
      </w:tr>
      <w:tr>
        <w:tblPrEx>
          <w:tblCellMar>
            <w:top w:w="0" w:type="dxa"/>
            <w:left w:w="0" w:type="dxa"/>
            <w:bottom w:w="0" w:type="dxa"/>
            <w:right w:w="0" w:type="dxa"/>
          </w:tblCellMar>
        </w:tblPrEx>
        <w:trPr>
          <w:trHeight w:val="560" w:hRule="atLeast"/>
        </w:trPr>
        <w:tc>
          <w:tcPr>
            <w:tcW w:w="56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52" w:type="dxa"/>
            <w:vMerge w:val="continue"/>
            <w:tcBorders>
              <w:left w:val="single" w:color="000000" w:sz="4" w:space="0"/>
              <w:right w:val="single" w:color="000000" w:sz="4" w:space="0"/>
            </w:tcBorders>
            <w:shd w:val="clear" w:color="auto" w:fill="FFFFFF"/>
          </w:tcPr>
          <w:p>
            <w:pPr>
              <w:jc w:val="center"/>
              <w:rPr>
                <w:rFonts w:ascii="宋体" w:hAnsi="宋体" w:cs="宋体"/>
                <w:color w:val="000000"/>
                <w:sz w:val="20"/>
                <w:szCs w:val="20"/>
              </w:rPr>
            </w:pPr>
          </w:p>
        </w:tc>
        <w:tc>
          <w:tcPr>
            <w:tcW w:w="482" w:type="dxa"/>
            <w:vMerge w:val="continue"/>
            <w:tcBorders>
              <w:left w:val="single" w:color="000000" w:sz="4" w:space="0"/>
              <w:right w:val="single" w:color="000000" w:sz="4" w:space="0"/>
            </w:tcBorders>
            <w:shd w:val="clear" w:color="auto" w:fill="FFFFFF"/>
          </w:tcPr>
          <w:p>
            <w:pPr>
              <w:jc w:val="center"/>
              <w:rPr>
                <w:rFonts w:ascii="宋体" w:hAnsi="宋体" w:cs="宋体"/>
                <w:color w:val="000000"/>
                <w:sz w:val="20"/>
                <w:szCs w:val="20"/>
              </w:rPr>
            </w:pPr>
          </w:p>
        </w:tc>
        <w:tc>
          <w:tcPr>
            <w:tcW w:w="720" w:type="dxa"/>
            <w:vMerge w:val="continue"/>
            <w:tcBorders>
              <w:left w:val="single" w:color="000000" w:sz="4" w:space="0"/>
              <w:right w:val="single" w:color="000000" w:sz="4" w:space="0"/>
            </w:tcBorders>
            <w:shd w:val="clear" w:color="auto" w:fill="FFFFFF"/>
          </w:tcPr>
          <w:p>
            <w:pPr>
              <w:jc w:val="center"/>
              <w:rPr>
                <w:rFonts w:ascii="宋体" w:hAnsi="宋体" w:cs="宋体"/>
                <w:color w:val="000000"/>
                <w:sz w:val="20"/>
                <w:szCs w:val="20"/>
              </w:rPr>
            </w:pPr>
          </w:p>
        </w:tc>
        <w:tc>
          <w:tcPr>
            <w:tcW w:w="1706" w:type="dxa"/>
            <w:vMerge w:val="continue"/>
            <w:tcBorders>
              <w:left w:val="single" w:color="000000" w:sz="4" w:space="0"/>
              <w:right w:val="single" w:color="000000" w:sz="4" w:space="0"/>
            </w:tcBorders>
            <w:shd w:val="clear" w:color="auto" w:fill="FFFFFF"/>
          </w:tcPr>
          <w:p>
            <w:pPr>
              <w:jc w:val="center"/>
              <w:rPr>
                <w:rFonts w:ascii="宋体" w:hAnsi="宋体" w:cs="宋体"/>
                <w:color w:val="000000"/>
                <w:sz w:val="20"/>
                <w:szCs w:val="20"/>
              </w:rPr>
            </w:pPr>
          </w:p>
        </w:tc>
        <w:tc>
          <w:tcPr>
            <w:tcW w:w="79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3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81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经费</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拨款</w:t>
            </w:r>
          </w:p>
        </w:tc>
        <w:tc>
          <w:tcPr>
            <w:tcW w:w="45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w:t>
            </w:r>
          </w:p>
        </w:tc>
        <w:tc>
          <w:tcPr>
            <w:tcW w:w="4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1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10"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80" w:type="dxa"/>
            <w:vMerge w:val="continue"/>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5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财政拨款结转</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一般公共预算</w:t>
            </w:r>
          </w:p>
        </w:tc>
        <w:tc>
          <w:tcPr>
            <w:tcW w:w="55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政府性基金</w:t>
            </w:r>
          </w:p>
        </w:tc>
        <w:tc>
          <w:tcPr>
            <w:tcW w:w="591"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国有资本经营预算</w:t>
            </w:r>
          </w:p>
        </w:tc>
      </w:tr>
      <w:tr>
        <w:tblPrEx>
          <w:tblCellMar>
            <w:top w:w="0" w:type="dxa"/>
            <w:left w:w="0" w:type="dxa"/>
            <w:bottom w:w="0" w:type="dxa"/>
            <w:right w:w="0" w:type="dxa"/>
          </w:tblCellMar>
        </w:tblPrEx>
        <w:trPr>
          <w:trHeight w:val="498" w:hRule="atLeast"/>
        </w:trPr>
        <w:tc>
          <w:tcPr>
            <w:tcW w:w="56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52" w:type="dxa"/>
            <w:vMerge w:val="continue"/>
            <w:tcBorders>
              <w:left w:val="single" w:color="000000" w:sz="4" w:space="0"/>
              <w:bottom w:val="nil"/>
              <w:right w:val="single" w:color="000000" w:sz="4" w:space="0"/>
            </w:tcBorders>
            <w:shd w:val="clear" w:color="auto" w:fill="FFFFFF"/>
          </w:tcPr>
          <w:p>
            <w:pPr>
              <w:jc w:val="center"/>
              <w:rPr>
                <w:rFonts w:ascii="宋体" w:hAnsi="宋体" w:cs="宋体"/>
                <w:color w:val="000000"/>
                <w:sz w:val="20"/>
                <w:szCs w:val="20"/>
              </w:rPr>
            </w:pPr>
          </w:p>
        </w:tc>
        <w:tc>
          <w:tcPr>
            <w:tcW w:w="482" w:type="dxa"/>
            <w:vMerge w:val="continue"/>
            <w:tcBorders>
              <w:left w:val="single" w:color="000000" w:sz="4" w:space="0"/>
              <w:bottom w:val="nil"/>
              <w:right w:val="single" w:color="000000" w:sz="4" w:space="0"/>
            </w:tcBorders>
            <w:shd w:val="clear" w:color="auto" w:fill="FFFFFF"/>
          </w:tcPr>
          <w:p>
            <w:pPr>
              <w:jc w:val="center"/>
              <w:rPr>
                <w:rFonts w:ascii="宋体" w:hAnsi="宋体" w:cs="宋体"/>
                <w:color w:val="000000"/>
                <w:sz w:val="20"/>
                <w:szCs w:val="20"/>
              </w:rPr>
            </w:pPr>
          </w:p>
        </w:tc>
        <w:tc>
          <w:tcPr>
            <w:tcW w:w="720" w:type="dxa"/>
            <w:vMerge w:val="continue"/>
            <w:tcBorders>
              <w:left w:val="single" w:color="000000" w:sz="4" w:space="0"/>
              <w:bottom w:val="nil"/>
              <w:right w:val="single" w:color="000000" w:sz="4" w:space="0"/>
            </w:tcBorders>
            <w:shd w:val="clear" w:color="auto" w:fill="FFFFFF"/>
          </w:tcPr>
          <w:p>
            <w:pPr>
              <w:jc w:val="center"/>
              <w:rPr>
                <w:rFonts w:ascii="宋体" w:hAnsi="宋体" w:cs="宋体"/>
                <w:color w:val="000000"/>
                <w:sz w:val="20"/>
                <w:szCs w:val="20"/>
              </w:rPr>
            </w:pPr>
          </w:p>
        </w:tc>
        <w:tc>
          <w:tcPr>
            <w:tcW w:w="1706" w:type="dxa"/>
            <w:vMerge w:val="continue"/>
            <w:tcBorders>
              <w:left w:val="single" w:color="000000" w:sz="4" w:space="0"/>
              <w:bottom w:val="nil"/>
              <w:right w:val="single" w:color="000000" w:sz="4" w:space="0"/>
            </w:tcBorders>
            <w:shd w:val="clear" w:color="auto" w:fill="FFFFFF"/>
          </w:tcPr>
          <w:p>
            <w:pPr>
              <w:jc w:val="center"/>
              <w:rPr>
                <w:rFonts w:ascii="宋体" w:hAnsi="宋体" w:cs="宋体"/>
                <w:color w:val="000000"/>
                <w:sz w:val="20"/>
                <w:szCs w:val="20"/>
              </w:rPr>
            </w:pPr>
          </w:p>
        </w:tc>
        <w:tc>
          <w:tcPr>
            <w:tcW w:w="79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1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10"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80" w:type="dxa"/>
            <w:vMerge w:val="continue"/>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5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经费</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拨款</w:t>
            </w:r>
          </w:p>
        </w:tc>
        <w:tc>
          <w:tcPr>
            <w:tcW w:w="5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w:t>
            </w:r>
          </w:p>
        </w:tc>
        <w:tc>
          <w:tcPr>
            <w:tcW w:w="55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91"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340" w:hRule="atLeast"/>
        </w:trPr>
        <w:tc>
          <w:tcPr>
            <w:tcW w:w="112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Pr>
          <w:p>
            <w:pPr>
              <w:jc w:val="right"/>
              <w:rPr>
                <w:rFonts w:ascii="宋体" w:hAnsi="宋体" w:cs="宋体"/>
                <w:color w:val="000000"/>
                <w:sz w:val="20"/>
                <w:szCs w:val="20"/>
              </w:rPr>
            </w:pPr>
          </w:p>
        </w:tc>
        <w:tc>
          <w:tcPr>
            <w:tcW w:w="482" w:type="dxa"/>
            <w:tcBorders>
              <w:top w:val="single" w:color="000000" w:sz="4" w:space="0"/>
              <w:left w:val="single" w:color="000000" w:sz="4" w:space="0"/>
              <w:bottom w:val="single" w:color="000000" w:sz="4" w:space="0"/>
              <w:right w:val="single" w:color="000000" w:sz="4" w:space="0"/>
            </w:tcBorders>
            <w:shd w:val="clear" w:color="auto" w:fill="FFFFFF"/>
          </w:tcPr>
          <w:p>
            <w:pPr>
              <w:jc w:val="righ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Pr>
          <w:p>
            <w:pPr>
              <w:jc w:val="right"/>
              <w:rPr>
                <w:rFonts w:ascii="宋体" w:hAnsi="宋体" w:cs="宋体"/>
                <w:color w:val="000000"/>
                <w:sz w:val="20"/>
                <w:szCs w:val="20"/>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tcPr>
          <w:p>
            <w:pPr>
              <w:jc w:val="right"/>
              <w:rPr>
                <w:rFonts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1422.43</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1422.43</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1422.43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1422.43</w:t>
            </w: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r>
      <w:tr>
        <w:tblPrEx>
          <w:tblCellMar>
            <w:top w:w="0" w:type="dxa"/>
            <w:left w:w="0" w:type="dxa"/>
            <w:bottom w:w="0" w:type="dxa"/>
            <w:right w:w="0" w:type="dxa"/>
          </w:tblCellMar>
        </w:tblPrEx>
        <w:trPr>
          <w:trHeight w:val="681"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209</w:t>
            </w: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88" w:line="186" w:lineRule="auto"/>
              <w:ind w:firstLine="17" w:firstLineChars="0"/>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高青县交通运输局</w:t>
            </w:r>
          </w:p>
        </w:tc>
        <w:tc>
          <w:tcPr>
            <w:tcW w:w="352"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482"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720"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1706"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1422.43</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1422.43</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1422.43</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1422.43</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r>
      <w:tr>
        <w:tblPrEx>
          <w:tblCellMar>
            <w:top w:w="0" w:type="dxa"/>
            <w:left w:w="0" w:type="dxa"/>
            <w:bottom w:w="0" w:type="dxa"/>
            <w:right w:w="0" w:type="dxa"/>
          </w:tblCellMar>
        </w:tblPrEx>
        <w:trPr>
          <w:trHeight w:val="500"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209001</w:t>
            </w: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88" w:line="186" w:lineRule="auto"/>
              <w:ind w:firstLine="17" w:firstLineChars="0"/>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高青县交通运输局</w:t>
            </w:r>
          </w:p>
        </w:tc>
        <w:tc>
          <w:tcPr>
            <w:tcW w:w="352"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482"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720"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1706"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1422.43</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1422.43</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1422.43</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1422.43</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r>
      <w:tr>
        <w:tblPrEx>
          <w:tblCellMar>
            <w:top w:w="0" w:type="dxa"/>
            <w:left w:w="0" w:type="dxa"/>
            <w:bottom w:w="0" w:type="dxa"/>
            <w:right w:w="0" w:type="dxa"/>
          </w:tblCellMar>
        </w:tblPrEx>
        <w:trPr>
          <w:trHeight w:val="310"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352"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208</w:t>
            </w:r>
          </w:p>
        </w:tc>
        <w:tc>
          <w:tcPr>
            <w:tcW w:w="482"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720"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1706"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社会保障和就业支出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125.53</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125.53</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125.53</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125.53</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r>
      <w:tr>
        <w:tblPrEx>
          <w:tblCellMar>
            <w:top w:w="0" w:type="dxa"/>
            <w:left w:w="0" w:type="dxa"/>
            <w:bottom w:w="0" w:type="dxa"/>
            <w:right w:w="0" w:type="dxa"/>
          </w:tblCellMar>
        </w:tblPrEx>
        <w:trPr>
          <w:trHeight w:val="270"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352"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208</w:t>
            </w:r>
          </w:p>
        </w:tc>
        <w:tc>
          <w:tcPr>
            <w:tcW w:w="482"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05</w:t>
            </w:r>
          </w:p>
        </w:tc>
        <w:tc>
          <w:tcPr>
            <w:tcW w:w="720"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1706"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行政事业单位养老支出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125.53</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125.53</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125.53</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125.53</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r>
      <w:tr>
        <w:tblPrEx>
          <w:tblCellMar>
            <w:top w:w="0" w:type="dxa"/>
            <w:left w:w="0" w:type="dxa"/>
            <w:bottom w:w="0" w:type="dxa"/>
            <w:right w:w="0" w:type="dxa"/>
          </w:tblCellMar>
        </w:tblPrEx>
        <w:trPr>
          <w:trHeight w:val="400"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352"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208</w:t>
            </w:r>
          </w:p>
        </w:tc>
        <w:tc>
          <w:tcPr>
            <w:tcW w:w="482"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05</w:t>
            </w:r>
          </w:p>
        </w:tc>
        <w:tc>
          <w:tcPr>
            <w:tcW w:w="720"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05</w:t>
            </w:r>
          </w:p>
        </w:tc>
        <w:tc>
          <w:tcPr>
            <w:tcW w:w="1706"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机关事业单位基本养老保险缴费支出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125.53</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125.53</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125.53</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125.53</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r>
      <w:tr>
        <w:tblPrEx>
          <w:tblCellMar>
            <w:top w:w="0" w:type="dxa"/>
            <w:left w:w="0" w:type="dxa"/>
            <w:bottom w:w="0" w:type="dxa"/>
            <w:right w:w="0" w:type="dxa"/>
          </w:tblCellMar>
        </w:tblPrEx>
        <w:trPr>
          <w:trHeight w:val="330"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352"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210</w:t>
            </w:r>
          </w:p>
        </w:tc>
        <w:tc>
          <w:tcPr>
            <w:tcW w:w="482"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1706"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卫生健康支出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65.52</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65.52</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65.52</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65.52</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r>
      <w:tr>
        <w:tblPrEx>
          <w:tblCellMar>
            <w:top w:w="0" w:type="dxa"/>
            <w:left w:w="0" w:type="dxa"/>
            <w:bottom w:w="0" w:type="dxa"/>
            <w:right w:w="0"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352"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210</w:t>
            </w:r>
          </w:p>
        </w:tc>
        <w:tc>
          <w:tcPr>
            <w:tcW w:w="482"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11</w:t>
            </w:r>
          </w:p>
        </w:tc>
        <w:tc>
          <w:tcPr>
            <w:tcW w:w="720"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1706"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行政事业单位医疗</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65.52</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65.52</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65.52</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65.52</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r>
      <w:tr>
        <w:tblPrEx>
          <w:tblCellMar>
            <w:top w:w="0" w:type="dxa"/>
            <w:left w:w="0" w:type="dxa"/>
            <w:bottom w:w="0" w:type="dxa"/>
            <w:right w:w="0" w:type="dxa"/>
          </w:tblCellMar>
        </w:tblPrEx>
        <w:trPr>
          <w:trHeight w:val="400"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18"/>
                <w:szCs w:val="18"/>
              </w:rPr>
            </w:pP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352"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210</w:t>
            </w:r>
          </w:p>
        </w:tc>
        <w:tc>
          <w:tcPr>
            <w:tcW w:w="482"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11</w:t>
            </w:r>
          </w:p>
        </w:tc>
        <w:tc>
          <w:tcPr>
            <w:tcW w:w="720"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02</w:t>
            </w:r>
          </w:p>
        </w:tc>
        <w:tc>
          <w:tcPr>
            <w:tcW w:w="1706"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事业单位医疗</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54.92</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54.92</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54.92</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54.92</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r>
      <w:tr>
        <w:tblPrEx>
          <w:tblCellMar>
            <w:top w:w="0" w:type="dxa"/>
            <w:left w:w="0" w:type="dxa"/>
            <w:bottom w:w="0" w:type="dxa"/>
            <w:right w:w="0" w:type="dxa"/>
          </w:tblCellMar>
        </w:tblPrEx>
        <w:trPr>
          <w:trHeight w:val="400"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left"/>
              <w:rPr>
                <w:rFonts w:ascii="宋体" w:hAnsi="宋体" w:cs="宋体"/>
                <w:color w:val="000000"/>
                <w:sz w:val="18"/>
                <w:szCs w:val="18"/>
              </w:rPr>
            </w:pP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352"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210</w:t>
            </w:r>
          </w:p>
        </w:tc>
        <w:tc>
          <w:tcPr>
            <w:tcW w:w="482"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11</w:t>
            </w:r>
          </w:p>
        </w:tc>
        <w:tc>
          <w:tcPr>
            <w:tcW w:w="720"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03</w:t>
            </w:r>
          </w:p>
        </w:tc>
        <w:tc>
          <w:tcPr>
            <w:tcW w:w="1706"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公务员医疗补助</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10.60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10.60</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10.60</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10.60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r>
      <w:tr>
        <w:tblPrEx>
          <w:tblCellMar>
            <w:top w:w="0" w:type="dxa"/>
            <w:left w:w="0" w:type="dxa"/>
            <w:bottom w:w="0" w:type="dxa"/>
            <w:right w:w="0" w:type="dxa"/>
          </w:tblCellMar>
        </w:tblPrEx>
        <w:trPr>
          <w:trHeight w:val="400"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left"/>
              <w:rPr>
                <w:rFonts w:ascii="宋体" w:hAnsi="宋体" w:cs="宋体"/>
                <w:color w:val="000000"/>
                <w:sz w:val="18"/>
                <w:szCs w:val="18"/>
              </w:rPr>
            </w:pP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352"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214</w:t>
            </w:r>
          </w:p>
        </w:tc>
        <w:tc>
          <w:tcPr>
            <w:tcW w:w="482"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720"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1706"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交通运输支出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1126.43</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1126.43</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1126.43</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1126.43</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r>
      <w:tr>
        <w:tblPrEx>
          <w:tblCellMar>
            <w:top w:w="0" w:type="dxa"/>
            <w:left w:w="0" w:type="dxa"/>
            <w:bottom w:w="0" w:type="dxa"/>
            <w:right w:w="0" w:type="dxa"/>
          </w:tblCellMar>
        </w:tblPrEx>
        <w:trPr>
          <w:trHeight w:val="400"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left"/>
              <w:rPr>
                <w:rFonts w:ascii="宋体" w:hAnsi="宋体" w:cs="宋体"/>
                <w:color w:val="000000"/>
                <w:sz w:val="18"/>
                <w:szCs w:val="18"/>
              </w:rPr>
            </w:pP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352"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214</w:t>
            </w:r>
          </w:p>
        </w:tc>
        <w:tc>
          <w:tcPr>
            <w:tcW w:w="482"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01</w:t>
            </w:r>
          </w:p>
        </w:tc>
        <w:tc>
          <w:tcPr>
            <w:tcW w:w="720" w:type="dxa"/>
            <w:tcBorders>
              <w:top w:val="single" w:color="000000" w:sz="4" w:space="0"/>
              <w:left w:val="single" w:color="000000" w:sz="4" w:space="0"/>
              <w:bottom w:val="single" w:color="000000" w:sz="4" w:space="0"/>
              <w:right w:val="single" w:color="000000" w:sz="4" w:space="0"/>
            </w:tcBorders>
            <w:vAlign w:val="top"/>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1706"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公路水路运输</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1126.43</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1126.43</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1126.43</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1126.43</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r>
      <w:tr>
        <w:tblPrEx>
          <w:tblCellMar>
            <w:top w:w="0" w:type="dxa"/>
            <w:left w:w="0" w:type="dxa"/>
            <w:bottom w:w="0" w:type="dxa"/>
            <w:right w:w="0" w:type="dxa"/>
          </w:tblCellMar>
        </w:tblPrEx>
        <w:trPr>
          <w:trHeight w:val="385"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auto"/>
              <w:jc w:val="left"/>
              <w:rPr>
                <w:rFonts w:ascii="宋体" w:hAnsi="宋体" w:cs="宋体"/>
                <w:color w:val="000000"/>
                <w:sz w:val="18"/>
                <w:szCs w:val="18"/>
              </w:rPr>
            </w:pP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88" w:line="186" w:lineRule="auto"/>
              <w:ind w:firstLine="17" w:firstLineChars="0"/>
              <w:rPr>
                <w:rFonts w:hint="eastAsia" w:ascii="宋体" w:hAnsi="宋体" w:eastAsia="宋体" w:cs="宋体"/>
                <w:b w:val="0"/>
                <w:bCs w:val="0"/>
                <w:color w:val="000000"/>
                <w:sz w:val="18"/>
                <w:szCs w:val="18"/>
                <w:lang w:val="en-US" w:eastAsia="zh-CN"/>
              </w:rPr>
            </w:pPr>
          </w:p>
        </w:tc>
        <w:tc>
          <w:tcPr>
            <w:tcW w:w="352"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214</w:t>
            </w:r>
          </w:p>
        </w:tc>
        <w:tc>
          <w:tcPr>
            <w:tcW w:w="482"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01</w:t>
            </w:r>
          </w:p>
        </w:tc>
        <w:tc>
          <w:tcPr>
            <w:tcW w:w="720"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01</w:t>
            </w:r>
          </w:p>
        </w:tc>
        <w:tc>
          <w:tcPr>
            <w:tcW w:w="1706" w:type="dxa"/>
            <w:tcBorders>
              <w:top w:val="single" w:color="000000" w:sz="4" w:space="0"/>
              <w:left w:val="single" w:color="000000" w:sz="4" w:space="0"/>
              <w:bottom w:val="single" w:color="000000" w:sz="4" w:space="0"/>
              <w:right w:val="single" w:color="000000" w:sz="4" w:space="0"/>
            </w:tcBorders>
          </w:tcPr>
          <w:p>
            <w:pPr>
              <w:spacing w:before="88" w:line="186" w:lineRule="auto"/>
              <w:ind w:firstLine="17" w:firstLineChars="0"/>
              <w:rPr>
                <w:rFonts w:hint="default"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行政运行</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1126.43</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1126.43</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1126.43</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1126.43</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r>
      <w:tr>
        <w:tblPrEx>
          <w:tblCellMar>
            <w:top w:w="0" w:type="dxa"/>
            <w:left w:w="0" w:type="dxa"/>
            <w:bottom w:w="0" w:type="dxa"/>
            <w:right w:w="0" w:type="dxa"/>
          </w:tblCellMar>
        </w:tblPrEx>
        <w:trPr>
          <w:gridAfter w:val="1"/>
          <w:wAfter w:w="36" w:type="dxa"/>
          <w:trHeight w:val="530" w:hRule="atLeast"/>
        </w:trPr>
        <w:tc>
          <w:tcPr>
            <w:tcW w:w="56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p>
          <w:p>
            <w:pPr>
              <w:widowControl/>
              <w:jc w:val="center"/>
              <w:textAlignment w:val="center"/>
              <w:rPr>
                <w:rFonts w:ascii="宋体" w:hAnsi="宋体" w:cs="宋体"/>
                <w:color w:val="000000"/>
                <w:sz w:val="20"/>
                <w:szCs w:val="20"/>
              </w:rPr>
            </w:pPr>
          </w:p>
        </w:tc>
        <w:tc>
          <w:tcPr>
            <w:tcW w:w="563"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单位</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名称</w:t>
            </w:r>
          </w:p>
        </w:tc>
        <w:tc>
          <w:tcPr>
            <w:tcW w:w="1554" w:type="dxa"/>
            <w:gridSpan w:val="3"/>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科目编码</w:t>
            </w:r>
          </w:p>
        </w:tc>
        <w:tc>
          <w:tcPr>
            <w:tcW w:w="1706"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科目名称</w:t>
            </w:r>
          </w:p>
        </w:tc>
        <w:tc>
          <w:tcPr>
            <w:tcW w:w="79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总计</w:t>
            </w:r>
          </w:p>
        </w:tc>
        <w:tc>
          <w:tcPr>
            <w:tcW w:w="366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财政拨款</w:t>
            </w:r>
          </w:p>
        </w:tc>
        <w:tc>
          <w:tcPr>
            <w:tcW w:w="51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财政专户管理资金</w:t>
            </w:r>
          </w:p>
        </w:tc>
        <w:tc>
          <w:tcPr>
            <w:tcW w:w="43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事业</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收入</w:t>
            </w:r>
          </w:p>
        </w:tc>
        <w:tc>
          <w:tcPr>
            <w:tcW w:w="45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事业单位经营收入</w:t>
            </w:r>
          </w:p>
        </w:tc>
        <w:tc>
          <w:tcPr>
            <w:tcW w:w="510" w:type="dxa"/>
            <w:vMerge w:val="restart"/>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上级补助收入</w:t>
            </w:r>
          </w:p>
        </w:tc>
        <w:tc>
          <w:tcPr>
            <w:tcW w:w="46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附属单位上缴收入</w:t>
            </w:r>
          </w:p>
        </w:tc>
        <w:tc>
          <w:tcPr>
            <w:tcW w:w="480" w:type="dxa"/>
            <w:vMerge w:val="restart"/>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其他</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收入</w:t>
            </w:r>
          </w:p>
        </w:tc>
        <w:tc>
          <w:tcPr>
            <w:tcW w:w="45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事业基金弥补收支差额</w:t>
            </w:r>
          </w:p>
        </w:tc>
        <w:tc>
          <w:tcPr>
            <w:tcW w:w="327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上年结转</w:t>
            </w:r>
          </w:p>
        </w:tc>
      </w:tr>
      <w:tr>
        <w:tblPrEx>
          <w:tblCellMar>
            <w:top w:w="0" w:type="dxa"/>
            <w:left w:w="0" w:type="dxa"/>
            <w:bottom w:w="0" w:type="dxa"/>
            <w:right w:w="0" w:type="dxa"/>
          </w:tblCellMar>
        </w:tblPrEx>
        <w:trPr>
          <w:trHeight w:val="560" w:hRule="atLeast"/>
        </w:trPr>
        <w:tc>
          <w:tcPr>
            <w:tcW w:w="56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52"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类</w:t>
            </w:r>
          </w:p>
        </w:tc>
        <w:tc>
          <w:tcPr>
            <w:tcW w:w="482"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款</w:t>
            </w:r>
          </w:p>
        </w:tc>
        <w:tc>
          <w:tcPr>
            <w:tcW w:w="720"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项</w:t>
            </w:r>
          </w:p>
        </w:tc>
        <w:tc>
          <w:tcPr>
            <w:tcW w:w="1706" w:type="dxa"/>
            <w:vMerge w:val="continue"/>
            <w:tcBorders>
              <w:left w:val="single" w:color="000000" w:sz="4" w:space="0"/>
              <w:right w:val="single" w:color="000000" w:sz="4" w:space="0"/>
            </w:tcBorders>
            <w:shd w:val="clear" w:color="auto" w:fill="FFFFFF"/>
          </w:tcPr>
          <w:p>
            <w:pPr>
              <w:jc w:val="center"/>
              <w:rPr>
                <w:rFonts w:ascii="宋体" w:hAnsi="宋体" w:cs="宋体"/>
                <w:color w:val="000000"/>
                <w:sz w:val="20"/>
                <w:szCs w:val="20"/>
              </w:rPr>
            </w:pPr>
          </w:p>
        </w:tc>
        <w:tc>
          <w:tcPr>
            <w:tcW w:w="79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6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一般公共预算</w:t>
            </w:r>
          </w:p>
        </w:tc>
        <w:tc>
          <w:tcPr>
            <w:tcW w:w="46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政府性基金</w:t>
            </w:r>
          </w:p>
          <w:p>
            <w:pPr>
              <w:widowControl/>
              <w:jc w:val="center"/>
              <w:textAlignment w:val="center"/>
              <w:rPr>
                <w:rFonts w:ascii="宋体" w:hAnsi="宋体" w:cs="宋体"/>
                <w:color w:val="000000"/>
                <w:sz w:val="20"/>
                <w:szCs w:val="20"/>
              </w:rPr>
            </w:pPr>
          </w:p>
        </w:tc>
        <w:tc>
          <w:tcPr>
            <w:tcW w:w="43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国有资本经营预算</w:t>
            </w:r>
          </w:p>
        </w:tc>
        <w:tc>
          <w:tcPr>
            <w:tcW w:w="51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10"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80" w:type="dxa"/>
            <w:vMerge w:val="continue"/>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6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上年</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结转</w:t>
            </w:r>
          </w:p>
        </w:tc>
        <w:tc>
          <w:tcPr>
            <w:tcW w:w="2841"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其中：财政拨款结转</w:t>
            </w:r>
          </w:p>
        </w:tc>
      </w:tr>
      <w:tr>
        <w:tblPrEx>
          <w:tblCellMar>
            <w:top w:w="0" w:type="dxa"/>
            <w:left w:w="0" w:type="dxa"/>
            <w:bottom w:w="0" w:type="dxa"/>
            <w:right w:w="0" w:type="dxa"/>
          </w:tblCellMar>
        </w:tblPrEx>
        <w:trPr>
          <w:trHeight w:val="560" w:hRule="atLeast"/>
        </w:trPr>
        <w:tc>
          <w:tcPr>
            <w:tcW w:w="56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52" w:type="dxa"/>
            <w:vMerge w:val="continue"/>
            <w:tcBorders>
              <w:left w:val="single" w:color="000000" w:sz="4" w:space="0"/>
              <w:right w:val="single" w:color="000000" w:sz="4" w:space="0"/>
            </w:tcBorders>
            <w:shd w:val="clear" w:color="auto" w:fill="FFFFFF"/>
          </w:tcPr>
          <w:p>
            <w:pPr>
              <w:jc w:val="center"/>
              <w:rPr>
                <w:rFonts w:ascii="宋体" w:hAnsi="宋体" w:cs="宋体"/>
                <w:color w:val="000000"/>
                <w:sz w:val="20"/>
                <w:szCs w:val="20"/>
              </w:rPr>
            </w:pPr>
          </w:p>
        </w:tc>
        <w:tc>
          <w:tcPr>
            <w:tcW w:w="482" w:type="dxa"/>
            <w:vMerge w:val="continue"/>
            <w:tcBorders>
              <w:left w:val="single" w:color="000000" w:sz="4" w:space="0"/>
              <w:right w:val="single" w:color="000000" w:sz="4" w:space="0"/>
            </w:tcBorders>
            <w:shd w:val="clear" w:color="auto" w:fill="FFFFFF"/>
          </w:tcPr>
          <w:p>
            <w:pPr>
              <w:jc w:val="center"/>
              <w:rPr>
                <w:rFonts w:ascii="宋体" w:hAnsi="宋体" w:cs="宋体"/>
                <w:color w:val="000000"/>
                <w:sz w:val="20"/>
                <w:szCs w:val="20"/>
              </w:rPr>
            </w:pPr>
          </w:p>
        </w:tc>
        <w:tc>
          <w:tcPr>
            <w:tcW w:w="720" w:type="dxa"/>
            <w:vMerge w:val="continue"/>
            <w:tcBorders>
              <w:left w:val="single" w:color="000000" w:sz="4" w:space="0"/>
              <w:right w:val="single" w:color="000000" w:sz="4" w:space="0"/>
            </w:tcBorders>
            <w:shd w:val="clear" w:color="auto" w:fill="FFFFFF"/>
          </w:tcPr>
          <w:p>
            <w:pPr>
              <w:jc w:val="center"/>
              <w:rPr>
                <w:rFonts w:ascii="宋体" w:hAnsi="宋体" w:cs="宋体"/>
                <w:color w:val="000000"/>
                <w:sz w:val="20"/>
                <w:szCs w:val="20"/>
              </w:rPr>
            </w:pPr>
          </w:p>
        </w:tc>
        <w:tc>
          <w:tcPr>
            <w:tcW w:w="1706" w:type="dxa"/>
            <w:vMerge w:val="continue"/>
            <w:tcBorders>
              <w:left w:val="single" w:color="000000" w:sz="4" w:space="0"/>
              <w:right w:val="single" w:color="000000" w:sz="4" w:space="0"/>
            </w:tcBorders>
            <w:shd w:val="clear" w:color="auto" w:fill="FFFFFF"/>
          </w:tcPr>
          <w:p>
            <w:pPr>
              <w:jc w:val="center"/>
              <w:rPr>
                <w:rFonts w:ascii="宋体" w:hAnsi="宋体" w:cs="宋体"/>
                <w:color w:val="000000"/>
                <w:sz w:val="20"/>
                <w:szCs w:val="20"/>
              </w:rPr>
            </w:pPr>
          </w:p>
        </w:tc>
        <w:tc>
          <w:tcPr>
            <w:tcW w:w="79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3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81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经费</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拨款</w:t>
            </w:r>
          </w:p>
        </w:tc>
        <w:tc>
          <w:tcPr>
            <w:tcW w:w="45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w:t>
            </w:r>
          </w:p>
        </w:tc>
        <w:tc>
          <w:tcPr>
            <w:tcW w:w="4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1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10"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80" w:type="dxa"/>
            <w:vMerge w:val="continue"/>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5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财政拨款结转</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一般公共预算</w:t>
            </w:r>
          </w:p>
        </w:tc>
        <w:tc>
          <w:tcPr>
            <w:tcW w:w="555"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政府性基金</w:t>
            </w:r>
          </w:p>
        </w:tc>
        <w:tc>
          <w:tcPr>
            <w:tcW w:w="591"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国有资本经营预算</w:t>
            </w:r>
          </w:p>
        </w:tc>
      </w:tr>
      <w:tr>
        <w:tblPrEx>
          <w:tblCellMar>
            <w:top w:w="0" w:type="dxa"/>
            <w:left w:w="0" w:type="dxa"/>
            <w:bottom w:w="0" w:type="dxa"/>
            <w:right w:w="0" w:type="dxa"/>
          </w:tblCellMar>
        </w:tblPrEx>
        <w:trPr>
          <w:trHeight w:val="592" w:hRule="atLeast"/>
        </w:trPr>
        <w:tc>
          <w:tcPr>
            <w:tcW w:w="56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6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52" w:type="dxa"/>
            <w:vMerge w:val="continue"/>
            <w:tcBorders>
              <w:left w:val="single" w:color="000000" w:sz="4" w:space="0"/>
              <w:bottom w:val="nil"/>
              <w:right w:val="single" w:color="000000" w:sz="4" w:space="0"/>
            </w:tcBorders>
            <w:shd w:val="clear" w:color="auto" w:fill="FFFFFF"/>
          </w:tcPr>
          <w:p>
            <w:pPr>
              <w:jc w:val="center"/>
              <w:rPr>
                <w:rFonts w:ascii="宋体" w:hAnsi="宋体" w:cs="宋体"/>
                <w:color w:val="000000"/>
                <w:sz w:val="20"/>
                <w:szCs w:val="20"/>
              </w:rPr>
            </w:pPr>
          </w:p>
        </w:tc>
        <w:tc>
          <w:tcPr>
            <w:tcW w:w="482" w:type="dxa"/>
            <w:vMerge w:val="continue"/>
            <w:tcBorders>
              <w:left w:val="single" w:color="000000" w:sz="4" w:space="0"/>
              <w:bottom w:val="nil"/>
              <w:right w:val="single" w:color="000000" w:sz="4" w:space="0"/>
            </w:tcBorders>
            <w:shd w:val="clear" w:color="auto" w:fill="FFFFFF"/>
          </w:tcPr>
          <w:p>
            <w:pPr>
              <w:jc w:val="center"/>
              <w:rPr>
                <w:rFonts w:ascii="宋体" w:hAnsi="宋体" w:cs="宋体"/>
                <w:color w:val="000000"/>
                <w:sz w:val="20"/>
                <w:szCs w:val="20"/>
              </w:rPr>
            </w:pPr>
          </w:p>
        </w:tc>
        <w:tc>
          <w:tcPr>
            <w:tcW w:w="720" w:type="dxa"/>
            <w:vMerge w:val="continue"/>
            <w:tcBorders>
              <w:left w:val="single" w:color="000000" w:sz="4" w:space="0"/>
              <w:bottom w:val="nil"/>
              <w:right w:val="single" w:color="000000" w:sz="4" w:space="0"/>
            </w:tcBorders>
            <w:shd w:val="clear" w:color="auto" w:fill="FFFFFF"/>
          </w:tcPr>
          <w:p>
            <w:pPr>
              <w:jc w:val="center"/>
              <w:rPr>
                <w:rFonts w:ascii="宋体" w:hAnsi="宋体" w:cs="宋体"/>
                <w:color w:val="000000"/>
                <w:sz w:val="20"/>
                <w:szCs w:val="20"/>
              </w:rPr>
            </w:pPr>
          </w:p>
        </w:tc>
        <w:tc>
          <w:tcPr>
            <w:tcW w:w="1706" w:type="dxa"/>
            <w:vMerge w:val="continue"/>
            <w:tcBorders>
              <w:left w:val="single" w:color="000000" w:sz="4" w:space="0"/>
              <w:bottom w:val="nil"/>
              <w:right w:val="single" w:color="000000" w:sz="4" w:space="0"/>
            </w:tcBorders>
            <w:shd w:val="clear" w:color="auto" w:fill="FFFFFF"/>
          </w:tcPr>
          <w:p>
            <w:pPr>
              <w:jc w:val="center"/>
              <w:rPr>
                <w:rFonts w:ascii="宋体" w:hAnsi="宋体" w:cs="宋体"/>
                <w:color w:val="000000"/>
                <w:sz w:val="20"/>
                <w:szCs w:val="20"/>
              </w:rPr>
            </w:pPr>
          </w:p>
        </w:tc>
        <w:tc>
          <w:tcPr>
            <w:tcW w:w="79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1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1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3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10" w:type="dxa"/>
            <w:vMerge w:val="continue"/>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80" w:type="dxa"/>
            <w:vMerge w:val="continue"/>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5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46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5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经费</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拨款</w:t>
            </w:r>
          </w:p>
        </w:tc>
        <w:tc>
          <w:tcPr>
            <w:tcW w:w="55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其他</w:t>
            </w:r>
          </w:p>
        </w:tc>
        <w:tc>
          <w:tcPr>
            <w:tcW w:w="555"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91"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00"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35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221</w:t>
            </w:r>
          </w:p>
        </w:tc>
        <w:tc>
          <w:tcPr>
            <w:tcW w:w="48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cs="宋体"/>
                <w:color w:val="000000"/>
                <w:sz w:val="18"/>
                <w:szCs w:val="18"/>
              </w:rPr>
            </w:pPr>
          </w:p>
        </w:tc>
        <w:tc>
          <w:tcPr>
            <w:tcW w:w="170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住房保障支出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104.95</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104.95</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104.95</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104.95</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r>
      <w:tr>
        <w:tblPrEx>
          <w:tblCellMar>
            <w:top w:w="0" w:type="dxa"/>
            <w:left w:w="0" w:type="dxa"/>
            <w:bottom w:w="0" w:type="dxa"/>
            <w:right w:w="0" w:type="dxa"/>
          </w:tblCellMar>
        </w:tblPrEx>
        <w:trPr>
          <w:trHeight w:val="500"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35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221</w:t>
            </w:r>
          </w:p>
        </w:tc>
        <w:tc>
          <w:tcPr>
            <w:tcW w:w="48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02</w:t>
            </w:r>
          </w:p>
        </w:tc>
        <w:tc>
          <w:tcPr>
            <w:tcW w:w="72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cs="宋体"/>
                <w:color w:val="000000"/>
                <w:sz w:val="18"/>
                <w:szCs w:val="18"/>
              </w:rPr>
            </w:pPr>
          </w:p>
        </w:tc>
        <w:tc>
          <w:tcPr>
            <w:tcW w:w="170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住房改革支出</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104.95</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104.95</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104.95</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104.95</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r>
      <w:tr>
        <w:tblPrEx>
          <w:tblCellMar>
            <w:top w:w="0" w:type="dxa"/>
            <w:left w:w="0" w:type="dxa"/>
            <w:bottom w:w="0" w:type="dxa"/>
            <w:right w:w="0" w:type="dxa"/>
          </w:tblCellMar>
        </w:tblPrEx>
        <w:trPr>
          <w:trHeight w:val="500"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p>
        </w:tc>
        <w:tc>
          <w:tcPr>
            <w:tcW w:w="35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221</w:t>
            </w:r>
          </w:p>
        </w:tc>
        <w:tc>
          <w:tcPr>
            <w:tcW w:w="48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02</w:t>
            </w:r>
          </w:p>
        </w:tc>
        <w:tc>
          <w:tcPr>
            <w:tcW w:w="72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01</w:t>
            </w:r>
          </w:p>
        </w:tc>
        <w:tc>
          <w:tcPr>
            <w:tcW w:w="170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住房公积金</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104.95</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104.95</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104.95</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104.95</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c>
          <w:tcPr>
            <w:tcW w:w="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snapToGrid w:val="0"/>
                <w:color w:val="000000"/>
                <w:kern w:val="0"/>
                <w:sz w:val="20"/>
                <w:szCs w:val="20"/>
                <w:lang w:val="en-US" w:eastAsia="zh-CN"/>
              </w:rPr>
            </w:pPr>
            <w:r>
              <w:rPr>
                <w:rFonts w:hint="eastAsia" w:ascii="宋体" w:hAnsi="宋体" w:eastAsia="宋体" w:cs="宋体"/>
                <w:color w:val="000000"/>
                <w:sz w:val="20"/>
                <w:szCs w:val="20"/>
                <w:lang w:val="en-US" w:eastAsia="zh-CN"/>
              </w:rPr>
              <w:t>0.00</w:t>
            </w:r>
          </w:p>
        </w:tc>
      </w:tr>
    </w:tbl>
    <w:p>
      <w:pPr>
        <w:jc w:val="left"/>
        <w:rPr>
          <w:rFonts w:ascii="宋体" w:hAnsi="宋体"/>
          <w:b/>
          <w:szCs w:val="21"/>
          <w:highlight w:val="green"/>
        </w:rPr>
      </w:pPr>
    </w:p>
    <w:p>
      <w:pPr>
        <w:spacing w:line="270" w:lineRule="auto"/>
        <w:rPr>
          <w:rFonts w:ascii="微软雅黑"/>
          <w:sz w:val="21"/>
        </w:rPr>
      </w:pPr>
      <w:r>
        <w:rPr>
          <w:rFonts w:hint="eastAsia" w:ascii="宋体" w:hAnsi="宋体" w:eastAsia="宋体"/>
          <w:b/>
          <w:szCs w:val="21"/>
          <w:lang w:val="en-US" w:eastAsia="zh-CN"/>
        </w:rPr>
        <w:t xml:space="preserve">                                   </w:t>
      </w:r>
    </w:p>
    <w:p>
      <w:pPr>
        <w:sectPr>
          <w:footerReference r:id="rId9" w:type="default"/>
          <w:pgSz w:w="16839" w:h="11906"/>
          <w:pgMar w:top="1012" w:right="351" w:bottom="1431" w:left="459" w:header="0" w:footer="1267" w:gutter="0"/>
          <w:pgNumType w:fmt="decimal"/>
          <w:cols w:space="720" w:num="1"/>
        </w:sectPr>
      </w:pPr>
    </w:p>
    <w:p>
      <w:pPr>
        <w:jc w:val="right"/>
        <w:rPr>
          <w:rFonts w:ascii="宋体" w:hAnsi="宋体"/>
          <w:b/>
          <w:szCs w:val="21"/>
        </w:rPr>
      </w:pPr>
      <w:r>
        <w:rPr>
          <w:rFonts w:hint="eastAsia" w:ascii="宋体" w:hAnsi="宋体" w:eastAsia="宋体"/>
          <w:b/>
          <w:szCs w:val="21"/>
          <w:lang w:eastAsia="zh-CN"/>
        </w:rPr>
        <w:t>单位</w:t>
      </w:r>
      <w:r>
        <w:rPr>
          <w:rFonts w:hint="eastAsia" w:ascii="宋体" w:hAnsi="宋体"/>
          <w:b/>
          <w:szCs w:val="21"/>
        </w:rPr>
        <w:t>公开表3</w:t>
      </w:r>
    </w:p>
    <w:p>
      <w:pPr>
        <w:jc w:val="center"/>
        <w:rPr>
          <w:rFonts w:ascii="仿宋_GB2312" w:hAnsi="宋体" w:eastAsia="仿宋_GB2312" w:cs="宋体"/>
          <w:b/>
          <w:kern w:val="0"/>
          <w:sz w:val="30"/>
          <w:szCs w:val="30"/>
        </w:rPr>
      </w:pPr>
      <w:r>
        <w:rPr>
          <w:rFonts w:hint="eastAsia" w:ascii="仿宋_GB2312" w:eastAsia="仿宋_GB2312"/>
          <w:b/>
          <w:sz w:val="30"/>
          <w:szCs w:val="30"/>
        </w:rPr>
        <w:t>表3.</w:t>
      </w:r>
      <w:r>
        <w:rPr>
          <w:rFonts w:hint="eastAsia" w:ascii="仿宋_GB2312" w:hAnsi="宋体" w:eastAsia="仿宋_GB2312" w:cs="宋体"/>
          <w:b/>
          <w:kern w:val="0"/>
          <w:sz w:val="30"/>
          <w:szCs w:val="30"/>
        </w:rPr>
        <w:t>支出预算表</w:t>
      </w:r>
    </w:p>
    <w:p>
      <w:pPr>
        <w:jc w:val="center"/>
        <w:rPr>
          <w:rFonts w:ascii="微软雅黑"/>
          <w:sz w:val="21"/>
        </w:rPr>
      </w:pPr>
      <w:r>
        <w:rPr>
          <w:rFonts w:hint="eastAsia" w:ascii="仿宋_GB2312" w:eastAsia="仿宋_GB2312"/>
          <w:b/>
          <w:sz w:val="30"/>
          <w:szCs w:val="30"/>
          <w:lang w:val="en-US" w:eastAsia="zh-CN"/>
        </w:rPr>
        <w:t xml:space="preserve">                                                                               </w:t>
      </w:r>
      <w:r>
        <w:rPr>
          <w:rFonts w:hint="eastAsia" w:ascii="仿宋_GB2312" w:hAnsi="宋体" w:eastAsia="仿宋_GB2312" w:cs="宋体"/>
          <w:kern w:val="0"/>
          <w:szCs w:val="21"/>
        </w:rPr>
        <w:t xml:space="preserve"> 单位：万元</w:t>
      </w:r>
    </w:p>
    <w:tbl>
      <w:tblPr>
        <w:tblStyle w:val="5"/>
        <w:tblW w:w="14194" w:type="dxa"/>
        <w:jc w:val="center"/>
        <w:tblLayout w:type="fixed"/>
        <w:tblCellMar>
          <w:top w:w="0" w:type="dxa"/>
          <w:left w:w="0" w:type="dxa"/>
          <w:bottom w:w="0" w:type="dxa"/>
          <w:right w:w="0" w:type="dxa"/>
        </w:tblCellMar>
      </w:tblPr>
      <w:tblGrid>
        <w:gridCol w:w="1740"/>
        <w:gridCol w:w="1740"/>
        <w:gridCol w:w="853"/>
        <w:gridCol w:w="853"/>
        <w:gridCol w:w="858"/>
        <w:gridCol w:w="2921"/>
        <w:gridCol w:w="1530"/>
        <w:gridCol w:w="1875"/>
        <w:gridCol w:w="1824"/>
      </w:tblGrid>
      <w:tr>
        <w:tblPrEx>
          <w:tblCellMar>
            <w:top w:w="0" w:type="dxa"/>
            <w:left w:w="0" w:type="dxa"/>
            <w:bottom w:w="0" w:type="dxa"/>
            <w:right w:w="0" w:type="dxa"/>
          </w:tblCellMar>
        </w:tblPrEx>
        <w:trPr>
          <w:trHeight w:val="343" w:hRule="atLeast"/>
          <w:jc w:val="center"/>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单位编码</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单位名称</w:t>
            </w:r>
          </w:p>
        </w:tc>
        <w:tc>
          <w:tcPr>
            <w:tcW w:w="256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29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 计</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基本支出</w:t>
            </w:r>
          </w:p>
        </w:tc>
        <w:tc>
          <w:tcPr>
            <w:tcW w:w="18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项目支出</w:t>
            </w:r>
          </w:p>
        </w:tc>
      </w:tr>
      <w:tr>
        <w:tblPrEx>
          <w:tblCellMar>
            <w:top w:w="0" w:type="dxa"/>
            <w:left w:w="0" w:type="dxa"/>
            <w:bottom w:w="0" w:type="dxa"/>
            <w:right w:w="0" w:type="dxa"/>
          </w:tblCellMar>
        </w:tblPrEx>
        <w:trPr>
          <w:trHeight w:val="238" w:hRule="atLeast"/>
          <w:jc w:val="center"/>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29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8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303" w:hRule="atLeast"/>
          <w:jc w:val="center"/>
        </w:trPr>
        <w:tc>
          <w:tcPr>
            <w:tcW w:w="34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85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85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85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292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0"/>
                <w:szCs w:val="20"/>
              </w:rPr>
            </w:pPr>
          </w:p>
        </w:tc>
        <w:tc>
          <w:tcPr>
            <w:tcW w:w="153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1422.43</w:t>
            </w:r>
          </w:p>
        </w:tc>
        <w:tc>
          <w:tcPr>
            <w:tcW w:w="18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c>
          <w:tcPr>
            <w:tcW w:w="182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45.00</w:t>
            </w:r>
          </w:p>
        </w:tc>
      </w:tr>
      <w:tr>
        <w:tblPrEx>
          <w:tblCellMar>
            <w:top w:w="0" w:type="dxa"/>
            <w:left w:w="0" w:type="dxa"/>
            <w:bottom w:w="0" w:type="dxa"/>
            <w:right w:w="0" w:type="dxa"/>
          </w:tblCellMar>
        </w:tblPrEx>
        <w:trPr>
          <w:trHeight w:val="318" w:hRule="atLeast"/>
          <w:jc w:val="center"/>
        </w:trPr>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209</w:t>
            </w:r>
          </w:p>
        </w:tc>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高青县交通运输局</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1422.43</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45.00</w:t>
            </w:r>
          </w:p>
        </w:tc>
      </w:tr>
      <w:tr>
        <w:tblPrEx>
          <w:tblCellMar>
            <w:top w:w="0" w:type="dxa"/>
            <w:left w:w="0" w:type="dxa"/>
            <w:bottom w:w="0" w:type="dxa"/>
            <w:right w:w="0" w:type="dxa"/>
          </w:tblCellMar>
        </w:tblPrEx>
        <w:trPr>
          <w:trHeight w:val="365" w:hRule="atLeast"/>
          <w:jc w:val="center"/>
        </w:trPr>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auto"/>
                <w:sz w:val="18"/>
                <w:szCs w:val="18"/>
                <w:lang w:val="en-US" w:eastAsia="zh-CN"/>
              </w:rPr>
              <w:t>209001</w:t>
            </w:r>
          </w:p>
        </w:tc>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r>
              <w:rPr>
                <w:rFonts w:hint="eastAsia" w:ascii="宋体" w:hAnsi="宋体" w:eastAsia="宋体" w:cs="宋体"/>
                <w:color w:val="000000"/>
                <w:sz w:val="18"/>
                <w:szCs w:val="18"/>
                <w:lang w:val="en-US" w:eastAsia="zh-CN"/>
              </w:rPr>
              <w:t>高青县交通运输局</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1422.43</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45.00</w:t>
            </w:r>
          </w:p>
        </w:tc>
      </w:tr>
      <w:tr>
        <w:tblPrEx>
          <w:tblCellMar>
            <w:top w:w="0" w:type="dxa"/>
            <w:left w:w="0" w:type="dxa"/>
            <w:bottom w:w="0" w:type="dxa"/>
            <w:right w:w="0" w:type="dxa"/>
          </w:tblCellMar>
        </w:tblPrEx>
        <w:trPr>
          <w:trHeight w:val="365" w:hRule="atLeast"/>
          <w:jc w:val="center"/>
        </w:trPr>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208</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社会保障和就业支出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125.53</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125.53</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CellMar>
            <w:top w:w="0" w:type="dxa"/>
            <w:left w:w="0" w:type="dxa"/>
            <w:bottom w:w="0" w:type="dxa"/>
            <w:right w:w="0" w:type="dxa"/>
          </w:tblCellMar>
        </w:tblPrEx>
        <w:trPr>
          <w:trHeight w:val="365" w:hRule="atLeast"/>
          <w:jc w:val="center"/>
        </w:trPr>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208</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w:t>
            </w: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行政事业单位养老支出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125.53</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125.53</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CellMar>
            <w:top w:w="0" w:type="dxa"/>
            <w:left w:w="0" w:type="dxa"/>
            <w:bottom w:w="0" w:type="dxa"/>
            <w:right w:w="0" w:type="dxa"/>
          </w:tblCellMar>
        </w:tblPrEx>
        <w:trPr>
          <w:trHeight w:val="365" w:hRule="atLeast"/>
          <w:jc w:val="center"/>
        </w:trPr>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208</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w:t>
            </w: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w:t>
            </w:r>
          </w:p>
        </w:tc>
        <w:tc>
          <w:tcPr>
            <w:tcW w:w="2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r>
              <w:rPr>
                <w:rFonts w:hint="eastAsia" w:ascii="宋体" w:hAnsi="宋体" w:eastAsia="宋体" w:cs="宋体"/>
                <w:color w:val="000000"/>
                <w:sz w:val="18"/>
                <w:szCs w:val="18"/>
                <w:lang w:val="en-US" w:eastAsia="zh-CN"/>
              </w:rPr>
              <w:t>行政事业单位基本养老保险缴费支出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125.53</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125.53</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CellMar>
            <w:top w:w="0" w:type="dxa"/>
            <w:left w:w="0" w:type="dxa"/>
            <w:bottom w:w="0" w:type="dxa"/>
            <w:right w:w="0" w:type="dxa"/>
          </w:tblCellMar>
        </w:tblPrEx>
        <w:trPr>
          <w:trHeight w:val="365" w:hRule="atLeast"/>
          <w:jc w:val="center"/>
        </w:trPr>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210</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卫生健康支出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65.52</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65.52</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CellMar>
            <w:top w:w="0" w:type="dxa"/>
            <w:left w:w="0" w:type="dxa"/>
            <w:bottom w:w="0" w:type="dxa"/>
            <w:right w:w="0" w:type="dxa"/>
          </w:tblCellMar>
        </w:tblPrEx>
        <w:trPr>
          <w:trHeight w:val="365" w:hRule="atLeast"/>
          <w:jc w:val="center"/>
        </w:trPr>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210</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行政事业单位医疗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65.52</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65.52</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CellMar>
            <w:top w:w="0" w:type="dxa"/>
            <w:left w:w="0" w:type="dxa"/>
            <w:bottom w:w="0" w:type="dxa"/>
            <w:right w:w="0" w:type="dxa"/>
          </w:tblCellMar>
        </w:tblPrEx>
        <w:trPr>
          <w:trHeight w:val="365" w:hRule="atLeast"/>
          <w:jc w:val="center"/>
        </w:trPr>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210</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02</w:t>
            </w:r>
          </w:p>
        </w:tc>
        <w:tc>
          <w:tcPr>
            <w:tcW w:w="2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事业单位医疗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54.92</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54.92</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CellMar>
            <w:top w:w="0" w:type="dxa"/>
            <w:left w:w="0" w:type="dxa"/>
            <w:bottom w:w="0" w:type="dxa"/>
            <w:right w:w="0" w:type="dxa"/>
          </w:tblCellMar>
        </w:tblPrEx>
        <w:trPr>
          <w:trHeight w:val="365" w:hRule="atLeast"/>
          <w:jc w:val="center"/>
        </w:trPr>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210</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03</w:t>
            </w:r>
          </w:p>
        </w:tc>
        <w:tc>
          <w:tcPr>
            <w:tcW w:w="2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公务员医疗补助</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10.60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10.60</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CellMar>
            <w:top w:w="0" w:type="dxa"/>
            <w:left w:w="0" w:type="dxa"/>
            <w:bottom w:w="0" w:type="dxa"/>
            <w:right w:w="0" w:type="dxa"/>
          </w:tblCellMar>
        </w:tblPrEx>
        <w:trPr>
          <w:trHeight w:val="365" w:hRule="atLeast"/>
          <w:jc w:val="center"/>
        </w:trPr>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214</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交通运输支出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1126.43</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1081.43</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45.00</w:t>
            </w:r>
          </w:p>
        </w:tc>
      </w:tr>
      <w:tr>
        <w:tblPrEx>
          <w:tblCellMar>
            <w:top w:w="0" w:type="dxa"/>
            <w:left w:w="0" w:type="dxa"/>
            <w:bottom w:w="0" w:type="dxa"/>
            <w:right w:w="0" w:type="dxa"/>
          </w:tblCellMar>
        </w:tblPrEx>
        <w:trPr>
          <w:trHeight w:val="365" w:hRule="atLeast"/>
          <w:jc w:val="center"/>
        </w:trPr>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214</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01</w:t>
            </w: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公路水路运输</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1126.43</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1081.43</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45.00</w:t>
            </w:r>
          </w:p>
        </w:tc>
      </w:tr>
      <w:tr>
        <w:tblPrEx>
          <w:tblCellMar>
            <w:top w:w="0" w:type="dxa"/>
            <w:left w:w="0" w:type="dxa"/>
            <w:bottom w:w="0" w:type="dxa"/>
            <w:right w:w="0" w:type="dxa"/>
          </w:tblCellMar>
        </w:tblPrEx>
        <w:trPr>
          <w:trHeight w:val="365" w:hRule="atLeast"/>
          <w:jc w:val="center"/>
        </w:trPr>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214</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01</w:t>
            </w: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01</w:t>
            </w:r>
          </w:p>
        </w:tc>
        <w:tc>
          <w:tcPr>
            <w:tcW w:w="2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行政运行</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1126.43</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1081.43</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45.00</w:t>
            </w:r>
          </w:p>
        </w:tc>
      </w:tr>
      <w:tr>
        <w:tblPrEx>
          <w:tblCellMar>
            <w:top w:w="0" w:type="dxa"/>
            <w:left w:w="0" w:type="dxa"/>
            <w:bottom w:w="0" w:type="dxa"/>
            <w:right w:w="0" w:type="dxa"/>
          </w:tblCellMar>
        </w:tblPrEx>
        <w:trPr>
          <w:trHeight w:val="365" w:hRule="atLeast"/>
          <w:jc w:val="center"/>
        </w:trPr>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221</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18"/>
                <w:szCs w:val="18"/>
                <w:lang w:val="en-US" w:eastAsia="zh-CN"/>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18"/>
                <w:szCs w:val="18"/>
                <w:lang w:val="en-US" w:eastAsia="zh-CN"/>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住房保障支出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CellMar>
            <w:top w:w="0" w:type="dxa"/>
            <w:left w:w="0" w:type="dxa"/>
            <w:bottom w:w="0" w:type="dxa"/>
            <w:right w:w="0" w:type="dxa"/>
          </w:tblCellMar>
        </w:tblPrEx>
        <w:trPr>
          <w:trHeight w:val="365" w:hRule="atLeast"/>
          <w:jc w:val="center"/>
        </w:trPr>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221</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02</w:t>
            </w: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18"/>
                <w:szCs w:val="18"/>
                <w:lang w:val="en-US" w:eastAsia="zh-CN"/>
              </w:rPr>
            </w:pPr>
          </w:p>
        </w:tc>
        <w:tc>
          <w:tcPr>
            <w:tcW w:w="2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住房改革支出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CellMar>
            <w:top w:w="0" w:type="dxa"/>
            <w:left w:w="0" w:type="dxa"/>
            <w:bottom w:w="0" w:type="dxa"/>
            <w:right w:w="0" w:type="dxa"/>
          </w:tblCellMar>
        </w:tblPrEx>
        <w:trPr>
          <w:trHeight w:val="365" w:hRule="atLeast"/>
          <w:jc w:val="center"/>
        </w:trPr>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7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221</w:t>
            </w:r>
          </w:p>
        </w:tc>
        <w:tc>
          <w:tcPr>
            <w:tcW w:w="8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02</w:t>
            </w:r>
          </w:p>
        </w:tc>
        <w:tc>
          <w:tcPr>
            <w:tcW w:w="8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01</w:t>
            </w:r>
          </w:p>
        </w:tc>
        <w:tc>
          <w:tcPr>
            <w:tcW w:w="2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住房公积金</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18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bl>
    <w:p>
      <w:pPr>
        <w:rPr>
          <w:rFonts w:ascii="仿宋_GB2312" w:hAnsi="宋体" w:eastAsia="仿宋_GB2312" w:cs="宋体"/>
          <w:kern w:val="0"/>
          <w:szCs w:val="21"/>
        </w:rPr>
      </w:pPr>
    </w:p>
    <w:p>
      <w:pPr>
        <w:jc w:val="right"/>
        <w:rPr>
          <w:rFonts w:ascii="宋体" w:hAnsi="宋体"/>
          <w:b/>
          <w:szCs w:val="21"/>
        </w:rPr>
      </w:pPr>
    </w:p>
    <w:p>
      <w:pPr>
        <w:rPr>
          <w:rFonts w:ascii="微软雅黑"/>
          <w:sz w:val="21"/>
        </w:rPr>
      </w:pPr>
    </w:p>
    <w:p>
      <w:pPr>
        <w:sectPr>
          <w:footerReference r:id="rId10" w:type="default"/>
          <w:pgSz w:w="16839" w:h="11906"/>
          <w:pgMar w:top="934" w:right="1673" w:bottom="1435" w:left="1942" w:header="0" w:footer="1267" w:gutter="0"/>
          <w:pgNumType w:fmt="decimal"/>
          <w:cols w:space="720" w:num="1"/>
        </w:sectPr>
      </w:pPr>
    </w:p>
    <w:p>
      <w:pPr>
        <w:jc w:val="right"/>
        <w:rPr>
          <w:rFonts w:ascii="仿宋_GB2312" w:hAnsi="宋体" w:eastAsia="仿宋_GB2312" w:cs="宋体"/>
          <w:b/>
          <w:kern w:val="0"/>
          <w:szCs w:val="21"/>
        </w:rPr>
      </w:pPr>
      <w:r>
        <w:rPr>
          <w:rFonts w:hint="eastAsia" w:ascii="宋体" w:hAnsi="宋体" w:eastAsia="宋体"/>
          <w:b/>
          <w:szCs w:val="21"/>
          <w:lang w:eastAsia="zh-CN"/>
        </w:rPr>
        <w:t>单位</w:t>
      </w:r>
      <w:r>
        <w:rPr>
          <w:rFonts w:hint="eastAsia" w:ascii="宋体" w:hAnsi="宋体"/>
          <w:b/>
          <w:szCs w:val="21"/>
        </w:rPr>
        <w:t>公开表4</w:t>
      </w:r>
    </w:p>
    <w:p>
      <w:pPr>
        <w:jc w:val="center"/>
        <w:rPr>
          <w:rFonts w:hint="eastAsia" w:ascii="仿宋" w:hAnsi="仿宋" w:eastAsia="仿宋" w:cs="仿宋"/>
          <w:sz w:val="21"/>
          <w:szCs w:val="21"/>
        </w:rPr>
      </w:pPr>
      <w:r>
        <w:rPr>
          <w:rFonts w:hint="eastAsia" w:ascii="仿宋_GB2312" w:eastAsia="仿宋_GB2312"/>
          <w:b/>
          <w:sz w:val="30"/>
          <w:szCs w:val="30"/>
          <w:lang w:val="en-US" w:eastAsia="zh-CN"/>
        </w:rPr>
        <w:t xml:space="preserve">                                </w:t>
      </w:r>
      <w:r>
        <w:rPr>
          <w:rFonts w:hint="eastAsia" w:ascii="仿宋_GB2312" w:eastAsia="仿宋_GB2312"/>
          <w:b/>
          <w:sz w:val="30"/>
          <w:szCs w:val="30"/>
        </w:rPr>
        <w:t>表4.财政拨款收支预算表</w:t>
      </w:r>
      <w:r>
        <w:rPr>
          <w:rFonts w:hint="eastAsia" w:ascii="仿宋_GB2312" w:eastAsia="仿宋_GB2312"/>
          <w:b/>
          <w:sz w:val="30"/>
          <w:szCs w:val="30"/>
          <w:lang w:val="en-US" w:eastAsia="zh-CN"/>
        </w:rPr>
        <w:t xml:space="preserve">                      </w:t>
      </w:r>
      <w:r>
        <w:rPr>
          <w:rFonts w:hint="eastAsia" w:ascii="仿宋" w:hAnsi="仿宋" w:eastAsia="仿宋" w:cs="仿宋"/>
          <w:spacing w:val="-15"/>
          <w:w w:val="93"/>
          <w:sz w:val="21"/>
          <w:szCs w:val="21"/>
        </w:rPr>
        <w:t>单位：</w:t>
      </w:r>
      <w:r>
        <w:rPr>
          <w:rFonts w:hint="eastAsia" w:ascii="仿宋" w:hAnsi="仿宋" w:eastAsia="仿宋" w:cs="仿宋"/>
          <w:spacing w:val="45"/>
          <w:sz w:val="21"/>
          <w:szCs w:val="21"/>
        </w:rPr>
        <w:t xml:space="preserve"> </w:t>
      </w:r>
      <w:r>
        <w:rPr>
          <w:rFonts w:hint="eastAsia" w:ascii="仿宋" w:hAnsi="仿宋" w:eastAsia="仿宋" w:cs="仿宋"/>
          <w:spacing w:val="-15"/>
          <w:w w:val="93"/>
          <w:sz w:val="21"/>
          <w:szCs w:val="21"/>
        </w:rPr>
        <w:t>万元</w:t>
      </w:r>
    </w:p>
    <w:tbl>
      <w:tblPr>
        <w:tblStyle w:val="8"/>
        <w:tblpPr w:leftFromText="180" w:rightFromText="180" w:vertAnchor="text" w:horzAnchor="page" w:tblpX="1412" w:tblpY="102"/>
        <w:tblOverlap w:val="never"/>
        <w:tblW w:w="129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6"/>
        <w:gridCol w:w="910"/>
        <w:gridCol w:w="3124"/>
        <w:gridCol w:w="982"/>
        <w:gridCol w:w="102"/>
        <w:gridCol w:w="1343"/>
        <w:gridCol w:w="1618"/>
        <w:gridCol w:w="28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926" w:type="dxa"/>
            <w:gridSpan w:val="2"/>
            <w:vAlign w:val="top"/>
          </w:tcPr>
          <w:p>
            <w:pPr>
              <w:spacing w:before="87" w:line="186" w:lineRule="auto"/>
              <w:ind w:firstLine="691"/>
              <w:rPr>
                <w:rFonts w:ascii="宋体" w:hAnsi="宋体" w:eastAsia="宋体" w:cs="宋体"/>
                <w:sz w:val="20"/>
                <w:szCs w:val="20"/>
              </w:rPr>
            </w:pPr>
            <w:r>
              <w:rPr>
                <w:rFonts w:ascii="宋体" w:hAnsi="宋体" w:eastAsia="宋体" w:cs="宋体"/>
                <w:spacing w:val="-6"/>
                <w:sz w:val="20"/>
                <w:szCs w:val="20"/>
              </w:rPr>
              <w:t>收</w:t>
            </w:r>
            <w:r>
              <w:rPr>
                <w:rFonts w:ascii="宋体" w:hAnsi="宋体" w:eastAsia="宋体" w:cs="宋体"/>
                <w:sz w:val="20"/>
                <w:szCs w:val="20"/>
              </w:rPr>
              <w:t xml:space="preserve">               </w:t>
            </w:r>
            <w:r>
              <w:rPr>
                <w:rFonts w:ascii="宋体" w:hAnsi="宋体" w:eastAsia="宋体" w:cs="宋体"/>
                <w:spacing w:val="-6"/>
                <w:sz w:val="20"/>
                <w:szCs w:val="20"/>
              </w:rPr>
              <w:t>入</w:t>
            </w:r>
          </w:p>
        </w:tc>
        <w:tc>
          <w:tcPr>
            <w:tcW w:w="9974" w:type="dxa"/>
            <w:gridSpan w:val="6"/>
            <w:vAlign w:val="top"/>
          </w:tcPr>
          <w:p>
            <w:pPr>
              <w:spacing w:before="87" w:line="186" w:lineRule="auto"/>
              <w:ind w:firstLine="4150"/>
              <w:rPr>
                <w:rFonts w:ascii="宋体" w:hAnsi="宋体" w:eastAsia="宋体" w:cs="宋体"/>
                <w:sz w:val="20"/>
                <w:szCs w:val="20"/>
              </w:rPr>
            </w:pPr>
            <w:r>
              <w:rPr>
                <w:rFonts w:ascii="宋体" w:hAnsi="宋体" w:eastAsia="宋体" w:cs="宋体"/>
                <w:spacing w:val="-3"/>
                <w:sz w:val="20"/>
                <w:szCs w:val="20"/>
              </w:rPr>
              <w:t>支</w:t>
            </w:r>
            <w:r>
              <w:rPr>
                <w:rFonts w:ascii="宋体" w:hAnsi="宋体" w:eastAsia="宋体" w:cs="宋体"/>
                <w:spacing w:val="1"/>
                <w:sz w:val="20"/>
                <w:szCs w:val="20"/>
              </w:rPr>
              <w:t xml:space="preserve">                 </w:t>
            </w:r>
            <w:r>
              <w:rPr>
                <w:rFonts w:ascii="宋体" w:hAnsi="宋体" w:eastAsia="宋体" w:cs="宋体"/>
                <w:spacing w:val="-3"/>
                <w:sz w:val="20"/>
                <w:szCs w:val="20"/>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016" w:type="dxa"/>
            <w:vMerge w:val="restart"/>
            <w:tcBorders>
              <w:bottom w:val="nil"/>
            </w:tcBorders>
            <w:vAlign w:val="top"/>
          </w:tcPr>
          <w:p>
            <w:pPr>
              <w:spacing w:before="276" w:line="186" w:lineRule="auto"/>
              <w:ind w:firstLine="674"/>
              <w:rPr>
                <w:rFonts w:ascii="宋体" w:hAnsi="宋体" w:eastAsia="宋体" w:cs="宋体"/>
                <w:sz w:val="20"/>
                <w:szCs w:val="20"/>
              </w:rPr>
            </w:pPr>
            <w:r>
              <w:rPr>
                <w:rFonts w:ascii="宋体" w:hAnsi="宋体" w:eastAsia="宋体" w:cs="宋体"/>
                <w:spacing w:val="-4"/>
                <w:sz w:val="20"/>
                <w:szCs w:val="20"/>
              </w:rPr>
              <w:t>项</w:t>
            </w:r>
            <w:r>
              <w:rPr>
                <w:rFonts w:ascii="宋体" w:hAnsi="宋体" w:eastAsia="宋体" w:cs="宋体"/>
                <w:spacing w:val="5"/>
                <w:sz w:val="20"/>
                <w:szCs w:val="20"/>
              </w:rPr>
              <w:t xml:space="preserve">       </w:t>
            </w:r>
            <w:r>
              <w:rPr>
                <w:rFonts w:ascii="宋体" w:hAnsi="宋体" w:eastAsia="宋体" w:cs="宋体"/>
                <w:spacing w:val="-4"/>
                <w:sz w:val="20"/>
                <w:szCs w:val="20"/>
              </w:rPr>
              <w:t>目</w:t>
            </w:r>
          </w:p>
        </w:tc>
        <w:tc>
          <w:tcPr>
            <w:tcW w:w="910" w:type="dxa"/>
            <w:vMerge w:val="restart"/>
            <w:tcBorders>
              <w:bottom w:val="nil"/>
            </w:tcBorders>
            <w:vAlign w:val="top"/>
          </w:tcPr>
          <w:p>
            <w:pPr>
              <w:spacing w:before="276" w:line="186" w:lineRule="auto"/>
              <w:ind w:firstLine="217"/>
              <w:rPr>
                <w:rFonts w:ascii="宋体" w:hAnsi="宋体" w:eastAsia="宋体" w:cs="宋体"/>
                <w:sz w:val="20"/>
                <w:szCs w:val="20"/>
              </w:rPr>
            </w:pPr>
            <w:r>
              <w:rPr>
                <w:rFonts w:ascii="宋体" w:hAnsi="宋体" w:eastAsia="宋体" w:cs="宋体"/>
                <w:spacing w:val="-2"/>
                <w:sz w:val="20"/>
                <w:szCs w:val="20"/>
              </w:rPr>
              <w:t>预算数</w:t>
            </w:r>
          </w:p>
        </w:tc>
        <w:tc>
          <w:tcPr>
            <w:tcW w:w="3124" w:type="dxa"/>
            <w:vMerge w:val="restart"/>
            <w:tcBorders>
              <w:bottom w:val="nil"/>
            </w:tcBorders>
            <w:vAlign w:val="top"/>
          </w:tcPr>
          <w:p>
            <w:pPr>
              <w:spacing w:before="276" w:line="186" w:lineRule="auto"/>
              <w:ind w:firstLine="1253"/>
              <w:rPr>
                <w:rFonts w:ascii="宋体" w:hAnsi="宋体" w:eastAsia="宋体" w:cs="宋体"/>
                <w:sz w:val="20"/>
                <w:szCs w:val="20"/>
              </w:rPr>
            </w:pPr>
            <w:r>
              <w:rPr>
                <w:rFonts w:ascii="宋体" w:hAnsi="宋体" w:eastAsia="宋体" w:cs="宋体"/>
                <w:spacing w:val="-4"/>
                <w:sz w:val="20"/>
                <w:szCs w:val="20"/>
              </w:rPr>
              <w:t>项</w:t>
            </w:r>
            <w:r>
              <w:rPr>
                <w:rFonts w:ascii="宋体" w:hAnsi="宋体" w:eastAsia="宋体" w:cs="宋体"/>
                <w:spacing w:val="6"/>
                <w:sz w:val="20"/>
                <w:szCs w:val="20"/>
              </w:rPr>
              <w:t xml:space="preserve">      </w:t>
            </w:r>
            <w:r>
              <w:rPr>
                <w:rFonts w:ascii="宋体" w:hAnsi="宋体" w:eastAsia="宋体" w:cs="宋体"/>
                <w:spacing w:val="-4"/>
                <w:sz w:val="20"/>
                <w:szCs w:val="20"/>
              </w:rPr>
              <w:t>目</w:t>
            </w:r>
          </w:p>
        </w:tc>
        <w:tc>
          <w:tcPr>
            <w:tcW w:w="6850" w:type="dxa"/>
            <w:gridSpan w:val="5"/>
            <w:vAlign w:val="top"/>
          </w:tcPr>
          <w:p>
            <w:pPr>
              <w:spacing w:before="84" w:line="186" w:lineRule="auto"/>
              <w:ind w:firstLine="3101"/>
              <w:rPr>
                <w:rFonts w:ascii="宋体" w:hAnsi="宋体" w:eastAsia="宋体" w:cs="宋体"/>
                <w:sz w:val="20"/>
                <w:szCs w:val="20"/>
              </w:rPr>
            </w:pPr>
            <w:r>
              <w:rPr>
                <w:rFonts w:ascii="宋体" w:hAnsi="宋体" w:eastAsia="宋体" w:cs="宋体"/>
                <w:spacing w:val="-2"/>
                <w:sz w:val="20"/>
                <w:szCs w:val="20"/>
              </w:rPr>
              <w:t>预算数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2016" w:type="dxa"/>
            <w:vMerge w:val="continue"/>
            <w:tcBorders>
              <w:top w:val="nil"/>
            </w:tcBorders>
            <w:vAlign w:val="top"/>
          </w:tcPr>
          <w:p>
            <w:pPr>
              <w:rPr>
                <w:rFonts w:ascii="微软雅黑"/>
                <w:sz w:val="20"/>
                <w:szCs w:val="20"/>
              </w:rPr>
            </w:pPr>
          </w:p>
        </w:tc>
        <w:tc>
          <w:tcPr>
            <w:tcW w:w="910" w:type="dxa"/>
            <w:vMerge w:val="continue"/>
            <w:tcBorders>
              <w:top w:val="nil"/>
            </w:tcBorders>
            <w:vAlign w:val="top"/>
          </w:tcPr>
          <w:p>
            <w:pPr>
              <w:rPr>
                <w:rFonts w:ascii="微软雅黑"/>
                <w:sz w:val="20"/>
                <w:szCs w:val="20"/>
              </w:rPr>
            </w:pPr>
          </w:p>
        </w:tc>
        <w:tc>
          <w:tcPr>
            <w:tcW w:w="3124" w:type="dxa"/>
            <w:vMerge w:val="continue"/>
            <w:tcBorders>
              <w:top w:val="nil"/>
            </w:tcBorders>
            <w:vAlign w:val="top"/>
          </w:tcPr>
          <w:p>
            <w:pPr>
              <w:rPr>
                <w:rFonts w:ascii="微软雅黑"/>
                <w:sz w:val="20"/>
                <w:szCs w:val="20"/>
              </w:rPr>
            </w:pPr>
          </w:p>
        </w:tc>
        <w:tc>
          <w:tcPr>
            <w:tcW w:w="982" w:type="dxa"/>
            <w:vAlign w:val="top"/>
          </w:tcPr>
          <w:p>
            <w:pPr>
              <w:spacing w:before="115" w:line="186" w:lineRule="auto"/>
              <w:ind w:firstLine="301"/>
              <w:rPr>
                <w:rFonts w:ascii="宋体" w:hAnsi="宋体" w:eastAsia="宋体" w:cs="宋体"/>
                <w:sz w:val="20"/>
                <w:szCs w:val="20"/>
              </w:rPr>
            </w:pPr>
            <w:r>
              <w:rPr>
                <w:rFonts w:hint="eastAsia" w:ascii="宋体" w:hAnsi="宋体" w:eastAsia="宋体" w:cs="宋体"/>
                <w:spacing w:val="-5"/>
                <w:sz w:val="20"/>
                <w:szCs w:val="20"/>
                <w:lang w:val="en-US" w:eastAsia="zh-CN"/>
              </w:rPr>
              <w:t>总</w:t>
            </w:r>
            <w:r>
              <w:rPr>
                <w:rFonts w:ascii="宋体" w:hAnsi="宋体" w:eastAsia="宋体" w:cs="宋体"/>
                <w:spacing w:val="-5"/>
                <w:sz w:val="20"/>
                <w:szCs w:val="20"/>
              </w:rPr>
              <w:t>计</w:t>
            </w:r>
          </w:p>
        </w:tc>
        <w:tc>
          <w:tcPr>
            <w:tcW w:w="1445" w:type="dxa"/>
            <w:gridSpan w:val="2"/>
            <w:vAlign w:val="top"/>
          </w:tcPr>
          <w:p>
            <w:pPr>
              <w:spacing w:before="115" w:line="186" w:lineRule="auto"/>
              <w:ind w:firstLine="198"/>
              <w:rPr>
                <w:rFonts w:ascii="宋体" w:hAnsi="宋体" w:eastAsia="宋体" w:cs="宋体"/>
                <w:sz w:val="20"/>
                <w:szCs w:val="20"/>
              </w:rPr>
            </w:pPr>
            <w:r>
              <w:rPr>
                <w:rFonts w:ascii="宋体" w:hAnsi="宋体" w:eastAsia="宋体" w:cs="宋体"/>
                <w:spacing w:val="-2"/>
                <w:sz w:val="20"/>
                <w:szCs w:val="20"/>
              </w:rPr>
              <w:t>一般公共预算</w:t>
            </w:r>
          </w:p>
        </w:tc>
        <w:tc>
          <w:tcPr>
            <w:tcW w:w="1618" w:type="dxa"/>
            <w:vAlign w:val="top"/>
          </w:tcPr>
          <w:p>
            <w:pPr>
              <w:spacing w:before="115" w:line="186" w:lineRule="auto"/>
              <w:ind w:firstLine="78"/>
              <w:rPr>
                <w:rFonts w:ascii="宋体" w:hAnsi="宋体" w:eastAsia="宋体" w:cs="宋体"/>
                <w:sz w:val="20"/>
                <w:szCs w:val="20"/>
              </w:rPr>
            </w:pPr>
            <w:r>
              <w:rPr>
                <w:rFonts w:ascii="宋体" w:hAnsi="宋体" w:eastAsia="宋体" w:cs="宋体"/>
                <w:spacing w:val="-1"/>
                <w:sz w:val="20"/>
                <w:szCs w:val="20"/>
              </w:rPr>
              <w:t>政府性基金预算</w:t>
            </w:r>
          </w:p>
        </w:tc>
        <w:tc>
          <w:tcPr>
            <w:tcW w:w="2805" w:type="dxa"/>
            <w:vAlign w:val="top"/>
          </w:tcPr>
          <w:p>
            <w:pPr>
              <w:spacing w:before="115" w:line="186" w:lineRule="auto"/>
              <w:ind w:firstLine="955"/>
              <w:jc w:val="center"/>
              <w:rPr>
                <w:rFonts w:ascii="宋体" w:hAnsi="宋体" w:eastAsia="宋体" w:cs="宋体"/>
                <w:sz w:val="20"/>
                <w:szCs w:val="20"/>
              </w:rPr>
            </w:pPr>
            <w:r>
              <w:rPr>
                <w:rFonts w:ascii="宋体" w:hAnsi="宋体" w:eastAsia="宋体" w:cs="宋体"/>
                <w:spacing w:val="-3"/>
                <w:sz w:val="20"/>
                <w:szCs w:val="20"/>
              </w:rPr>
              <w:t>国有资本经营预算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016" w:type="dxa"/>
            <w:vAlign w:val="top"/>
          </w:tcPr>
          <w:p>
            <w:pPr>
              <w:spacing w:before="86" w:line="186" w:lineRule="auto"/>
              <w:ind w:firstLine="24"/>
              <w:rPr>
                <w:rFonts w:hint="eastAsia" w:ascii="宋体" w:hAnsi="宋体" w:eastAsia="宋体" w:cs="宋体"/>
                <w:sz w:val="18"/>
                <w:szCs w:val="18"/>
              </w:rPr>
            </w:pPr>
            <w:r>
              <w:rPr>
                <w:rFonts w:hint="eastAsia" w:ascii="宋体" w:hAnsi="宋体" w:eastAsia="宋体" w:cs="宋体"/>
                <w:spacing w:val="-1"/>
                <w:sz w:val="18"/>
                <w:szCs w:val="18"/>
              </w:rPr>
              <w:t>一、一般公共预算</w:t>
            </w:r>
          </w:p>
        </w:tc>
        <w:tc>
          <w:tcPr>
            <w:tcW w:w="910" w:type="dxa"/>
            <w:vAlign w:val="top"/>
          </w:tcPr>
          <w:p>
            <w:pPr>
              <w:spacing w:before="111" w:line="180" w:lineRule="auto"/>
              <w:ind w:firstLine="269"/>
              <w:rPr>
                <w:rFonts w:hint="eastAsia" w:ascii="宋体" w:hAnsi="宋体" w:eastAsia="宋体" w:cs="宋体"/>
                <w:sz w:val="18"/>
                <w:szCs w:val="18"/>
              </w:rPr>
            </w:pPr>
            <w:r>
              <w:rPr>
                <w:rFonts w:hint="eastAsia" w:ascii="宋体" w:hAnsi="宋体" w:eastAsia="宋体" w:cs="宋体"/>
                <w:spacing w:val="-3"/>
                <w:sz w:val="18"/>
                <w:szCs w:val="18"/>
              </w:rPr>
              <w:t>1422.43</w:t>
            </w:r>
          </w:p>
        </w:tc>
        <w:tc>
          <w:tcPr>
            <w:tcW w:w="3124" w:type="dxa"/>
            <w:vAlign w:val="top"/>
          </w:tcPr>
          <w:p>
            <w:pPr>
              <w:spacing w:before="86" w:line="186" w:lineRule="auto"/>
              <w:ind w:firstLine="19"/>
              <w:rPr>
                <w:rFonts w:hint="eastAsia" w:ascii="宋体" w:hAnsi="宋体" w:eastAsia="宋体" w:cs="宋体"/>
                <w:sz w:val="18"/>
                <w:szCs w:val="18"/>
              </w:rPr>
            </w:pPr>
            <w:r>
              <w:rPr>
                <w:rFonts w:hint="eastAsia" w:ascii="宋体" w:hAnsi="宋体" w:eastAsia="宋体" w:cs="宋体"/>
                <w:spacing w:val="-1"/>
                <w:sz w:val="18"/>
                <w:szCs w:val="18"/>
              </w:rPr>
              <w:t>一、一般公共服务支出</w:t>
            </w:r>
          </w:p>
        </w:tc>
        <w:tc>
          <w:tcPr>
            <w:tcW w:w="1084" w:type="dxa"/>
            <w:gridSpan w:val="2"/>
            <w:vAlign w:val="top"/>
          </w:tcPr>
          <w:p>
            <w:pPr>
              <w:spacing w:line="319"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319"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c>
          <w:tcPr>
            <w:tcW w:w="1618" w:type="dxa"/>
            <w:vAlign w:val="top"/>
          </w:tcPr>
          <w:p>
            <w:pPr>
              <w:spacing w:line="319"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c>
          <w:tcPr>
            <w:tcW w:w="2805" w:type="dxa"/>
            <w:vAlign w:val="top"/>
          </w:tcPr>
          <w:p>
            <w:pPr>
              <w:spacing w:line="319"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2016" w:type="dxa"/>
            <w:vAlign w:val="top"/>
          </w:tcPr>
          <w:p>
            <w:pPr>
              <w:spacing w:before="43" w:line="186" w:lineRule="auto"/>
              <w:ind w:firstLine="24"/>
              <w:rPr>
                <w:rFonts w:hint="eastAsia" w:ascii="宋体" w:hAnsi="宋体" w:eastAsia="宋体" w:cs="宋体"/>
                <w:sz w:val="18"/>
                <w:szCs w:val="18"/>
              </w:rPr>
            </w:pPr>
            <w:r>
              <w:rPr>
                <w:rFonts w:hint="eastAsia" w:ascii="宋体" w:hAnsi="宋体" w:eastAsia="宋体" w:cs="宋体"/>
                <w:spacing w:val="-1"/>
                <w:sz w:val="18"/>
                <w:szCs w:val="18"/>
              </w:rPr>
              <w:t>二、政府性基金预算</w:t>
            </w:r>
          </w:p>
        </w:tc>
        <w:tc>
          <w:tcPr>
            <w:tcW w:w="910" w:type="dxa"/>
            <w:vAlign w:val="top"/>
          </w:tcPr>
          <w:p>
            <w:pPr>
              <w:spacing w:line="23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3124" w:type="dxa"/>
            <w:vAlign w:val="top"/>
          </w:tcPr>
          <w:p>
            <w:pPr>
              <w:spacing w:before="43" w:line="186" w:lineRule="auto"/>
              <w:ind w:firstLine="19"/>
              <w:rPr>
                <w:rFonts w:hint="eastAsia" w:ascii="宋体" w:hAnsi="宋体" w:eastAsia="宋体" w:cs="宋体"/>
                <w:sz w:val="18"/>
                <w:szCs w:val="18"/>
              </w:rPr>
            </w:pPr>
            <w:r>
              <w:rPr>
                <w:rFonts w:hint="eastAsia" w:ascii="宋体" w:hAnsi="宋体" w:eastAsia="宋体" w:cs="宋体"/>
                <w:spacing w:val="-2"/>
                <w:sz w:val="18"/>
                <w:szCs w:val="18"/>
              </w:rPr>
              <w:t>二、外交支出</w:t>
            </w:r>
          </w:p>
        </w:tc>
        <w:tc>
          <w:tcPr>
            <w:tcW w:w="1084" w:type="dxa"/>
            <w:gridSpan w:val="2"/>
            <w:vAlign w:val="top"/>
          </w:tcPr>
          <w:p>
            <w:pPr>
              <w:spacing w:line="23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23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c>
          <w:tcPr>
            <w:tcW w:w="1618" w:type="dxa"/>
            <w:vAlign w:val="top"/>
          </w:tcPr>
          <w:p>
            <w:pPr>
              <w:spacing w:line="23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c>
          <w:tcPr>
            <w:tcW w:w="2805" w:type="dxa"/>
            <w:vAlign w:val="top"/>
          </w:tcPr>
          <w:p>
            <w:pPr>
              <w:spacing w:line="23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trPr>
        <w:tc>
          <w:tcPr>
            <w:tcW w:w="2016" w:type="dxa"/>
            <w:vAlign w:val="top"/>
          </w:tcPr>
          <w:p>
            <w:pPr>
              <w:spacing w:before="41" w:line="186" w:lineRule="auto"/>
              <w:ind w:firstLine="21"/>
              <w:rPr>
                <w:rFonts w:hint="eastAsia" w:ascii="宋体" w:hAnsi="宋体" w:eastAsia="宋体" w:cs="宋体"/>
                <w:sz w:val="18"/>
                <w:szCs w:val="18"/>
              </w:rPr>
            </w:pPr>
            <w:r>
              <w:rPr>
                <w:rFonts w:hint="eastAsia" w:ascii="宋体" w:hAnsi="宋体" w:eastAsia="宋体" w:cs="宋体"/>
                <w:spacing w:val="-1"/>
                <w:sz w:val="18"/>
                <w:szCs w:val="18"/>
              </w:rPr>
              <w:t>三、国有资本经营预算</w:t>
            </w:r>
          </w:p>
        </w:tc>
        <w:tc>
          <w:tcPr>
            <w:tcW w:w="910" w:type="dxa"/>
            <w:vAlign w:val="top"/>
          </w:tcPr>
          <w:p>
            <w:pPr>
              <w:spacing w:line="23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3124" w:type="dxa"/>
            <w:vAlign w:val="top"/>
          </w:tcPr>
          <w:p>
            <w:pPr>
              <w:spacing w:before="41" w:line="186" w:lineRule="auto"/>
              <w:ind w:firstLine="16"/>
              <w:rPr>
                <w:rFonts w:hint="eastAsia" w:ascii="宋体" w:hAnsi="宋体" w:eastAsia="宋体" w:cs="宋体"/>
                <w:sz w:val="18"/>
                <w:szCs w:val="18"/>
              </w:rPr>
            </w:pPr>
            <w:r>
              <w:rPr>
                <w:rFonts w:hint="eastAsia" w:ascii="宋体" w:hAnsi="宋体" w:eastAsia="宋体" w:cs="宋体"/>
                <w:spacing w:val="-1"/>
                <w:sz w:val="18"/>
                <w:szCs w:val="18"/>
              </w:rPr>
              <w:t>三、国防支出</w:t>
            </w:r>
          </w:p>
        </w:tc>
        <w:tc>
          <w:tcPr>
            <w:tcW w:w="1084" w:type="dxa"/>
            <w:gridSpan w:val="2"/>
            <w:vAlign w:val="top"/>
          </w:tcPr>
          <w:p>
            <w:pPr>
              <w:spacing w:line="23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23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c>
          <w:tcPr>
            <w:tcW w:w="1618" w:type="dxa"/>
            <w:vAlign w:val="top"/>
          </w:tcPr>
          <w:p>
            <w:pPr>
              <w:spacing w:line="23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c>
          <w:tcPr>
            <w:tcW w:w="2805" w:type="dxa"/>
            <w:vAlign w:val="top"/>
          </w:tcPr>
          <w:p>
            <w:pPr>
              <w:spacing w:line="23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 w:hRule="atLeast"/>
        </w:trPr>
        <w:tc>
          <w:tcPr>
            <w:tcW w:w="2016" w:type="dxa"/>
            <w:vAlign w:val="top"/>
          </w:tcPr>
          <w:p>
            <w:pPr>
              <w:spacing w:line="227" w:lineRule="exact"/>
              <w:rPr>
                <w:rFonts w:hint="eastAsia" w:ascii="宋体" w:hAnsi="宋体" w:eastAsia="宋体" w:cs="宋体"/>
                <w:sz w:val="18"/>
                <w:szCs w:val="18"/>
              </w:rPr>
            </w:pPr>
          </w:p>
        </w:tc>
        <w:tc>
          <w:tcPr>
            <w:tcW w:w="910" w:type="dxa"/>
            <w:vAlign w:val="top"/>
          </w:tcPr>
          <w:p>
            <w:pPr>
              <w:spacing w:line="227" w:lineRule="exact"/>
              <w:rPr>
                <w:rFonts w:hint="eastAsia" w:ascii="宋体" w:hAnsi="宋体" w:eastAsia="宋体" w:cs="宋体"/>
                <w:sz w:val="18"/>
                <w:szCs w:val="18"/>
              </w:rPr>
            </w:pPr>
          </w:p>
        </w:tc>
        <w:tc>
          <w:tcPr>
            <w:tcW w:w="3124" w:type="dxa"/>
            <w:vAlign w:val="top"/>
          </w:tcPr>
          <w:p>
            <w:pPr>
              <w:spacing w:before="40" w:line="186" w:lineRule="auto"/>
              <w:ind w:firstLine="32"/>
              <w:rPr>
                <w:rFonts w:hint="eastAsia" w:ascii="宋体" w:hAnsi="宋体" w:eastAsia="宋体" w:cs="宋体"/>
                <w:sz w:val="18"/>
                <w:szCs w:val="18"/>
              </w:rPr>
            </w:pPr>
            <w:r>
              <w:rPr>
                <w:rFonts w:hint="eastAsia" w:ascii="宋体" w:hAnsi="宋体" w:eastAsia="宋体" w:cs="宋体"/>
                <w:spacing w:val="-3"/>
                <w:sz w:val="18"/>
                <w:szCs w:val="18"/>
              </w:rPr>
              <w:t>四、公共安全支出</w:t>
            </w:r>
          </w:p>
        </w:tc>
        <w:tc>
          <w:tcPr>
            <w:tcW w:w="1084" w:type="dxa"/>
            <w:gridSpan w:val="2"/>
            <w:vAlign w:val="top"/>
          </w:tcPr>
          <w:p>
            <w:pPr>
              <w:spacing w:line="227"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227"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c>
          <w:tcPr>
            <w:tcW w:w="1618" w:type="dxa"/>
            <w:vAlign w:val="top"/>
          </w:tcPr>
          <w:p>
            <w:pPr>
              <w:spacing w:line="227"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c>
          <w:tcPr>
            <w:tcW w:w="2805" w:type="dxa"/>
            <w:vAlign w:val="top"/>
          </w:tcPr>
          <w:p>
            <w:pPr>
              <w:spacing w:line="227"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2016" w:type="dxa"/>
            <w:vAlign w:val="top"/>
          </w:tcPr>
          <w:p>
            <w:pPr>
              <w:spacing w:line="260" w:lineRule="exact"/>
              <w:rPr>
                <w:rFonts w:hint="eastAsia" w:ascii="宋体" w:hAnsi="宋体" w:eastAsia="宋体" w:cs="宋体"/>
                <w:sz w:val="18"/>
                <w:szCs w:val="18"/>
              </w:rPr>
            </w:pPr>
          </w:p>
        </w:tc>
        <w:tc>
          <w:tcPr>
            <w:tcW w:w="910" w:type="dxa"/>
            <w:vAlign w:val="top"/>
          </w:tcPr>
          <w:p>
            <w:pPr>
              <w:spacing w:line="260" w:lineRule="exact"/>
              <w:rPr>
                <w:rFonts w:hint="eastAsia" w:ascii="宋体" w:hAnsi="宋体" w:eastAsia="宋体" w:cs="宋体"/>
                <w:sz w:val="18"/>
                <w:szCs w:val="18"/>
              </w:rPr>
            </w:pPr>
          </w:p>
        </w:tc>
        <w:tc>
          <w:tcPr>
            <w:tcW w:w="3124" w:type="dxa"/>
            <w:vAlign w:val="top"/>
          </w:tcPr>
          <w:p>
            <w:pPr>
              <w:spacing w:before="56" w:line="186" w:lineRule="auto"/>
              <w:ind w:firstLine="19"/>
              <w:rPr>
                <w:rFonts w:hint="eastAsia" w:ascii="宋体" w:hAnsi="宋体" w:eastAsia="宋体" w:cs="宋体"/>
                <w:sz w:val="18"/>
                <w:szCs w:val="18"/>
              </w:rPr>
            </w:pPr>
            <w:r>
              <w:rPr>
                <w:rFonts w:hint="eastAsia" w:ascii="宋体" w:hAnsi="宋体" w:eastAsia="宋体" w:cs="宋体"/>
                <w:spacing w:val="-2"/>
                <w:sz w:val="18"/>
                <w:szCs w:val="18"/>
              </w:rPr>
              <w:t>五、教育支出</w:t>
            </w:r>
          </w:p>
        </w:tc>
        <w:tc>
          <w:tcPr>
            <w:tcW w:w="1084" w:type="dxa"/>
            <w:gridSpan w:val="2"/>
            <w:vAlign w:val="top"/>
          </w:tcPr>
          <w:p>
            <w:pPr>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c>
          <w:tcPr>
            <w:tcW w:w="1618" w:type="dxa"/>
            <w:vAlign w:val="top"/>
          </w:tcPr>
          <w:p>
            <w:pPr>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c>
          <w:tcPr>
            <w:tcW w:w="2805" w:type="dxa"/>
            <w:vAlign w:val="top"/>
          </w:tcPr>
          <w:p>
            <w:pPr>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2016" w:type="dxa"/>
            <w:vAlign w:val="top"/>
          </w:tcPr>
          <w:p>
            <w:pPr>
              <w:spacing w:line="245" w:lineRule="exact"/>
              <w:rPr>
                <w:rFonts w:hint="eastAsia" w:ascii="宋体" w:hAnsi="宋体" w:eastAsia="宋体" w:cs="宋体"/>
                <w:sz w:val="18"/>
                <w:szCs w:val="18"/>
              </w:rPr>
            </w:pPr>
          </w:p>
        </w:tc>
        <w:tc>
          <w:tcPr>
            <w:tcW w:w="910" w:type="dxa"/>
            <w:vAlign w:val="top"/>
          </w:tcPr>
          <w:p>
            <w:pPr>
              <w:spacing w:line="245" w:lineRule="exact"/>
              <w:rPr>
                <w:rFonts w:hint="eastAsia" w:ascii="宋体" w:hAnsi="宋体" w:eastAsia="宋体" w:cs="宋体"/>
                <w:sz w:val="18"/>
                <w:szCs w:val="18"/>
              </w:rPr>
            </w:pPr>
          </w:p>
        </w:tc>
        <w:tc>
          <w:tcPr>
            <w:tcW w:w="3124" w:type="dxa"/>
            <w:vAlign w:val="top"/>
          </w:tcPr>
          <w:p>
            <w:pPr>
              <w:spacing w:before="48" w:line="186" w:lineRule="auto"/>
              <w:ind w:firstLine="18"/>
              <w:rPr>
                <w:rFonts w:hint="eastAsia" w:ascii="宋体" w:hAnsi="宋体" w:eastAsia="宋体" w:cs="宋体"/>
                <w:sz w:val="18"/>
                <w:szCs w:val="18"/>
              </w:rPr>
            </w:pPr>
            <w:r>
              <w:rPr>
                <w:rFonts w:hint="eastAsia" w:ascii="宋体" w:hAnsi="宋体" w:eastAsia="宋体" w:cs="宋体"/>
                <w:spacing w:val="-1"/>
                <w:sz w:val="18"/>
                <w:szCs w:val="18"/>
              </w:rPr>
              <w:t>六、科学技术支出</w:t>
            </w:r>
          </w:p>
        </w:tc>
        <w:tc>
          <w:tcPr>
            <w:tcW w:w="1084" w:type="dxa"/>
            <w:gridSpan w:val="2"/>
            <w:vAlign w:val="top"/>
          </w:tcPr>
          <w:p>
            <w:pPr>
              <w:spacing w:line="24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24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c>
          <w:tcPr>
            <w:tcW w:w="1618" w:type="dxa"/>
            <w:vAlign w:val="top"/>
          </w:tcPr>
          <w:p>
            <w:pPr>
              <w:spacing w:line="24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c>
          <w:tcPr>
            <w:tcW w:w="2805" w:type="dxa"/>
            <w:vAlign w:val="top"/>
          </w:tcPr>
          <w:p>
            <w:pPr>
              <w:spacing w:line="24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2016" w:type="dxa"/>
            <w:vAlign w:val="top"/>
          </w:tcPr>
          <w:p>
            <w:pPr>
              <w:spacing w:line="230" w:lineRule="exact"/>
              <w:rPr>
                <w:rFonts w:hint="eastAsia" w:ascii="宋体" w:hAnsi="宋体" w:eastAsia="宋体" w:cs="宋体"/>
                <w:sz w:val="18"/>
                <w:szCs w:val="18"/>
              </w:rPr>
            </w:pPr>
          </w:p>
        </w:tc>
        <w:tc>
          <w:tcPr>
            <w:tcW w:w="910" w:type="dxa"/>
            <w:vAlign w:val="top"/>
          </w:tcPr>
          <w:p>
            <w:pPr>
              <w:spacing w:line="230" w:lineRule="exact"/>
              <w:rPr>
                <w:rFonts w:hint="eastAsia" w:ascii="宋体" w:hAnsi="宋体" w:eastAsia="宋体" w:cs="宋体"/>
                <w:sz w:val="18"/>
                <w:szCs w:val="18"/>
              </w:rPr>
            </w:pPr>
          </w:p>
        </w:tc>
        <w:tc>
          <w:tcPr>
            <w:tcW w:w="3124" w:type="dxa"/>
            <w:vAlign w:val="top"/>
          </w:tcPr>
          <w:p>
            <w:pPr>
              <w:spacing w:before="40" w:line="186" w:lineRule="auto"/>
              <w:ind w:firstLine="16"/>
              <w:rPr>
                <w:rFonts w:hint="eastAsia" w:ascii="宋体" w:hAnsi="宋体" w:eastAsia="宋体" w:cs="宋体"/>
                <w:sz w:val="18"/>
                <w:szCs w:val="18"/>
              </w:rPr>
            </w:pPr>
            <w:r>
              <w:rPr>
                <w:rFonts w:hint="eastAsia" w:ascii="宋体" w:hAnsi="宋体" w:eastAsia="宋体" w:cs="宋体"/>
                <w:spacing w:val="-1"/>
                <w:sz w:val="18"/>
                <w:szCs w:val="18"/>
              </w:rPr>
              <w:t>七、文化旅游体育与传媒支出</w:t>
            </w:r>
          </w:p>
        </w:tc>
        <w:tc>
          <w:tcPr>
            <w:tcW w:w="1084" w:type="dxa"/>
            <w:gridSpan w:val="2"/>
            <w:vAlign w:val="top"/>
          </w:tcPr>
          <w:p>
            <w:pPr>
              <w:spacing w:line="23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23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c>
          <w:tcPr>
            <w:tcW w:w="1618" w:type="dxa"/>
            <w:vAlign w:val="top"/>
          </w:tcPr>
          <w:p>
            <w:pPr>
              <w:spacing w:line="23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c>
          <w:tcPr>
            <w:tcW w:w="2805" w:type="dxa"/>
            <w:vAlign w:val="top"/>
          </w:tcPr>
          <w:p>
            <w:pPr>
              <w:spacing w:line="23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016" w:type="dxa"/>
            <w:vAlign w:val="top"/>
          </w:tcPr>
          <w:p>
            <w:pPr>
              <w:spacing w:line="320" w:lineRule="exact"/>
              <w:rPr>
                <w:rFonts w:hint="eastAsia" w:ascii="宋体" w:hAnsi="宋体" w:eastAsia="宋体" w:cs="宋体"/>
                <w:sz w:val="18"/>
                <w:szCs w:val="18"/>
              </w:rPr>
            </w:pPr>
          </w:p>
        </w:tc>
        <w:tc>
          <w:tcPr>
            <w:tcW w:w="910" w:type="dxa"/>
            <w:vAlign w:val="top"/>
          </w:tcPr>
          <w:p>
            <w:pPr>
              <w:spacing w:line="320" w:lineRule="exact"/>
              <w:rPr>
                <w:rFonts w:hint="eastAsia" w:ascii="宋体" w:hAnsi="宋体" w:eastAsia="宋体" w:cs="宋体"/>
                <w:sz w:val="18"/>
                <w:szCs w:val="18"/>
              </w:rPr>
            </w:pPr>
          </w:p>
        </w:tc>
        <w:tc>
          <w:tcPr>
            <w:tcW w:w="3124" w:type="dxa"/>
            <w:vAlign w:val="top"/>
          </w:tcPr>
          <w:p>
            <w:pPr>
              <w:spacing w:before="85" w:line="186" w:lineRule="auto"/>
              <w:ind w:firstLine="19"/>
              <w:rPr>
                <w:rFonts w:hint="eastAsia" w:ascii="宋体" w:hAnsi="宋体" w:eastAsia="宋体" w:cs="宋体"/>
                <w:sz w:val="18"/>
                <w:szCs w:val="18"/>
              </w:rPr>
            </w:pPr>
            <w:r>
              <w:rPr>
                <w:rFonts w:hint="eastAsia" w:ascii="宋体" w:hAnsi="宋体" w:eastAsia="宋体" w:cs="宋体"/>
                <w:spacing w:val="-1"/>
                <w:sz w:val="18"/>
                <w:szCs w:val="18"/>
              </w:rPr>
              <w:t>八、社会保障和就业支出</w:t>
            </w:r>
          </w:p>
        </w:tc>
        <w:tc>
          <w:tcPr>
            <w:tcW w:w="1084" w:type="dxa"/>
            <w:gridSpan w:val="2"/>
            <w:vAlign w:val="top"/>
          </w:tcPr>
          <w:p>
            <w:pPr>
              <w:spacing w:before="111" w:line="180" w:lineRule="auto"/>
              <w:ind w:firstLine="229"/>
              <w:jc w:val="center"/>
              <w:rPr>
                <w:rFonts w:hint="eastAsia" w:ascii="宋体" w:hAnsi="宋体" w:eastAsia="宋体" w:cs="宋体"/>
                <w:sz w:val="18"/>
                <w:szCs w:val="18"/>
              </w:rPr>
            </w:pPr>
            <w:r>
              <w:rPr>
                <w:rFonts w:hint="eastAsia" w:ascii="宋体" w:hAnsi="宋体" w:eastAsia="宋体" w:cs="宋体"/>
                <w:spacing w:val="-3"/>
                <w:sz w:val="18"/>
                <w:szCs w:val="18"/>
              </w:rPr>
              <w:t>125.53</w:t>
            </w:r>
          </w:p>
        </w:tc>
        <w:tc>
          <w:tcPr>
            <w:tcW w:w="1343" w:type="dxa"/>
            <w:vAlign w:val="top"/>
          </w:tcPr>
          <w:p>
            <w:pPr>
              <w:spacing w:before="111" w:line="180" w:lineRule="auto"/>
              <w:ind w:firstLine="447"/>
              <w:jc w:val="both"/>
              <w:rPr>
                <w:rFonts w:hint="eastAsia" w:ascii="宋体" w:hAnsi="宋体" w:eastAsia="宋体" w:cs="宋体"/>
                <w:sz w:val="18"/>
                <w:szCs w:val="18"/>
              </w:rPr>
            </w:pPr>
            <w:r>
              <w:rPr>
                <w:rFonts w:hint="eastAsia" w:ascii="宋体" w:hAnsi="宋体" w:eastAsia="宋体" w:cs="宋体"/>
                <w:spacing w:val="-3"/>
                <w:sz w:val="18"/>
                <w:szCs w:val="18"/>
              </w:rPr>
              <w:t>125.53</w:t>
            </w:r>
          </w:p>
        </w:tc>
        <w:tc>
          <w:tcPr>
            <w:tcW w:w="1618" w:type="dxa"/>
            <w:vAlign w:val="top"/>
          </w:tcPr>
          <w:p>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016" w:type="dxa"/>
            <w:vAlign w:val="top"/>
          </w:tcPr>
          <w:p>
            <w:pPr>
              <w:spacing w:line="240" w:lineRule="exact"/>
              <w:rPr>
                <w:rFonts w:hint="eastAsia" w:ascii="宋体" w:hAnsi="宋体" w:eastAsia="宋体" w:cs="宋体"/>
                <w:sz w:val="18"/>
                <w:szCs w:val="18"/>
              </w:rPr>
            </w:pPr>
          </w:p>
        </w:tc>
        <w:tc>
          <w:tcPr>
            <w:tcW w:w="910" w:type="dxa"/>
            <w:vAlign w:val="top"/>
          </w:tcPr>
          <w:p>
            <w:pPr>
              <w:spacing w:line="240" w:lineRule="exact"/>
              <w:rPr>
                <w:rFonts w:hint="eastAsia" w:ascii="宋体" w:hAnsi="宋体" w:eastAsia="宋体" w:cs="宋体"/>
                <w:sz w:val="18"/>
                <w:szCs w:val="18"/>
              </w:rPr>
            </w:pPr>
          </w:p>
        </w:tc>
        <w:tc>
          <w:tcPr>
            <w:tcW w:w="3124" w:type="dxa"/>
            <w:vAlign w:val="top"/>
          </w:tcPr>
          <w:p>
            <w:pPr>
              <w:spacing w:before="46" w:line="186" w:lineRule="auto"/>
              <w:ind w:firstLine="20"/>
              <w:rPr>
                <w:rFonts w:hint="eastAsia" w:ascii="宋体" w:hAnsi="宋体" w:eastAsia="宋体" w:cs="宋体"/>
                <w:sz w:val="18"/>
                <w:szCs w:val="18"/>
              </w:rPr>
            </w:pPr>
            <w:r>
              <w:rPr>
                <w:rFonts w:hint="eastAsia" w:ascii="宋体" w:hAnsi="宋体" w:eastAsia="宋体" w:cs="宋体"/>
                <w:spacing w:val="-2"/>
                <w:sz w:val="18"/>
                <w:szCs w:val="18"/>
              </w:rPr>
              <w:t>九、卫生健康支出</w:t>
            </w:r>
          </w:p>
        </w:tc>
        <w:tc>
          <w:tcPr>
            <w:tcW w:w="1084" w:type="dxa"/>
            <w:gridSpan w:val="2"/>
            <w:vAlign w:val="top"/>
          </w:tcPr>
          <w:p>
            <w:pPr>
              <w:spacing w:before="72" w:line="180" w:lineRule="auto"/>
              <w:ind w:firstLine="260"/>
              <w:jc w:val="center"/>
              <w:rPr>
                <w:rFonts w:hint="eastAsia" w:ascii="宋体" w:hAnsi="宋体" w:eastAsia="宋体" w:cs="宋体"/>
                <w:sz w:val="18"/>
                <w:szCs w:val="18"/>
              </w:rPr>
            </w:pPr>
            <w:r>
              <w:rPr>
                <w:rFonts w:hint="eastAsia" w:ascii="宋体" w:hAnsi="宋体" w:eastAsia="宋体" w:cs="宋体"/>
                <w:spacing w:val="-2"/>
                <w:sz w:val="18"/>
                <w:szCs w:val="18"/>
              </w:rPr>
              <w:t>65.52</w:t>
            </w:r>
          </w:p>
        </w:tc>
        <w:tc>
          <w:tcPr>
            <w:tcW w:w="1343" w:type="dxa"/>
            <w:vAlign w:val="top"/>
          </w:tcPr>
          <w:p>
            <w:pPr>
              <w:spacing w:before="72" w:line="180" w:lineRule="auto"/>
              <w:ind w:firstLine="475"/>
              <w:jc w:val="both"/>
              <w:rPr>
                <w:rFonts w:hint="eastAsia" w:ascii="宋体" w:hAnsi="宋体" w:eastAsia="宋体" w:cs="宋体"/>
                <w:sz w:val="18"/>
                <w:szCs w:val="18"/>
              </w:rPr>
            </w:pPr>
            <w:r>
              <w:rPr>
                <w:rFonts w:hint="eastAsia" w:ascii="宋体" w:hAnsi="宋体" w:eastAsia="宋体" w:cs="宋体"/>
                <w:spacing w:val="-2"/>
                <w:sz w:val="18"/>
                <w:szCs w:val="18"/>
              </w:rPr>
              <w:t>65.52</w:t>
            </w:r>
          </w:p>
        </w:tc>
        <w:tc>
          <w:tcPr>
            <w:tcW w:w="1618" w:type="dxa"/>
            <w:vAlign w:val="top"/>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016" w:type="dxa"/>
            <w:vAlign w:val="top"/>
          </w:tcPr>
          <w:p>
            <w:pPr>
              <w:spacing w:line="320" w:lineRule="exact"/>
              <w:rPr>
                <w:rFonts w:hint="eastAsia" w:ascii="宋体" w:hAnsi="宋体" w:eastAsia="宋体" w:cs="宋体"/>
                <w:sz w:val="18"/>
                <w:szCs w:val="18"/>
              </w:rPr>
            </w:pPr>
          </w:p>
        </w:tc>
        <w:tc>
          <w:tcPr>
            <w:tcW w:w="910" w:type="dxa"/>
            <w:vAlign w:val="top"/>
          </w:tcPr>
          <w:p>
            <w:pPr>
              <w:spacing w:line="320" w:lineRule="exact"/>
              <w:rPr>
                <w:rFonts w:hint="eastAsia" w:ascii="宋体" w:hAnsi="宋体" w:eastAsia="宋体" w:cs="宋体"/>
                <w:sz w:val="18"/>
                <w:szCs w:val="18"/>
              </w:rPr>
            </w:pPr>
          </w:p>
        </w:tc>
        <w:tc>
          <w:tcPr>
            <w:tcW w:w="3124" w:type="dxa"/>
            <w:vAlign w:val="top"/>
          </w:tcPr>
          <w:p>
            <w:pPr>
              <w:spacing w:before="87" w:line="186" w:lineRule="auto"/>
              <w:ind w:firstLine="17"/>
              <w:rPr>
                <w:rFonts w:hint="eastAsia" w:ascii="宋体" w:hAnsi="宋体" w:eastAsia="宋体" w:cs="宋体"/>
                <w:sz w:val="18"/>
                <w:szCs w:val="18"/>
              </w:rPr>
            </w:pPr>
            <w:r>
              <w:rPr>
                <w:rFonts w:hint="eastAsia" w:ascii="宋体" w:hAnsi="宋体" w:eastAsia="宋体" w:cs="宋体"/>
                <w:spacing w:val="-1"/>
                <w:sz w:val="18"/>
                <w:szCs w:val="18"/>
              </w:rPr>
              <w:t>十、节能环保支出</w:t>
            </w:r>
          </w:p>
        </w:tc>
        <w:tc>
          <w:tcPr>
            <w:tcW w:w="1084" w:type="dxa"/>
            <w:gridSpan w:val="2"/>
            <w:vAlign w:val="top"/>
          </w:tcPr>
          <w:p>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32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c>
          <w:tcPr>
            <w:tcW w:w="1618" w:type="dxa"/>
            <w:vAlign w:val="top"/>
          </w:tcPr>
          <w:p>
            <w:pPr>
              <w:spacing w:line="32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32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2016" w:type="dxa"/>
            <w:vAlign w:val="top"/>
          </w:tcPr>
          <w:p>
            <w:pPr>
              <w:spacing w:line="260" w:lineRule="exact"/>
              <w:rPr>
                <w:rFonts w:hint="eastAsia" w:ascii="宋体" w:hAnsi="宋体" w:eastAsia="宋体" w:cs="宋体"/>
                <w:sz w:val="18"/>
                <w:szCs w:val="18"/>
              </w:rPr>
            </w:pPr>
          </w:p>
        </w:tc>
        <w:tc>
          <w:tcPr>
            <w:tcW w:w="910" w:type="dxa"/>
            <w:vAlign w:val="top"/>
          </w:tcPr>
          <w:p>
            <w:pPr>
              <w:spacing w:line="260" w:lineRule="exact"/>
              <w:rPr>
                <w:rFonts w:hint="eastAsia" w:ascii="宋体" w:hAnsi="宋体" w:eastAsia="宋体" w:cs="宋体"/>
                <w:sz w:val="18"/>
                <w:szCs w:val="18"/>
              </w:rPr>
            </w:pPr>
          </w:p>
        </w:tc>
        <w:tc>
          <w:tcPr>
            <w:tcW w:w="3124" w:type="dxa"/>
            <w:vAlign w:val="top"/>
          </w:tcPr>
          <w:p>
            <w:pPr>
              <w:spacing w:before="57" w:line="186" w:lineRule="auto"/>
              <w:ind w:firstLine="17"/>
              <w:rPr>
                <w:rFonts w:hint="eastAsia" w:ascii="宋体" w:hAnsi="宋体" w:eastAsia="宋体" w:cs="宋体"/>
                <w:sz w:val="18"/>
                <w:szCs w:val="18"/>
              </w:rPr>
            </w:pPr>
            <w:r>
              <w:rPr>
                <w:rFonts w:hint="eastAsia" w:ascii="宋体" w:hAnsi="宋体" w:eastAsia="宋体" w:cs="宋体"/>
                <w:spacing w:val="-1"/>
                <w:sz w:val="18"/>
                <w:szCs w:val="18"/>
              </w:rPr>
              <w:t>十一、城乡社区支出</w:t>
            </w:r>
          </w:p>
        </w:tc>
        <w:tc>
          <w:tcPr>
            <w:tcW w:w="1084" w:type="dxa"/>
            <w:gridSpan w:val="2"/>
            <w:vAlign w:val="top"/>
          </w:tcPr>
          <w:p>
            <w:pPr>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26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c>
          <w:tcPr>
            <w:tcW w:w="1618" w:type="dxa"/>
            <w:vAlign w:val="top"/>
          </w:tcPr>
          <w:p>
            <w:pPr>
              <w:spacing w:line="26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26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2016" w:type="dxa"/>
            <w:vAlign w:val="top"/>
          </w:tcPr>
          <w:p>
            <w:pPr>
              <w:spacing w:line="260" w:lineRule="exact"/>
              <w:rPr>
                <w:rFonts w:hint="eastAsia" w:ascii="宋体" w:hAnsi="宋体" w:eastAsia="宋体" w:cs="宋体"/>
                <w:sz w:val="18"/>
                <w:szCs w:val="18"/>
              </w:rPr>
            </w:pPr>
          </w:p>
        </w:tc>
        <w:tc>
          <w:tcPr>
            <w:tcW w:w="910" w:type="dxa"/>
            <w:vAlign w:val="top"/>
          </w:tcPr>
          <w:p>
            <w:pPr>
              <w:spacing w:line="260" w:lineRule="exact"/>
              <w:rPr>
                <w:rFonts w:hint="eastAsia" w:ascii="宋体" w:hAnsi="宋体" w:eastAsia="宋体" w:cs="宋体"/>
                <w:sz w:val="18"/>
                <w:szCs w:val="18"/>
              </w:rPr>
            </w:pPr>
          </w:p>
        </w:tc>
        <w:tc>
          <w:tcPr>
            <w:tcW w:w="3124" w:type="dxa"/>
            <w:vAlign w:val="top"/>
          </w:tcPr>
          <w:p>
            <w:pPr>
              <w:spacing w:before="56" w:line="186" w:lineRule="auto"/>
              <w:ind w:firstLine="17"/>
              <w:rPr>
                <w:rFonts w:hint="eastAsia" w:ascii="宋体" w:hAnsi="宋体" w:eastAsia="宋体" w:cs="宋体"/>
                <w:sz w:val="18"/>
                <w:szCs w:val="18"/>
              </w:rPr>
            </w:pPr>
            <w:r>
              <w:rPr>
                <w:rFonts w:hint="eastAsia" w:ascii="宋体" w:hAnsi="宋体" w:eastAsia="宋体" w:cs="宋体"/>
                <w:spacing w:val="-1"/>
                <w:sz w:val="18"/>
                <w:szCs w:val="18"/>
              </w:rPr>
              <w:t>十二、农林水支出</w:t>
            </w:r>
          </w:p>
        </w:tc>
        <w:tc>
          <w:tcPr>
            <w:tcW w:w="1084" w:type="dxa"/>
            <w:gridSpan w:val="2"/>
            <w:vAlign w:val="top"/>
          </w:tcPr>
          <w:p>
            <w:pPr>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26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c>
          <w:tcPr>
            <w:tcW w:w="1618" w:type="dxa"/>
            <w:vAlign w:val="top"/>
          </w:tcPr>
          <w:p>
            <w:pPr>
              <w:spacing w:line="26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26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016" w:type="dxa"/>
            <w:vAlign w:val="top"/>
          </w:tcPr>
          <w:p>
            <w:pPr>
              <w:spacing w:line="277" w:lineRule="exact"/>
              <w:rPr>
                <w:rFonts w:hint="eastAsia" w:ascii="宋体" w:hAnsi="宋体" w:eastAsia="宋体" w:cs="宋体"/>
                <w:sz w:val="18"/>
                <w:szCs w:val="18"/>
              </w:rPr>
            </w:pPr>
          </w:p>
        </w:tc>
        <w:tc>
          <w:tcPr>
            <w:tcW w:w="910" w:type="dxa"/>
            <w:vAlign w:val="top"/>
          </w:tcPr>
          <w:p>
            <w:pPr>
              <w:spacing w:line="277" w:lineRule="exact"/>
              <w:rPr>
                <w:rFonts w:hint="eastAsia" w:ascii="宋体" w:hAnsi="宋体" w:eastAsia="宋体" w:cs="宋体"/>
                <w:sz w:val="18"/>
                <w:szCs w:val="18"/>
              </w:rPr>
            </w:pPr>
          </w:p>
        </w:tc>
        <w:tc>
          <w:tcPr>
            <w:tcW w:w="3124" w:type="dxa"/>
            <w:vAlign w:val="top"/>
          </w:tcPr>
          <w:p>
            <w:pPr>
              <w:spacing w:before="64" w:line="186" w:lineRule="auto"/>
              <w:ind w:firstLine="17"/>
              <w:rPr>
                <w:rFonts w:hint="eastAsia" w:ascii="宋体" w:hAnsi="宋体" w:eastAsia="宋体" w:cs="宋体"/>
                <w:sz w:val="18"/>
                <w:szCs w:val="18"/>
              </w:rPr>
            </w:pPr>
            <w:r>
              <w:rPr>
                <w:rFonts w:hint="eastAsia" w:ascii="宋体" w:hAnsi="宋体" w:eastAsia="宋体" w:cs="宋体"/>
                <w:spacing w:val="-1"/>
                <w:sz w:val="18"/>
                <w:szCs w:val="18"/>
              </w:rPr>
              <w:t>十三、交通运输支出</w:t>
            </w:r>
          </w:p>
        </w:tc>
        <w:tc>
          <w:tcPr>
            <w:tcW w:w="1084" w:type="dxa"/>
            <w:gridSpan w:val="2"/>
            <w:vAlign w:val="top"/>
          </w:tcPr>
          <w:p>
            <w:pPr>
              <w:spacing w:before="90" w:line="180" w:lineRule="auto"/>
              <w:ind w:firstLine="189"/>
              <w:jc w:val="center"/>
              <w:rPr>
                <w:rFonts w:hint="eastAsia" w:ascii="宋体" w:hAnsi="宋体" w:eastAsia="宋体" w:cs="宋体"/>
                <w:sz w:val="18"/>
                <w:szCs w:val="18"/>
              </w:rPr>
            </w:pPr>
            <w:r>
              <w:rPr>
                <w:rFonts w:hint="eastAsia" w:ascii="宋体" w:hAnsi="宋体" w:eastAsia="宋体" w:cs="宋体"/>
                <w:spacing w:val="-3"/>
                <w:sz w:val="18"/>
                <w:szCs w:val="18"/>
              </w:rPr>
              <w:t>1126.43</w:t>
            </w:r>
          </w:p>
        </w:tc>
        <w:tc>
          <w:tcPr>
            <w:tcW w:w="1343" w:type="dxa"/>
            <w:vAlign w:val="top"/>
          </w:tcPr>
          <w:p>
            <w:pPr>
              <w:spacing w:before="90" w:line="180" w:lineRule="auto"/>
              <w:ind w:firstLine="407"/>
              <w:jc w:val="both"/>
              <w:rPr>
                <w:rFonts w:hint="eastAsia" w:ascii="宋体" w:hAnsi="宋体" w:eastAsia="宋体" w:cs="宋体"/>
                <w:sz w:val="18"/>
                <w:szCs w:val="18"/>
              </w:rPr>
            </w:pPr>
            <w:r>
              <w:rPr>
                <w:rFonts w:hint="eastAsia" w:ascii="宋体" w:hAnsi="宋体" w:eastAsia="宋体" w:cs="宋体"/>
                <w:spacing w:val="-3"/>
                <w:sz w:val="18"/>
                <w:szCs w:val="18"/>
              </w:rPr>
              <w:t>1126.43</w:t>
            </w:r>
          </w:p>
        </w:tc>
        <w:tc>
          <w:tcPr>
            <w:tcW w:w="1618" w:type="dxa"/>
            <w:vAlign w:val="top"/>
          </w:tcPr>
          <w:p>
            <w:pPr>
              <w:spacing w:line="277"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277"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2016" w:type="dxa"/>
            <w:vAlign w:val="top"/>
          </w:tcPr>
          <w:p>
            <w:pPr>
              <w:spacing w:line="245" w:lineRule="exact"/>
              <w:rPr>
                <w:rFonts w:hint="eastAsia" w:ascii="宋体" w:hAnsi="宋体" w:eastAsia="宋体" w:cs="宋体"/>
                <w:sz w:val="18"/>
                <w:szCs w:val="18"/>
              </w:rPr>
            </w:pPr>
          </w:p>
        </w:tc>
        <w:tc>
          <w:tcPr>
            <w:tcW w:w="910" w:type="dxa"/>
            <w:vAlign w:val="top"/>
          </w:tcPr>
          <w:p>
            <w:pPr>
              <w:spacing w:line="245" w:lineRule="exact"/>
              <w:rPr>
                <w:rFonts w:hint="eastAsia" w:ascii="宋体" w:hAnsi="宋体" w:eastAsia="宋体" w:cs="宋体"/>
                <w:sz w:val="18"/>
                <w:szCs w:val="18"/>
              </w:rPr>
            </w:pPr>
          </w:p>
        </w:tc>
        <w:tc>
          <w:tcPr>
            <w:tcW w:w="3124" w:type="dxa"/>
            <w:vAlign w:val="top"/>
          </w:tcPr>
          <w:p>
            <w:pPr>
              <w:spacing w:before="49" w:line="186" w:lineRule="auto"/>
              <w:ind w:firstLine="17"/>
              <w:rPr>
                <w:rFonts w:hint="eastAsia" w:ascii="宋体" w:hAnsi="宋体" w:eastAsia="宋体" w:cs="宋体"/>
                <w:sz w:val="18"/>
                <w:szCs w:val="18"/>
              </w:rPr>
            </w:pPr>
            <w:r>
              <w:rPr>
                <w:rFonts w:hint="eastAsia" w:ascii="宋体" w:hAnsi="宋体" w:eastAsia="宋体" w:cs="宋体"/>
                <w:spacing w:val="-1"/>
                <w:sz w:val="18"/>
                <w:szCs w:val="18"/>
              </w:rPr>
              <w:t>十四、资源勘探信息等支出</w:t>
            </w:r>
          </w:p>
        </w:tc>
        <w:tc>
          <w:tcPr>
            <w:tcW w:w="1084" w:type="dxa"/>
            <w:gridSpan w:val="2"/>
            <w:vAlign w:val="top"/>
          </w:tcPr>
          <w:p>
            <w:pPr>
              <w:spacing w:line="24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24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618" w:type="dxa"/>
            <w:vAlign w:val="top"/>
          </w:tcPr>
          <w:p>
            <w:pPr>
              <w:spacing w:line="24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245"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016" w:type="dxa"/>
            <w:vAlign w:val="top"/>
          </w:tcPr>
          <w:p>
            <w:pPr>
              <w:spacing w:line="280" w:lineRule="exact"/>
              <w:rPr>
                <w:rFonts w:hint="eastAsia" w:ascii="宋体" w:hAnsi="宋体" w:eastAsia="宋体" w:cs="宋体"/>
                <w:sz w:val="18"/>
                <w:szCs w:val="18"/>
              </w:rPr>
            </w:pPr>
          </w:p>
        </w:tc>
        <w:tc>
          <w:tcPr>
            <w:tcW w:w="910" w:type="dxa"/>
            <w:vAlign w:val="top"/>
          </w:tcPr>
          <w:p>
            <w:pPr>
              <w:spacing w:line="280" w:lineRule="exact"/>
              <w:rPr>
                <w:rFonts w:hint="eastAsia" w:ascii="宋体" w:hAnsi="宋体" w:eastAsia="宋体" w:cs="宋体"/>
                <w:sz w:val="18"/>
                <w:szCs w:val="18"/>
              </w:rPr>
            </w:pPr>
          </w:p>
        </w:tc>
        <w:tc>
          <w:tcPr>
            <w:tcW w:w="3124" w:type="dxa"/>
            <w:vAlign w:val="top"/>
          </w:tcPr>
          <w:p>
            <w:pPr>
              <w:spacing w:before="67" w:line="186" w:lineRule="auto"/>
              <w:ind w:firstLine="17"/>
              <w:rPr>
                <w:rFonts w:hint="eastAsia" w:ascii="宋体" w:hAnsi="宋体" w:eastAsia="宋体" w:cs="宋体"/>
                <w:sz w:val="18"/>
                <w:szCs w:val="18"/>
              </w:rPr>
            </w:pPr>
            <w:r>
              <w:rPr>
                <w:rFonts w:hint="eastAsia" w:ascii="宋体" w:hAnsi="宋体" w:eastAsia="宋体" w:cs="宋体"/>
                <w:spacing w:val="-1"/>
                <w:sz w:val="18"/>
                <w:szCs w:val="18"/>
              </w:rPr>
              <w:t>十五、商业服务业等支出</w:t>
            </w:r>
          </w:p>
        </w:tc>
        <w:tc>
          <w:tcPr>
            <w:tcW w:w="1084" w:type="dxa"/>
            <w:gridSpan w:val="2"/>
            <w:vAlign w:val="top"/>
          </w:tcPr>
          <w:p>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618" w:type="dxa"/>
            <w:vAlign w:val="top"/>
          </w:tcPr>
          <w:p>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28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2016" w:type="dxa"/>
            <w:vAlign w:val="top"/>
          </w:tcPr>
          <w:p>
            <w:pPr>
              <w:spacing w:line="230" w:lineRule="exact"/>
              <w:rPr>
                <w:rFonts w:hint="eastAsia" w:ascii="宋体" w:hAnsi="宋体" w:eastAsia="宋体" w:cs="宋体"/>
                <w:sz w:val="18"/>
                <w:szCs w:val="18"/>
              </w:rPr>
            </w:pPr>
          </w:p>
        </w:tc>
        <w:tc>
          <w:tcPr>
            <w:tcW w:w="910" w:type="dxa"/>
            <w:vAlign w:val="top"/>
          </w:tcPr>
          <w:p>
            <w:pPr>
              <w:spacing w:line="230" w:lineRule="exact"/>
              <w:rPr>
                <w:rFonts w:hint="eastAsia" w:ascii="宋体" w:hAnsi="宋体" w:eastAsia="宋体" w:cs="宋体"/>
                <w:sz w:val="18"/>
                <w:szCs w:val="18"/>
              </w:rPr>
            </w:pPr>
          </w:p>
        </w:tc>
        <w:tc>
          <w:tcPr>
            <w:tcW w:w="3124" w:type="dxa"/>
            <w:vAlign w:val="top"/>
          </w:tcPr>
          <w:p>
            <w:pPr>
              <w:spacing w:before="41" w:line="186" w:lineRule="auto"/>
              <w:ind w:firstLine="17"/>
              <w:rPr>
                <w:rFonts w:hint="eastAsia" w:ascii="宋体" w:hAnsi="宋体" w:eastAsia="宋体" w:cs="宋体"/>
                <w:sz w:val="18"/>
                <w:szCs w:val="18"/>
              </w:rPr>
            </w:pPr>
            <w:r>
              <w:rPr>
                <w:rFonts w:hint="eastAsia" w:ascii="宋体" w:hAnsi="宋体" w:eastAsia="宋体" w:cs="宋体"/>
                <w:spacing w:val="-1"/>
                <w:sz w:val="18"/>
                <w:szCs w:val="18"/>
              </w:rPr>
              <w:t>十六、金融支出</w:t>
            </w:r>
          </w:p>
        </w:tc>
        <w:tc>
          <w:tcPr>
            <w:tcW w:w="1084" w:type="dxa"/>
            <w:gridSpan w:val="2"/>
            <w:vAlign w:val="top"/>
          </w:tcPr>
          <w:p>
            <w:pPr>
              <w:spacing w:line="23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23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618" w:type="dxa"/>
            <w:vAlign w:val="top"/>
          </w:tcPr>
          <w:p>
            <w:pPr>
              <w:spacing w:line="23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23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2016" w:type="dxa"/>
            <w:vAlign w:val="top"/>
          </w:tcPr>
          <w:p>
            <w:pPr>
              <w:spacing w:line="300" w:lineRule="exact"/>
              <w:rPr>
                <w:rFonts w:hint="eastAsia" w:ascii="宋体" w:hAnsi="宋体" w:eastAsia="宋体" w:cs="宋体"/>
                <w:sz w:val="18"/>
                <w:szCs w:val="18"/>
              </w:rPr>
            </w:pPr>
          </w:p>
        </w:tc>
        <w:tc>
          <w:tcPr>
            <w:tcW w:w="910" w:type="dxa"/>
            <w:vAlign w:val="top"/>
          </w:tcPr>
          <w:p>
            <w:pPr>
              <w:spacing w:line="300" w:lineRule="exact"/>
              <w:rPr>
                <w:rFonts w:hint="eastAsia" w:ascii="宋体" w:hAnsi="宋体" w:eastAsia="宋体" w:cs="宋体"/>
                <w:sz w:val="18"/>
                <w:szCs w:val="18"/>
              </w:rPr>
            </w:pPr>
          </w:p>
        </w:tc>
        <w:tc>
          <w:tcPr>
            <w:tcW w:w="3124" w:type="dxa"/>
            <w:vAlign w:val="top"/>
          </w:tcPr>
          <w:p>
            <w:pPr>
              <w:spacing w:before="75" w:line="186" w:lineRule="auto"/>
              <w:ind w:firstLine="17"/>
              <w:rPr>
                <w:rFonts w:hint="eastAsia" w:ascii="宋体" w:hAnsi="宋体" w:eastAsia="宋体" w:cs="宋体"/>
                <w:sz w:val="18"/>
                <w:szCs w:val="18"/>
              </w:rPr>
            </w:pPr>
            <w:r>
              <w:rPr>
                <w:rFonts w:hint="eastAsia" w:ascii="宋体" w:hAnsi="宋体" w:eastAsia="宋体" w:cs="宋体"/>
                <w:spacing w:val="-1"/>
                <w:sz w:val="18"/>
                <w:szCs w:val="18"/>
              </w:rPr>
              <w:t>十七、援助其他地区支出</w:t>
            </w:r>
          </w:p>
        </w:tc>
        <w:tc>
          <w:tcPr>
            <w:tcW w:w="1084" w:type="dxa"/>
            <w:gridSpan w:val="2"/>
            <w:vAlign w:val="top"/>
          </w:tcPr>
          <w:p>
            <w:pPr>
              <w:spacing w:line="3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3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618" w:type="dxa"/>
            <w:vAlign w:val="top"/>
          </w:tcPr>
          <w:p>
            <w:pPr>
              <w:spacing w:line="3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30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016" w:type="dxa"/>
            <w:vAlign w:val="top"/>
          </w:tcPr>
          <w:p>
            <w:pPr>
              <w:spacing w:line="320" w:lineRule="exact"/>
              <w:rPr>
                <w:rFonts w:hint="eastAsia" w:ascii="宋体" w:hAnsi="宋体" w:eastAsia="宋体" w:cs="宋体"/>
                <w:sz w:val="18"/>
                <w:szCs w:val="18"/>
              </w:rPr>
            </w:pPr>
          </w:p>
        </w:tc>
        <w:tc>
          <w:tcPr>
            <w:tcW w:w="910" w:type="dxa"/>
            <w:vAlign w:val="top"/>
          </w:tcPr>
          <w:p>
            <w:pPr>
              <w:spacing w:line="320" w:lineRule="exact"/>
              <w:rPr>
                <w:rFonts w:hint="eastAsia" w:ascii="宋体" w:hAnsi="宋体" w:eastAsia="宋体" w:cs="宋体"/>
                <w:sz w:val="18"/>
                <w:szCs w:val="18"/>
              </w:rPr>
            </w:pPr>
          </w:p>
        </w:tc>
        <w:tc>
          <w:tcPr>
            <w:tcW w:w="3124" w:type="dxa"/>
            <w:vAlign w:val="top"/>
          </w:tcPr>
          <w:p>
            <w:pPr>
              <w:spacing w:before="86" w:line="186" w:lineRule="auto"/>
              <w:ind w:firstLine="17"/>
              <w:rPr>
                <w:rFonts w:hint="eastAsia" w:ascii="宋体" w:hAnsi="宋体" w:eastAsia="宋体" w:cs="宋体"/>
                <w:sz w:val="18"/>
                <w:szCs w:val="18"/>
              </w:rPr>
            </w:pPr>
            <w:r>
              <w:rPr>
                <w:rFonts w:hint="eastAsia" w:ascii="宋体" w:hAnsi="宋体" w:eastAsia="宋体" w:cs="宋体"/>
                <w:spacing w:val="-3"/>
                <w:sz w:val="18"/>
                <w:szCs w:val="18"/>
              </w:rPr>
              <w:t>十八、</w:t>
            </w:r>
            <w:r>
              <w:rPr>
                <w:rFonts w:hint="eastAsia" w:ascii="宋体" w:hAnsi="宋体" w:eastAsia="宋体" w:cs="宋体"/>
                <w:spacing w:val="-44"/>
                <w:sz w:val="18"/>
                <w:szCs w:val="18"/>
              </w:rPr>
              <w:t xml:space="preserve"> </w:t>
            </w:r>
            <w:r>
              <w:rPr>
                <w:rFonts w:hint="eastAsia" w:ascii="宋体" w:hAnsi="宋体" w:eastAsia="宋体" w:cs="宋体"/>
                <w:spacing w:val="-3"/>
                <w:sz w:val="18"/>
                <w:szCs w:val="18"/>
              </w:rPr>
              <w:t>自然资源海洋气象等支出</w:t>
            </w:r>
          </w:p>
        </w:tc>
        <w:tc>
          <w:tcPr>
            <w:tcW w:w="1084" w:type="dxa"/>
            <w:gridSpan w:val="2"/>
            <w:vAlign w:val="top"/>
          </w:tcPr>
          <w:p>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618" w:type="dxa"/>
            <w:vAlign w:val="top"/>
          </w:tcPr>
          <w:p>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32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016" w:type="dxa"/>
            <w:vAlign w:val="top"/>
          </w:tcPr>
          <w:p>
            <w:pPr>
              <w:spacing w:line="320" w:lineRule="exact"/>
              <w:rPr>
                <w:rFonts w:hint="eastAsia" w:ascii="宋体" w:hAnsi="宋体" w:eastAsia="宋体" w:cs="宋体"/>
                <w:sz w:val="18"/>
                <w:szCs w:val="18"/>
              </w:rPr>
            </w:pPr>
          </w:p>
        </w:tc>
        <w:tc>
          <w:tcPr>
            <w:tcW w:w="910" w:type="dxa"/>
            <w:vAlign w:val="top"/>
          </w:tcPr>
          <w:p>
            <w:pPr>
              <w:spacing w:line="320" w:lineRule="exact"/>
              <w:rPr>
                <w:rFonts w:hint="eastAsia" w:ascii="宋体" w:hAnsi="宋体" w:eastAsia="宋体" w:cs="宋体"/>
                <w:sz w:val="18"/>
                <w:szCs w:val="18"/>
              </w:rPr>
            </w:pPr>
          </w:p>
        </w:tc>
        <w:tc>
          <w:tcPr>
            <w:tcW w:w="3124" w:type="dxa"/>
            <w:vAlign w:val="top"/>
          </w:tcPr>
          <w:p>
            <w:pPr>
              <w:spacing w:before="85" w:line="186" w:lineRule="auto"/>
              <w:ind w:firstLine="17"/>
              <w:rPr>
                <w:rFonts w:hint="eastAsia" w:ascii="宋体" w:hAnsi="宋体" w:eastAsia="宋体" w:cs="宋体"/>
                <w:sz w:val="18"/>
                <w:szCs w:val="18"/>
              </w:rPr>
            </w:pPr>
            <w:r>
              <w:rPr>
                <w:rFonts w:hint="eastAsia" w:ascii="宋体" w:hAnsi="宋体" w:eastAsia="宋体" w:cs="宋体"/>
                <w:spacing w:val="-1"/>
                <w:sz w:val="18"/>
                <w:szCs w:val="18"/>
              </w:rPr>
              <w:t>十九、住房保障支出</w:t>
            </w:r>
          </w:p>
        </w:tc>
        <w:tc>
          <w:tcPr>
            <w:tcW w:w="1084" w:type="dxa"/>
            <w:gridSpan w:val="2"/>
            <w:vAlign w:val="top"/>
          </w:tcPr>
          <w:p>
            <w:pPr>
              <w:spacing w:before="111" w:line="180" w:lineRule="auto"/>
              <w:ind w:firstLine="229"/>
              <w:jc w:val="center"/>
              <w:rPr>
                <w:rFonts w:hint="eastAsia" w:ascii="宋体" w:hAnsi="宋体" w:eastAsia="宋体" w:cs="宋体"/>
                <w:sz w:val="18"/>
                <w:szCs w:val="18"/>
              </w:rPr>
            </w:pPr>
            <w:r>
              <w:rPr>
                <w:rFonts w:hint="eastAsia" w:ascii="宋体" w:hAnsi="宋体" w:eastAsia="宋体" w:cs="宋体"/>
                <w:spacing w:val="-3"/>
                <w:sz w:val="18"/>
                <w:szCs w:val="18"/>
              </w:rPr>
              <w:t>104.95</w:t>
            </w:r>
          </w:p>
        </w:tc>
        <w:tc>
          <w:tcPr>
            <w:tcW w:w="1343" w:type="dxa"/>
            <w:vAlign w:val="top"/>
          </w:tcPr>
          <w:p>
            <w:pPr>
              <w:spacing w:before="111" w:line="180" w:lineRule="auto"/>
              <w:ind w:firstLine="447"/>
              <w:jc w:val="both"/>
              <w:rPr>
                <w:rFonts w:hint="eastAsia" w:ascii="宋体" w:hAnsi="宋体" w:eastAsia="宋体" w:cs="宋体"/>
                <w:sz w:val="18"/>
                <w:szCs w:val="18"/>
              </w:rPr>
            </w:pPr>
            <w:r>
              <w:rPr>
                <w:rFonts w:hint="eastAsia" w:ascii="宋体" w:hAnsi="宋体" w:eastAsia="宋体" w:cs="宋体"/>
                <w:spacing w:val="-3"/>
                <w:sz w:val="18"/>
                <w:szCs w:val="18"/>
              </w:rPr>
              <w:t>104.95</w:t>
            </w:r>
          </w:p>
        </w:tc>
        <w:tc>
          <w:tcPr>
            <w:tcW w:w="1618" w:type="dxa"/>
            <w:vAlign w:val="top"/>
          </w:tcPr>
          <w:p>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32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2016" w:type="dxa"/>
            <w:vAlign w:val="top"/>
          </w:tcPr>
          <w:p>
            <w:pPr>
              <w:spacing w:line="260" w:lineRule="exact"/>
              <w:rPr>
                <w:rFonts w:hint="eastAsia" w:ascii="宋体" w:hAnsi="宋体" w:eastAsia="宋体" w:cs="宋体"/>
                <w:sz w:val="18"/>
                <w:szCs w:val="18"/>
              </w:rPr>
            </w:pPr>
          </w:p>
        </w:tc>
        <w:tc>
          <w:tcPr>
            <w:tcW w:w="910" w:type="dxa"/>
            <w:vAlign w:val="top"/>
          </w:tcPr>
          <w:p>
            <w:pPr>
              <w:spacing w:line="260" w:lineRule="exact"/>
              <w:rPr>
                <w:rFonts w:hint="eastAsia" w:ascii="宋体" w:hAnsi="宋体" w:eastAsia="宋体" w:cs="宋体"/>
                <w:sz w:val="18"/>
                <w:szCs w:val="18"/>
              </w:rPr>
            </w:pPr>
          </w:p>
        </w:tc>
        <w:tc>
          <w:tcPr>
            <w:tcW w:w="3124" w:type="dxa"/>
            <w:vAlign w:val="top"/>
          </w:tcPr>
          <w:p>
            <w:pPr>
              <w:spacing w:before="56" w:line="186" w:lineRule="auto"/>
              <w:ind w:firstLine="19"/>
              <w:rPr>
                <w:rFonts w:hint="eastAsia" w:ascii="宋体" w:hAnsi="宋体" w:eastAsia="宋体" w:cs="宋体"/>
                <w:sz w:val="18"/>
                <w:szCs w:val="18"/>
              </w:rPr>
            </w:pPr>
            <w:r>
              <w:rPr>
                <w:rFonts w:hint="eastAsia" w:ascii="宋体" w:hAnsi="宋体" w:eastAsia="宋体" w:cs="宋体"/>
                <w:spacing w:val="-1"/>
                <w:sz w:val="18"/>
                <w:szCs w:val="18"/>
              </w:rPr>
              <w:t>二十、粮油物资储备支出</w:t>
            </w:r>
          </w:p>
        </w:tc>
        <w:tc>
          <w:tcPr>
            <w:tcW w:w="1084" w:type="dxa"/>
            <w:gridSpan w:val="2"/>
            <w:vAlign w:val="top"/>
          </w:tcPr>
          <w:p>
            <w:pPr>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26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c>
          <w:tcPr>
            <w:tcW w:w="1618" w:type="dxa"/>
            <w:vAlign w:val="top"/>
          </w:tcPr>
          <w:p>
            <w:pPr>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26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016" w:type="dxa"/>
            <w:vAlign w:val="top"/>
          </w:tcPr>
          <w:p>
            <w:pPr>
              <w:spacing w:line="320" w:lineRule="exact"/>
              <w:rPr>
                <w:rFonts w:hint="eastAsia" w:ascii="宋体" w:hAnsi="宋体" w:eastAsia="宋体" w:cs="宋体"/>
                <w:sz w:val="18"/>
                <w:szCs w:val="18"/>
              </w:rPr>
            </w:pPr>
          </w:p>
        </w:tc>
        <w:tc>
          <w:tcPr>
            <w:tcW w:w="910" w:type="dxa"/>
            <w:vAlign w:val="top"/>
          </w:tcPr>
          <w:p>
            <w:pPr>
              <w:spacing w:line="320" w:lineRule="exact"/>
              <w:rPr>
                <w:rFonts w:hint="eastAsia" w:ascii="宋体" w:hAnsi="宋体" w:eastAsia="宋体" w:cs="宋体"/>
                <w:sz w:val="18"/>
                <w:szCs w:val="18"/>
              </w:rPr>
            </w:pPr>
          </w:p>
        </w:tc>
        <w:tc>
          <w:tcPr>
            <w:tcW w:w="3124" w:type="dxa"/>
            <w:vAlign w:val="top"/>
          </w:tcPr>
          <w:p>
            <w:pPr>
              <w:spacing w:before="86" w:line="186" w:lineRule="auto"/>
              <w:ind w:firstLine="19"/>
              <w:rPr>
                <w:rFonts w:hint="eastAsia" w:ascii="宋体" w:hAnsi="宋体" w:eastAsia="宋体" w:cs="宋体"/>
                <w:sz w:val="18"/>
                <w:szCs w:val="18"/>
              </w:rPr>
            </w:pPr>
            <w:r>
              <w:rPr>
                <w:rFonts w:hint="eastAsia" w:ascii="宋体" w:hAnsi="宋体" w:eastAsia="宋体" w:cs="宋体"/>
                <w:spacing w:val="-1"/>
                <w:sz w:val="18"/>
                <w:szCs w:val="18"/>
              </w:rPr>
              <w:t>二十一、国有资本经营预算支出</w:t>
            </w:r>
          </w:p>
        </w:tc>
        <w:tc>
          <w:tcPr>
            <w:tcW w:w="1084" w:type="dxa"/>
            <w:gridSpan w:val="2"/>
            <w:vAlign w:val="top"/>
          </w:tcPr>
          <w:p>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32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c>
          <w:tcPr>
            <w:tcW w:w="1618" w:type="dxa"/>
            <w:vAlign w:val="top"/>
          </w:tcPr>
          <w:p>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32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016" w:type="dxa"/>
            <w:vAlign w:val="top"/>
          </w:tcPr>
          <w:p>
            <w:pPr>
              <w:spacing w:line="320" w:lineRule="exact"/>
              <w:rPr>
                <w:rFonts w:hint="eastAsia" w:ascii="宋体" w:hAnsi="宋体" w:eastAsia="宋体" w:cs="宋体"/>
                <w:sz w:val="18"/>
                <w:szCs w:val="18"/>
              </w:rPr>
            </w:pPr>
          </w:p>
        </w:tc>
        <w:tc>
          <w:tcPr>
            <w:tcW w:w="910" w:type="dxa"/>
            <w:vAlign w:val="top"/>
          </w:tcPr>
          <w:p>
            <w:pPr>
              <w:spacing w:line="320" w:lineRule="exact"/>
              <w:rPr>
                <w:rFonts w:hint="eastAsia" w:ascii="宋体" w:hAnsi="宋体" w:eastAsia="宋体" w:cs="宋体"/>
                <w:sz w:val="18"/>
                <w:szCs w:val="18"/>
              </w:rPr>
            </w:pPr>
          </w:p>
        </w:tc>
        <w:tc>
          <w:tcPr>
            <w:tcW w:w="3124" w:type="dxa"/>
            <w:vAlign w:val="top"/>
          </w:tcPr>
          <w:p>
            <w:pPr>
              <w:spacing w:before="85" w:line="186" w:lineRule="auto"/>
              <w:ind w:firstLine="19"/>
              <w:rPr>
                <w:rFonts w:hint="eastAsia" w:ascii="宋体" w:hAnsi="宋体" w:eastAsia="宋体" w:cs="宋体"/>
                <w:sz w:val="18"/>
                <w:szCs w:val="18"/>
              </w:rPr>
            </w:pPr>
            <w:r>
              <w:rPr>
                <w:rFonts w:hint="eastAsia" w:ascii="宋体" w:hAnsi="宋体" w:eastAsia="宋体" w:cs="宋体"/>
                <w:spacing w:val="-1"/>
                <w:sz w:val="18"/>
                <w:szCs w:val="18"/>
              </w:rPr>
              <w:t>二十二、灾害防治及应急管理支出</w:t>
            </w:r>
          </w:p>
        </w:tc>
        <w:tc>
          <w:tcPr>
            <w:tcW w:w="1084" w:type="dxa"/>
            <w:gridSpan w:val="2"/>
            <w:vAlign w:val="top"/>
          </w:tcPr>
          <w:p>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32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c>
          <w:tcPr>
            <w:tcW w:w="1618" w:type="dxa"/>
            <w:vAlign w:val="top"/>
          </w:tcPr>
          <w:p>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32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2016" w:type="dxa"/>
            <w:vAlign w:val="top"/>
          </w:tcPr>
          <w:p>
            <w:pPr>
              <w:spacing w:line="246" w:lineRule="exact"/>
              <w:rPr>
                <w:rFonts w:hint="eastAsia" w:ascii="宋体" w:hAnsi="宋体" w:eastAsia="宋体" w:cs="宋体"/>
                <w:sz w:val="18"/>
                <w:szCs w:val="18"/>
              </w:rPr>
            </w:pPr>
          </w:p>
        </w:tc>
        <w:tc>
          <w:tcPr>
            <w:tcW w:w="910" w:type="dxa"/>
            <w:vAlign w:val="top"/>
          </w:tcPr>
          <w:p>
            <w:pPr>
              <w:spacing w:line="246" w:lineRule="exact"/>
              <w:rPr>
                <w:rFonts w:hint="eastAsia" w:ascii="宋体" w:hAnsi="宋体" w:eastAsia="宋体" w:cs="宋体"/>
                <w:sz w:val="18"/>
                <w:szCs w:val="18"/>
              </w:rPr>
            </w:pPr>
          </w:p>
        </w:tc>
        <w:tc>
          <w:tcPr>
            <w:tcW w:w="3124" w:type="dxa"/>
            <w:vAlign w:val="top"/>
          </w:tcPr>
          <w:p>
            <w:pPr>
              <w:spacing w:before="48" w:line="186" w:lineRule="auto"/>
              <w:ind w:firstLine="19"/>
              <w:rPr>
                <w:rFonts w:hint="eastAsia" w:ascii="宋体" w:hAnsi="宋体" w:eastAsia="宋体" w:cs="宋体"/>
                <w:sz w:val="18"/>
                <w:szCs w:val="18"/>
              </w:rPr>
            </w:pPr>
            <w:r>
              <w:rPr>
                <w:rFonts w:hint="eastAsia" w:ascii="宋体" w:hAnsi="宋体" w:eastAsia="宋体" w:cs="宋体"/>
                <w:spacing w:val="-2"/>
                <w:sz w:val="18"/>
                <w:szCs w:val="18"/>
              </w:rPr>
              <w:t>二十三、预备费</w:t>
            </w:r>
          </w:p>
        </w:tc>
        <w:tc>
          <w:tcPr>
            <w:tcW w:w="1084" w:type="dxa"/>
            <w:gridSpan w:val="2"/>
            <w:vAlign w:val="top"/>
          </w:tcPr>
          <w:p>
            <w:pPr>
              <w:spacing w:line="246"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246"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c>
          <w:tcPr>
            <w:tcW w:w="1618" w:type="dxa"/>
            <w:vAlign w:val="top"/>
          </w:tcPr>
          <w:p>
            <w:pPr>
              <w:spacing w:line="246"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246"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2016" w:type="dxa"/>
            <w:vAlign w:val="top"/>
          </w:tcPr>
          <w:p>
            <w:pPr>
              <w:spacing w:line="260" w:lineRule="exact"/>
              <w:rPr>
                <w:rFonts w:hint="eastAsia" w:ascii="宋体" w:hAnsi="宋体" w:eastAsia="宋体" w:cs="宋体"/>
                <w:sz w:val="18"/>
                <w:szCs w:val="18"/>
              </w:rPr>
            </w:pPr>
          </w:p>
        </w:tc>
        <w:tc>
          <w:tcPr>
            <w:tcW w:w="910" w:type="dxa"/>
            <w:vAlign w:val="top"/>
          </w:tcPr>
          <w:p>
            <w:pPr>
              <w:spacing w:line="260" w:lineRule="exact"/>
              <w:rPr>
                <w:rFonts w:hint="eastAsia" w:ascii="宋体" w:hAnsi="宋体" w:eastAsia="宋体" w:cs="宋体"/>
                <w:sz w:val="18"/>
                <w:szCs w:val="18"/>
              </w:rPr>
            </w:pPr>
          </w:p>
        </w:tc>
        <w:tc>
          <w:tcPr>
            <w:tcW w:w="3124" w:type="dxa"/>
            <w:vAlign w:val="top"/>
          </w:tcPr>
          <w:p>
            <w:pPr>
              <w:spacing w:before="56" w:line="186" w:lineRule="auto"/>
              <w:ind w:firstLine="19"/>
              <w:rPr>
                <w:rFonts w:hint="eastAsia" w:ascii="宋体" w:hAnsi="宋体" w:eastAsia="宋体" w:cs="宋体"/>
                <w:sz w:val="18"/>
                <w:szCs w:val="18"/>
              </w:rPr>
            </w:pPr>
            <w:r>
              <w:rPr>
                <w:rFonts w:hint="eastAsia" w:ascii="宋体" w:hAnsi="宋体" w:eastAsia="宋体" w:cs="宋体"/>
                <w:spacing w:val="-1"/>
                <w:sz w:val="18"/>
                <w:szCs w:val="18"/>
              </w:rPr>
              <w:t>二十四、其他支出</w:t>
            </w:r>
          </w:p>
        </w:tc>
        <w:tc>
          <w:tcPr>
            <w:tcW w:w="1084" w:type="dxa"/>
            <w:gridSpan w:val="2"/>
            <w:vAlign w:val="top"/>
          </w:tcPr>
          <w:p>
            <w:pPr>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26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c>
          <w:tcPr>
            <w:tcW w:w="1618" w:type="dxa"/>
            <w:vAlign w:val="top"/>
          </w:tcPr>
          <w:p>
            <w:pPr>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26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016" w:type="dxa"/>
            <w:vAlign w:val="top"/>
          </w:tcPr>
          <w:p>
            <w:pPr>
              <w:spacing w:before="86" w:line="186" w:lineRule="auto"/>
              <w:ind w:firstLine="22"/>
              <w:rPr>
                <w:rFonts w:hint="eastAsia" w:ascii="宋体" w:hAnsi="宋体" w:eastAsia="宋体" w:cs="宋体"/>
                <w:sz w:val="18"/>
                <w:szCs w:val="18"/>
              </w:rPr>
            </w:pPr>
            <w:r>
              <w:rPr>
                <w:rFonts w:hint="eastAsia" w:ascii="宋体" w:hAnsi="宋体" w:eastAsia="宋体" w:cs="宋体"/>
                <w:spacing w:val="-1"/>
                <w:sz w:val="18"/>
                <w:szCs w:val="18"/>
              </w:rPr>
              <w:t>本年收入合计</w:t>
            </w:r>
          </w:p>
        </w:tc>
        <w:tc>
          <w:tcPr>
            <w:tcW w:w="910" w:type="dxa"/>
            <w:vAlign w:val="top"/>
          </w:tcPr>
          <w:p>
            <w:pPr>
              <w:spacing w:line="32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1422.43</w:t>
            </w:r>
          </w:p>
        </w:tc>
        <w:tc>
          <w:tcPr>
            <w:tcW w:w="3124" w:type="dxa"/>
            <w:vAlign w:val="top"/>
          </w:tcPr>
          <w:p>
            <w:pPr>
              <w:spacing w:before="86" w:line="186" w:lineRule="auto"/>
              <w:ind w:firstLine="17"/>
              <w:rPr>
                <w:rFonts w:hint="eastAsia" w:ascii="宋体" w:hAnsi="宋体" w:eastAsia="宋体" w:cs="宋体"/>
                <w:sz w:val="18"/>
                <w:szCs w:val="18"/>
              </w:rPr>
            </w:pPr>
            <w:r>
              <w:rPr>
                <w:rFonts w:hint="eastAsia" w:ascii="宋体" w:hAnsi="宋体" w:eastAsia="宋体" w:cs="宋体"/>
                <w:spacing w:val="-1"/>
                <w:sz w:val="18"/>
                <w:szCs w:val="18"/>
              </w:rPr>
              <w:t>本年支出合计</w:t>
            </w:r>
          </w:p>
        </w:tc>
        <w:tc>
          <w:tcPr>
            <w:tcW w:w="1084" w:type="dxa"/>
            <w:gridSpan w:val="2"/>
            <w:vAlign w:val="top"/>
          </w:tcPr>
          <w:p>
            <w:pPr>
              <w:spacing w:before="111" w:line="180" w:lineRule="auto"/>
              <w:ind w:firstLine="150"/>
              <w:jc w:val="center"/>
              <w:rPr>
                <w:rFonts w:hint="eastAsia" w:ascii="宋体" w:hAnsi="宋体" w:eastAsia="宋体" w:cs="宋体"/>
                <w:sz w:val="18"/>
                <w:szCs w:val="18"/>
              </w:rPr>
            </w:pPr>
            <w:r>
              <w:rPr>
                <w:rFonts w:hint="eastAsia" w:ascii="宋体" w:hAnsi="宋体" w:eastAsia="宋体" w:cs="宋体"/>
                <w:spacing w:val="-3"/>
                <w:sz w:val="18"/>
                <w:szCs w:val="18"/>
              </w:rPr>
              <w:t>1422.43</w:t>
            </w:r>
          </w:p>
        </w:tc>
        <w:tc>
          <w:tcPr>
            <w:tcW w:w="1343" w:type="dxa"/>
            <w:vAlign w:val="top"/>
          </w:tcPr>
          <w:p>
            <w:pPr>
              <w:spacing w:before="111" w:line="180" w:lineRule="auto"/>
              <w:ind w:firstLine="366"/>
              <w:jc w:val="center"/>
              <w:rPr>
                <w:rFonts w:hint="eastAsia" w:ascii="宋体" w:hAnsi="宋体" w:eastAsia="宋体" w:cs="宋体"/>
                <w:sz w:val="18"/>
                <w:szCs w:val="18"/>
              </w:rPr>
            </w:pPr>
            <w:r>
              <w:rPr>
                <w:rFonts w:hint="eastAsia" w:ascii="宋体" w:hAnsi="宋体" w:eastAsia="宋体" w:cs="宋体"/>
                <w:spacing w:val="-3"/>
                <w:sz w:val="18"/>
                <w:szCs w:val="18"/>
              </w:rPr>
              <w:t>1422.43</w:t>
            </w:r>
          </w:p>
        </w:tc>
        <w:tc>
          <w:tcPr>
            <w:tcW w:w="1618" w:type="dxa"/>
            <w:vAlign w:val="top"/>
          </w:tcPr>
          <w:p>
            <w:pPr>
              <w:spacing w:line="318"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318"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016" w:type="dxa"/>
            <w:vAlign w:val="top"/>
          </w:tcPr>
          <w:p>
            <w:pPr>
              <w:spacing w:before="86" w:line="186" w:lineRule="auto"/>
              <w:ind w:firstLine="36"/>
              <w:rPr>
                <w:rFonts w:hint="eastAsia" w:ascii="宋体" w:hAnsi="宋体" w:eastAsia="宋体" w:cs="宋体"/>
                <w:sz w:val="18"/>
                <w:szCs w:val="18"/>
              </w:rPr>
            </w:pPr>
            <w:r>
              <w:rPr>
                <w:rFonts w:hint="eastAsia" w:ascii="宋体" w:hAnsi="宋体" w:eastAsia="宋体" w:cs="宋体"/>
                <w:spacing w:val="-4"/>
                <w:sz w:val="18"/>
                <w:szCs w:val="18"/>
              </w:rPr>
              <w:t>四、上年结转</w:t>
            </w:r>
          </w:p>
        </w:tc>
        <w:tc>
          <w:tcPr>
            <w:tcW w:w="910" w:type="dxa"/>
            <w:vAlign w:val="top"/>
          </w:tcPr>
          <w:p>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3124" w:type="dxa"/>
            <w:vAlign w:val="top"/>
          </w:tcPr>
          <w:p>
            <w:pPr>
              <w:spacing w:before="86" w:line="186" w:lineRule="auto"/>
              <w:ind w:firstLine="19"/>
              <w:rPr>
                <w:rFonts w:hint="eastAsia" w:ascii="宋体" w:hAnsi="宋体" w:eastAsia="宋体" w:cs="宋体"/>
                <w:sz w:val="18"/>
                <w:szCs w:val="18"/>
              </w:rPr>
            </w:pPr>
            <w:r>
              <w:rPr>
                <w:rFonts w:hint="eastAsia" w:ascii="宋体" w:hAnsi="宋体" w:eastAsia="宋体" w:cs="宋体"/>
                <w:spacing w:val="-1"/>
                <w:sz w:val="18"/>
                <w:szCs w:val="18"/>
              </w:rPr>
              <w:t>二十五、结转下年</w:t>
            </w:r>
          </w:p>
        </w:tc>
        <w:tc>
          <w:tcPr>
            <w:tcW w:w="1084" w:type="dxa"/>
            <w:gridSpan w:val="2"/>
            <w:vAlign w:val="top"/>
          </w:tcPr>
          <w:p>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343" w:type="dxa"/>
            <w:vAlign w:val="top"/>
          </w:tcPr>
          <w:p>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1618" w:type="dxa"/>
            <w:vAlign w:val="top"/>
          </w:tcPr>
          <w:p>
            <w:pPr>
              <w:spacing w:line="32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320"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016" w:type="dxa"/>
            <w:vAlign w:val="top"/>
          </w:tcPr>
          <w:p>
            <w:pPr>
              <w:spacing w:before="56" w:line="186" w:lineRule="auto"/>
              <w:ind w:firstLine="437"/>
              <w:rPr>
                <w:rFonts w:hint="eastAsia" w:ascii="宋体" w:hAnsi="宋体" w:eastAsia="宋体" w:cs="宋体"/>
                <w:sz w:val="18"/>
                <w:szCs w:val="18"/>
              </w:rPr>
            </w:pPr>
            <w:r>
              <w:rPr>
                <w:rFonts w:hint="eastAsia" w:ascii="宋体" w:hAnsi="宋体" w:eastAsia="宋体" w:cs="宋体"/>
                <w:spacing w:val="-7"/>
                <w:sz w:val="18"/>
                <w:szCs w:val="18"/>
              </w:rPr>
              <w:t>收</w:t>
            </w:r>
            <w:r>
              <w:rPr>
                <w:rFonts w:hint="eastAsia" w:ascii="宋体" w:hAnsi="宋体" w:eastAsia="宋体" w:cs="宋体"/>
                <w:spacing w:val="2"/>
                <w:sz w:val="18"/>
                <w:szCs w:val="18"/>
              </w:rPr>
              <w:t xml:space="preserve">   </w:t>
            </w:r>
            <w:r>
              <w:rPr>
                <w:rFonts w:hint="eastAsia" w:ascii="宋体" w:hAnsi="宋体" w:eastAsia="宋体" w:cs="宋体"/>
                <w:spacing w:val="-7"/>
                <w:sz w:val="18"/>
                <w:szCs w:val="18"/>
              </w:rPr>
              <w:t>入</w:t>
            </w:r>
            <w:r>
              <w:rPr>
                <w:rFonts w:hint="eastAsia" w:ascii="宋体" w:hAnsi="宋体" w:eastAsia="宋体" w:cs="宋体"/>
                <w:spacing w:val="3"/>
                <w:sz w:val="18"/>
                <w:szCs w:val="18"/>
              </w:rPr>
              <w:t xml:space="preserve">   </w:t>
            </w:r>
            <w:r>
              <w:rPr>
                <w:rFonts w:hint="eastAsia" w:ascii="宋体" w:hAnsi="宋体" w:eastAsia="宋体" w:cs="宋体"/>
                <w:spacing w:val="-7"/>
                <w:sz w:val="18"/>
                <w:szCs w:val="18"/>
              </w:rPr>
              <w:t>总</w:t>
            </w:r>
            <w:r>
              <w:rPr>
                <w:rFonts w:hint="eastAsia" w:ascii="宋体" w:hAnsi="宋体" w:eastAsia="宋体" w:cs="宋体"/>
                <w:spacing w:val="2"/>
                <w:sz w:val="18"/>
                <w:szCs w:val="18"/>
              </w:rPr>
              <w:t xml:space="preserve">   </w:t>
            </w:r>
            <w:r>
              <w:rPr>
                <w:rFonts w:hint="eastAsia" w:ascii="宋体" w:hAnsi="宋体" w:eastAsia="宋体" w:cs="宋体"/>
                <w:spacing w:val="-7"/>
                <w:sz w:val="18"/>
                <w:szCs w:val="18"/>
              </w:rPr>
              <w:t>计</w:t>
            </w:r>
          </w:p>
        </w:tc>
        <w:tc>
          <w:tcPr>
            <w:tcW w:w="910" w:type="dxa"/>
            <w:vAlign w:val="top"/>
          </w:tcPr>
          <w:p>
            <w:pPr>
              <w:spacing w:before="81" w:line="180" w:lineRule="auto"/>
              <w:ind w:firstLine="269"/>
              <w:rPr>
                <w:rFonts w:hint="eastAsia" w:ascii="宋体" w:hAnsi="宋体" w:eastAsia="宋体" w:cs="宋体"/>
                <w:sz w:val="18"/>
                <w:szCs w:val="18"/>
              </w:rPr>
            </w:pPr>
            <w:r>
              <w:rPr>
                <w:rFonts w:hint="eastAsia" w:ascii="宋体" w:hAnsi="宋体" w:eastAsia="宋体" w:cs="宋体"/>
                <w:spacing w:val="-3"/>
                <w:sz w:val="18"/>
                <w:szCs w:val="18"/>
              </w:rPr>
              <w:t>1422.43</w:t>
            </w:r>
          </w:p>
        </w:tc>
        <w:tc>
          <w:tcPr>
            <w:tcW w:w="3124" w:type="dxa"/>
            <w:vAlign w:val="top"/>
          </w:tcPr>
          <w:p>
            <w:pPr>
              <w:spacing w:before="56" w:line="186" w:lineRule="auto"/>
              <w:ind w:firstLine="972"/>
              <w:rPr>
                <w:rFonts w:hint="eastAsia" w:ascii="宋体" w:hAnsi="宋体" w:eastAsia="宋体" w:cs="宋体"/>
                <w:sz w:val="18"/>
                <w:szCs w:val="18"/>
              </w:rPr>
            </w:pPr>
            <w:r>
              <w:rPr>
                <w:rFonts w:hint="eastAsia" w:ascii="宋体" w:hAnsi="宋体" w:eastAsia="宋体" w:cs="宋体"/>
                <w:spacing w:val="-9"/>
                <w:sz w:val="18"/>
                <w:szCs w:val="18"/>
              </w:rPr>
              <w:t>支</w:t>
            </w:r>
            <w:r>
              <w:rPr>
                <w:rFonts w:hint="eastAsia" w:ascii="宋体" w:hAnsi="宋体" w:eastAsia="宋体" w:cs="宋体"/>
                <w:spacing w:val="6"/>
                <w:sz w:val="18"/>
                <w:szCs w:val="18"/>
              </w:rPr>
              <w:t xml:space="preserve">   </w:t>
            </w:r>
            <w:r>
              <w:rPr>
                <w:rFonts w:hint="eastAsia" w:ascii="宋体" w:hAnsi="宋体" w:eastAsia="宋体" w:cs="宋体"/>
                <w:spacing w:val="-9"/>
                <w:sz w:val="18"/>
                <w:szCs w:val="18"/>
              </w:rPr>
              <w:t>出</w:t>
            </w:r>
            <w:r>
              <w:rPr>
                <w:rFonts w:hint="eastAsia" w:ascii="宋体" w:hAnsi="宋体" w:eastAsia="宋体" w:cs="宋体"/>
                <w:spacing w:val="3"/>
                <w:sz w:val="18"/>
                <w:szCs w:val="18"/>
              </w:rPr>
              <w:t xml:space="preserve">   </w:t>
            </w:r>
            <w:r>
              <w:rPr>
                <w:rFonts w:hint="eastAsia" w:ascii="宋体" w:hAnsi="宋体" w:eastAsia="宋体" w:cs="宋体"/>
                <w:spacing w:val="-9"/>
                <w:sz w:val="18"/>
                <w:szCs w:val="18"/>
              </w:rPr>
              <w:t>总</w:t>
            </w:r>
            <w:r>
              <w:rPr>
                <w:rFonts w:hint="eastAsia" w:ascii="宋体" w:hAnsi="宋体" w:eastAsia="宋体" w:cs="宋体"/>
                <w:spacing w:val="2"/>
                <w:sz w:val="18"/>
                <w:szCs w:val="18"/>
              </w:rPr>
              <w:t xml:space="preserve">   </w:t>
            </w:r>
            <w:r>
              <w:rPr>
                <w:rFonts w:hint="eastAsia" w:ascii="宋体" w:hAnsi="宋体" w:eastAsia="宋体" w:cs="宋体"/>
                <w:spacing w:val="-9"/>
                <w:sz w:val="18"/>
                <w:szCs w:val="18"/>
              </w:rPr>
              <w:t>计</w:t>
            </w:r>
          </w:p>
        </w:tc>
        <w:tc>
          <w:tcPr>
            <w:tcW w:w="1084" w:type="dxa"/>
            <w:gridSpan w:val="2"/>
            <w:vAlign w:val="top"/>
          </w:tcPr>
          <w:p>
            <w:pPr>
              <w:spacing w:before="81" w:line="180" w:lineRule="auto"/>
              <w:ind w:firstLine="150"/>
              <w:jc w:val="center"/>
              <w:rPr>
                <w:rFonts w:hint="eastAsia" w:ascii="宋体" w:hAnsi="宋体" w:eastAsia="宋体" w:cs="宋体"/>
                <w:sz w:val="18"/>
                <w:szCs w:val="18"/>
              </w:rPr>
            </w:pPr>
            <w:r>
              <w:rPr>
                <w:rFonts w:hint="eastAsia" w:ascii="宋体" w:hAnsi="宋体" w:eastAsia="宋体" w:cs="宋体"/>
                <w:spacing w:val="-3"/>
                <w:sz w:val="18"/>
                <w:szCs w:val="18"/>
              </w:rPr>
              <w:t>1422.43</w:t>
            </w:r>
          </w:p>
        </w:tc>
        <w:tc>
          <w:tcPr>
            <w:tcW w:w="1343" w:type="dxa"/>
            <w:vAlign w:val="top"/>
          </w:tcPr>
          <w:p>
            <w:pPr>
              <w:spacing w:before="81" w:line="180" w:lineRule="auto"/>
              <w:ind w:firstLine="366"/>
              <w:jc w:val="both"/>
              <w:rPr>
                <w:rFonts w:hint="eastAsia" w:ascii="宋体" w:hAnsi="宋体" w:eastAsia="宋体" w:cs="宋体"/>
                <w:sz w:val="18"/>
                <w:szCs w:val="18"/>
              </w:rPr>
            </w:pPr>
            <w:r>
              <w:rPr>
                <w:rFonts w:hint="eastAsia" w:ascii="宋体" w:hAnsi="宋体" w:eastAsia="宋体" w:cs="宋体"/>
                <w:spacing w:val="-3"/>
                <w:sz w:val="18"/>
                <w:szCs w:val="18"/>
              </w:rPr>
              <w:t>1422.43</w:t>
            </w:r>
          </w:p>
        </w:tc>
        <w:tc>
          <w:tcPr>
            <w:tcW w:w="1618" w:type="dxa"/>
            <w:vAlign w:val="top"/>
          </w:tcPr>
          <w:p>
            <w:pPr>
              <w:spacing w:line="263"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0.00</w:t>
            </w:r>
          </w:p>
        </w:tc>
        <w:tc>
          <w:tcPr>
            <w:tcW w:w="2805" w:type="dxa"/>
            <w:vAlign w:val="top"/>
          </w:tcPr>
          <w:p>
            <w:pPr>
              <w:spacing w:line="263" w:lineRule="exact"/>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z w:val="18"/>
                <w:szCs w:val="18"/>
                <w:lang w:val="en-US" w:eastAsia="zh-CN"/>
              </w:rPr>
              <w:t>0.00</w:t>
            </w:r>
          </w:p>
        </w:tc>
      </w:tr>
    </w:tbl>
    <w:p>
      <w:pPr>
        <w:jc w:val="center"/>
        <w:rPr>
          <w:rFonts w:hint="default" w:ascii="宋体" w:hAnsi="宋体" w:eastAsia="宋体" w:cs="宋体"/>
          <w:sz w:val="16"/>
          <w:szCs w:val="16"/>
          <w:lang w:val="en-US"/>
        </w:rPr>
      </w:pPr>
    </w:p>
    <w:p>
      <w:pPr>
        <w:spacing w:line="24" w:lineRule="exact"/>
      </w:pPr>
    </w:p>
    <w:p>
      <w:pPr>
        <w:spacing w:line="198" w:lineRule="exact"/>
        <w:rPr>
          <w:rFonts w:ascii="微软雅黑"/>
          <w:sz w:val="12"/>
        </w:rPr>
      </w:pPr>
    </w:p>
    <w:p>
      <w:pPr>
        <w:ind w:firstLine="12228" w:firstLineChars="5800"/>
        <w:rPr>
          <w:rFonts w:ascii="仿宋_GB2312"/>
          <w:b/>
          <w:sz w:val="30"/>
          <w:szCs w:val="30"/>
        </w:rPr>
      </w:pPr>
      <w:r>
        <w:rPr>
          <w:rFonts w:hint="eastAsia" w:ascii="宋体" w:hAnsi="宋体" w:eastAsia="宋体"/>
          <w:b/>
          <w:szCs w:val="21"/>
          <w:lang w:eastAsia="zh-CN"/>
        </w:rPr>
        <w:t>单位</w:t>
      </w:r>
      <w:r>
        <w:rPr>
          <w:rFonts w:hint="eastAsia" w:ascii="宋体" w:hAnsi="宋体"/>
          <w:b/>
          <w:szCs w:val="21"/>
        </w:rPr>
        <w:t>公开表</w:t>
      </w:r>
      <w:r>
        <w:rPr>
          <w:rFonts w:ascii="宋体" w:hAnsi="宋体"/>
          <w:b/>
          <w:szCs w:val="21"/>
        </w:rPr>
        <w:t>5</w:t>
      </w:r>
    </w:p>
    <w:p>
      <w:pPr>
        <w:jc w:val="center"/>
        <w:rPr>
          <w:rFonts w:ascii="仿宋_GB2312" w:eastAsia="仿宋_GB2312"/>
          <w:b/>
          <w:sz w:val="30"/>
          <w:szCs w:val="30"/>
        </w:rPr>
      </w:pPr>
      <w:r>
        <w:rPr>
          <w:rFonts w:hint="eastAsia" w:ascii="仿宋_GB2312" w:eastAsia="仿宋_GB2312"/>
          <w:b/>
          <w:sz w:val="30"/>
          <w:szCs w:val="30"/>
        </w:rPr>
        <w:t>表</w:t>
      </w:r>
      <w:r>
        <w:rPr>
          <w:rFonts w:ascii="仿宋_GB2312" w:eastAsia="仿宋_GB2312"/>
          <w:b/>
          <w:sz w:val="30"/>
          <w:szCs w:val="30"/>
        </w:rPr>
        <w:t>5</w:t>
      </w:r>
      <w:r>
        <w:rPr>
          <w:rFonts w:hint="eastAsia" w:ascii="仿宋_GB2312" w:eastAsia="仿宋_GB2312"/>
          <w:b/>
          <w:sz w:val="30"/>
          <w:szCs w:val="30"/>
        </w:rPr>
        <w:t>.</w:t>
      </w:r>
      <w:r>
        <w:rPr>
          <w:rFonts w:hint="eastAsia" w:ascii="仿宋_GB2312" w:hAnsi="宋体" w:eastAsia="仿宋_GB2312" w:cs="宋体"/>
          <w:b/>
          <w:kern w:val="0"/>
          <w:sz w:val="30"/>
          <w:szCs w:val="30"/>
        </w:rPr>
        <w:t>一般公共预算支出表</w:t>
      </w:r>
    </w:p>
    <w:p>
      <w:pPr>
        <w:spacing w:before="105" w:line="186" w:lineRule="auto"/>
        <w:ind w:firstLine="12400" w:firstLineChars="6200"/>
        <w:rPr>
          <w:rFonts w:ascii="宋体" w:hAnsi="宋体" w:eastAsia="宋体" w:cs="宋体"/>
          <w:sz w:val="16"/>
          <w:szCs w:val="16"/>
        </w:rPr>
      </w:pPr>
      <w:r>
        <w:rPr>
          <w:rFonts w:hint="eastAsia" w:ascii="宋体" w:hAnsi="宋体" w:cs="宋体"/>
          <w:color w:val="000000"/>
          <w:kern w:val="0"/>
          <w:sz w:val="20"/>
          <w:szCs w:val="20"/>
          <w:lang w:bidi="ar"/>
        </w:rPr>
        <w:t>单位：万元</w:t>
      </w:r>
    </w:p>
    <w:p>
      <w:pPr>
        <w:spacing w:line="25" w:lineRule="exact"/>
      </w:pPr>
    </w:p>
    <w:tbl>
      <w:tblPr>
        <w:tblStyle w:val="8"/>
        <w:tblW w:w="145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2"/>
        <w:gridCol w:w="1680"/>
        <w:gridCol w:w="645"/>
        <w:gridCol w:w="690"/>
        <w:gridCol w:w="795"/>
        <w:gridCol w:w="3164"/>
        <w:gridCol w:w="1216"/>
        <w:gridCol w:w="1230"/>
        <w:gridCol w:w="1185"/>
        <w:gridCol w:w="1365"/>
        <w:gridCol w:w="12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312" w:type="dxa"/>
            <w:vMerge w:val="restart"/>
            <w:tcBorders>
              <w:bottom w:val="nil"/>
            </w:tcBorders>
            <w:vAlign w:val="top"/>
          </w:tcPr>
          <w:p>
            <w:pPr>
              <w:spacing w:before="348" w:line="186" w:lineRule="auto"/>
              <w:ind w:firstLine="392" w:firstLineChars="200"/>
              <w:jc w:val="both"/>
              <w:rPr>
                <w:rFonts w:ascii="宋体" w:hAnsi="宋体" w:eastAsia="宋体" w:cs="宋体"/>
                <w:snapToGrid w:val="0"/>
                <w:color w:val="000000"/>
                <w:kern w:val="0"/>
                <w:sz w:val="20"/>
                <w:szCs w:val="20"/>
              </w:rPr>
            </w:pPr>
            <w:r>
              <w:rPr>
                <w:rFonts w:ascii="宋体" w:hAnsi="宋体" w:eastAsia="宋体" w:cs="宋体"/>
                <w:spacing w:val="-2"/>
                <w:sz w:val="20"/>
                <w:szCs w:val="20"/>
              </w:rPr>
              <w:t>单位编码</w:t>
            </w:r>
          </w:p>
        </w:tc>
        <w:tc>
          <w:tcPr>
            <w:tcW w:w="1680" w:type="dxa"/>
            <w:vMerge w:val="restart"/>
            <w:tcBorders>
              <w:bottom w:val="nil"/>
            </w:tcBorders>
            <w:vAlign w:val="top"/>
          </w:tcPr>
          <w:p>
            <w:pPr>
              <w:spacing w:before="348" w:line="186" w:lineRule="auto"/>
              <w:ind w:firstLine="594" w:firstLineChars="300"/>
              <w:jc w:val="both"/>
              <w:rPr>
                <w:rFonts w:ascii="宋体" w:hAnsi="宋体" w:eastAsia="宋体" w:cs="宋体"/>
                <w:snapToGrid w:val="0"/>
                <w:color w:val="000000"/>
                <w:kern w:val="0"/>
                <w:sz w:val="20"/>
                <w:szCs w:val="20"/>
              </w:rPr>
            </w:pPr>
            <w:r>
              <w:rPr>
                <w:rFonts w:ascii="宋体" w:hAnsi="宋体" w:eastAsia="宋体" w:cs="宋体"/>
                <w:spacing w:val="-1"/>
                <w:sz w:val="20"/>
                <w:szCs w:val="20"/>
              </w:rPr>
              <w:t>单位名称</w:t>
            </w:r>
          </w:p>
        </w:tc>
        <w:tc>
          <w:tcPr>
            <w:tcW w:w="2130" w:type="dxa"/>
            <w:gridSpan w:val="3"/>
            <w:tcBorders>
              <w:bottom w:val="nil"/>
            </w:tcBorders>
            <w:vAlign w:val="top"/>
          </w:tcPr>
          <w:p>
            <w:pPr>
              <w:spacing w:before="214" w:line="186" w:lineRule="auto"/>
              <w:ind w:firstLine="588" w:firstLineChars="300"/>
              <w:jc w:val="both"/>
              <w:rPr>
                <w:rFonts w:ascii="宋体" w:hAnsi="宋体" w:eastAsia="宋体" w:cs="宋体"/>
                <w:sz w:val="20"/>
                <w:szCs w:val="20"/>
              </w:rPr>
            </w:pPr>
            <w:r>
              <w:rPr>
                <w:rFonts w:ascii="宋体" w:hAnsi="宋体" w:eastAsia="宋体" w:cs="宋体"/>
                <w:spacing w:val="-2"/>
                <w:sz w:val="20"/>
                <w:szCs w:val="20"/>
              </w:rPr>
              <w:t>科目编码</w:t>
            </w:r>
          </w:p>
        </w:tc>
        <w:tc>
          <w:tcPr>
            <w:tcW w:w="3164" w:type="dxa"/>
            <w:vMerge w:val="restart"/>
            <w:vAlign w:val="top"/>
          </w:tcPr>
          <w:p>
            <w:pPr>
              <w:spacing w:before="214" w:line="186" w:lineRule="auto"/>
              <w:ind w:firstLine="392" w:firstLineChars="200"/>
              <w:jc w:val="both"/>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科目名称</w:t>
            </w:r>
          </w:p>
        </w:tc>
        <w:tc>
          <w:tcPr>
            <w:tcW w:w="1216" w:type="dxa"/>
            <w:vMerge w:val="restart"/>
            <w:vAlign w:val="top"/>
          </w:tcPr>
          <w:p>
            <w:pPr>
              <w:spacing w:before="214" w:line="186" w:lineRule="auto"/>
              <w:ind w:firstLine="392" w:firstLineChars="200"/>
              <w:jc w:val="both"/>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合计</w:t>
            </w:r>
          </w:p>
        </w:tc>
        <w:tc>
          <w:tcPr>
            <w:tcW w:w="3780" w:type="dxa"/>
            <w:gridSpan w:val="3"/>
            <w:vAlign w:val="top"/>
          </w:tcPr>
          <w:p>
            <w:pPr>
              <w:spacing w:before="214" w:line="186" w:lineRule="auto"/>
              <w:ind w:firstLine="1638" w:firstLineChars="836"/>
              <w:jc w:val="both"/>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基本支出</w:t>
            </w:r>
          </w:p>
        </w:tc>
        <w:tc>
          <w:tcPr>
            <w:tcW w:w="1275" w:type="dxa"/>
            <w:vMerge w:val="restart"/>
            <w:vAlign w:val="top"/>
          </w:tcPr>
          <w:p>
            <w:pPr>
              <w:tabs>
                <w:tab w:val="left" w:pos="358"/>
              </w:tabs>
              <w:spacing w:before="214" w:line="186" w:lineRule="auto"/>
              <w:jc w:val="center"/>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1312" w:type="dxa"/>
            <w:vMerge w:val="continue"/>
            <w:vAlign w:val="top"/>
          </w:tcPr>
          <w:p>
            <w:pPr>
              <w:jc w:val="center"/>
              <w:rPr>
                <w:rFonts w:ascii="微软雅黑" w:hAnsi="Arial" w:eastAsia="Arial" w:cs="Arial"/>
                <w:snapToGrid w:val="0"/>
                <w:color w:val="000000"/>
                <w:kern w:val="0"/>
                <w:sz w:val="20"/>
                <w:szCs w:val="20"/>
              </w:rPr>
            </w:pPr>
          </w:p>
        </w:tc>
        <w:tc>
          <w:tcPr>
            <w:tcW w:w="1680" w:type="dxa"/>
            <w:vMerge w:val="continue"/>
            <w:vAlign w:val="top"/>
          </w:tcPr>
          <w:p>
            <w:pPr>
              <w:jc w:val="center"/>
              <w:rPr>
                <w:rFonts w:ascii="微软雅黑" w:hAnsi="Arial" w:eastAsia="Arial" w:cs="Arial"/>
                <w:snapToGrid w:val="0"/>
                <w:color w:val="000000"/>
                <w:kern w:val="0"/>
                <w:sz w:val="20"/>
                <w:szCs w:val="20"/>
              </w:rPr>
            </w:pPr>
          </w:p>
        </w:tc>
        <w:tc>
          <w:tcPr>
            <w:tcW w:w="645" w:type="dxa"/>
            <w:vAlign w:val="top"/>
          </w:tcPr>
          <w:p>
            <w:pPr>
              <w:spacing w:before="53" w:line="186" w:lineRule="auto"/>
              <w:ind w:firstLine="202"/>
              <w:jc w:val="center"/>
              <w:rPr>
                <w:rFonts w:ascii="宋体" w:hAnsi="宋体" w:eastAsia="宋体" w:cs="宋体"/>
                <w:sz w:val="20"/>
                <w:szCs w:val="20"/>
              </w:rPr>
            </w:pPr>
            <w:r>
              <w:rPr>
                <w:rFonts w:ascii="宋体" w:hAnsi="宋体" w:eastAsia="宋体" w:cs="宋体"/>
                <w:sz w:val="20"/>
                <w:szCs w:val="20"/>
              </w:rPr>
              <w:t>类</w:t>
            </w:r>
          </w:p>
        </w:tc>
        <w:tc>
          <w:tcPr>
            <w:tcW w:w="690" w:type="dxa"/>
            <w:vAlign w:val="top"/>
          </w:tcPr>
          <w:p>
            <w:pPr>
              <w:spacing w:before="53" w:line="186" w:lineRule="auto"/>
              <w:ind w:firstLine="266"/>
              <w:jc w:val="center"/>
              <w:rPr>
                <w:rFonts w:ascii="宋体" w:hAnsi="宋体" w:eastAsia="宋体" w:cs="宋体"/>
                <w:sz w:val="20"/>
                <w:szCs w:val="20"/>
              </w:rPr>
            </w:pPr>
            <w:r>
              <w:rPr>
                <w:rFonts w:ascii="宋体" w:hAnsi="宋体" w:eastAsia="宋体" w:cs="宋体"/>
                <w:sz w:val="20"/>
                <w:szCs w:val="20"/>
              </w:rPr>
              <w:t>款</w:t>
            </w:r>
          </w:p>
        </w:tc>
        <w:tc>
          <w:tcPr>
            <w:tcW w:w="795" w:type="dxa"/>
            <w:vAlign w:val="top"/>
          </w:tcPr>
          <w:p>
            <w:pPr>
              <w:spacing w:before="53" w:line="186" w:lineRule="auto"/>
              <w:ind w:firstLine="320"/>
              <w:jc w:val="center"/>
              <w:rPr>
                <w:rFonts w:ascii="宋体" w:hAnsi="宋体" w:eastAsia="宋体" w:cs="宋体"/>
                <w:sz w:val="20"/>
                <w:szCs w:val="20"/>
              </w:rPr>
            </w:pPr>
            <w:r>
              <w:rPr>
                <w:rFonts w:ascii="宋体" w:hAnsi="宋体" w:eastAsia="宋体" w:cs="宋体"/>
                <w:sz w:val="20"/>
                <w:szCs w:val="20"/>
              </w:rPr>
              <w:t>项</w:t>
            </w:r>
          </w:p>
        </w:tc>
        <w:tc>
          <w:tcPr>
            <w:tcW w:w="3164" w:type="dxa"/>
            <w:vMerge w:val="continue"/>
            <w:vAlign w:val="top"/>
          </w:tcPr>
          <w:p>
            <w:pPr>
              <w:spacing w:before="53" w:line="186" w:lineRule="auto"/>
              <w:ind w:firstLine="320"/>
              <w:jc w:val="center"/>
              <w:rPr>
                <w:rFonts w:ascii="宋体" w:hAnsi="宋体" w:eastAsia="宋体" w:cs="宋体"/>
                <w:sz w:val="20"/>
                <w:szCs w:val="20"/>
              </w:rPr>
            </w:pPr>
          </w:p>
        </w:tc>
        <w:tc>
          <w:tcPr>
            <w:tcW w:w="1216" w:type="dxa"/>
            <w:vMerge w:val="continue"/>
            <w:vAlign w:val="top"/>
          </w:tcPr>
          <w:p>
            <w:pPr>
              <w:spacing w:before="53" w:line="186" w:lineRule="auto"/>
              <w:ind w:firstLine="320"/>
              <w:jc w:val="center"/>
              <w:rPr>
                <w:rFonts w:ascii="宋体" w:hAnsi="宋体" w:eastAsia="宋体" w:cs="宋体"/>
                <w:sz w:val="20"/>
                <w:szCs w:val="20"/>
              </w:rPr>
            </w:pPr>
          </w:p>
        </w:tc>
        <w:tc>
          <w:tcPr>
            <w:tcW w:w="1230" w:type="dxa"/>
            <w:vAlign w:val="top"/>
          </w:tcPr>
          <w:p>
            <w:pPr>
              <w:spacing w:before="53" w:line="186" w:lineRule="auto"/>
              <w:ind w:firstLine="32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小计</w:t>
            </w:r>
          </w:p>
        </w:tc>
        <w:tc>
          <w:tcPr>
            <w:tcW w:w="1185" w:type="dxa"/>
            <w:vAlign w:val="top"/>
          </w:tcPr>
          <w:p>
            <w:pPr>
              <w:spacing w:before="53" w:line="186" w:lineRule="auto"/>
              <w:ind w:firstLine="32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人员支出</w:t>
            </w:r>
          </w:p>
        </w:tc>
        <w:tc>
          <w:tcPr>
            <w:tcW w:w="1365" w:type="dxa"/>
            <w:vAlign w:val="top"/>
          </w:tcPr>
          <w:p>
            <w:pPr>
              <w:spacing w:before="53" w:line="186" w:lineRule="auto"/>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日常公用支出</w:t>
            </w:r>
          </w:p>
        </w:tc>
        <w:tc>
          <w:tcPr>
            <w:tcW w:w="1275" w:type="dxa"/>
            <w:vMerge w:val="continue"/>
            <w:vAlign w:val="top"/>
          </w:tcPr>
          <w:p>
            <w:pPr>
              <w:spacing w:before="53" w:line="186" w:lineRule="auto"/>
              <w:ind w:firstLine="320"/>
              <w:jc w:val="center"/>
              <w:rPr>
                <w:rFonts w:ascii="宋体" w:hAnsi="宋体" w:eastAsia="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2992" w:type="dxa"/>
            <w:gridSpan w:val="2"/>
            <w:vAlign w:val="top"/>
          </w:tcPr>
          <w:p>
            <w:pPr>
              <w:spacing w:before="64" w:line="186" w:lineRule="auto"/>
              <w:ind w:firstLine="1722" w:firstLineChars="879"/>
              <w:jc w:val="both"/>
              <w:rPr>
                <w:rFonts w:hint="eastAsia" w:ascii="宋体" w:hAnsi="宋体" w:eastAsia="宋体" w:cs="宋体"/>
                <w:snapToGrid w:val="0"/>
                <w:color w:val="000000"/>
                <w:kern w:val="0"/>
                <w:sz w:val="20"/>
                <w:szCs w:val="20"/>
                <w:lang w:eastAsia="zh-CN"/>
              </w:rPr>
            </w:pPr>
            <w:r>
              <w:rPr>
                <w:rFonts w:hint="eastAsia" w:ascii="宋体" w:hAnsi="宋体" w:eastAsia="宋体" w:cs="宋体"/>
                <w:spacing w:val="-2"/>
                <w:sz w:val="20"/>
                <w:szCs w:val="20"/>
                <w:lang w:val="en-US" w:eastAsia="zh-CN"/>
              </w:rPr>
              <w:t>合计</w:t>
            </w:r>
          </w:p>
        </w:tc>
        <w:tc>
          <w:tcPr>
            <w:tcW w:w="645" w:type="dxa"/>
            <w:vAlign w:val="top"/>
          </w:tcPr>
          <w:p>
            <w:pPr>
              <w:spacing w:before="64" w:line="186" w:lineRule="auto"/>
              <w:ind w:firstLine="201"/>
              <w:rPr>
                <w:rFonts w:ascii="宋体" w:hAnsi="宋体" w:eastAsia="宋体" w:cs="宋体"/>
                <w:sz w:val="20"/>
                <w:szCs w:val="20"/>
              </w:rPr>
            </w:pPr>
          </w:p>
        </w:tc>
        <w:tc>
          <w:tcPr>
            <w:tcW w:w="690" w:type="dxa"/>
            <w:vAlign w:val="top"/>
          </w:tcPr>
          <w:p>
            <w:pPr>
              <w:spacing w:before="64" w:line="186" w:lineRule="auto"/>
              <w:ind w:firstLine="265"/>
              <w:rPr>
                <w:rFonts w:ascii="宋体" w:hAnsi="宋体" w:eastAsia="宋体" w:cs="宋体"/>
                <w:sz w:val="20"/>
                <w:szCs w:val="20"/>
              </w:rPr>
            </w:pPr>
          </w:p>
        </w:tc>
        <w:tc>
          <w:tcPr>
            <w:tcW w:w="795" w:type="dxa"/>
            <w:vAlign w:val="top"/>
          </w:tcPr>
          <w:p>
            <w:pPr>
              <w:spacing w:before="64" w:line="186" w:lineRule="auto"/>
              <w:ind w:firstLine="317"/>
              <w:rPr>
                <w:rFonts w:ascii="宋体" w:hAnsi="宋体" w:eastAsia="宋体" w:cs="宋体"/>
                <w:sz w:val="20"/>
                <w:szCs w:val="20"/>
              </w:rPr>
            </w:pPr>
          </w:p>
        </w:tc>
        <w:tc>
          <w:tcPr>
            <w:tcW w:w="3164" w:type="dxa"/>
            <w:vAlign w:val="top"/>
          </w:tcPr>
          <w:p>
            <w:pPr>
              <w:spacing w:before="64" w:line="186" w:lineRule="auto"/>
              <w:ind w:firstLine="317"/>
              <w:rPr>
                <w:rFonts w:ascii="宋体" w:hAnsi="宋体" w:eastAsia="宋体" w:cs="宋体"/>
                <w:spacing w:val="-2"/>
                <w:sz w:val="20"/>
                <w:szCs w:val="20"/>
              </w:rPr>
            </w:pP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1422.43</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1256.72</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120.71</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312"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209</w:t>
            </w:r>
          </w:p>
        </w:tc>
        <w:tc>
          <w:tcPr>
            <w:tcW w:w="168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高青县交通运输局</w:t>
            </w:r>
          </w:p>
        </w:tc>
        <w:tc>
          <w:tcPr>
            <w:tcW w:w="645" w:type="dxa"/>
            <w:vAlign w:val="top"/>
          </w:tcPr>
          <w:p>
            <w:pPr>
              <w:jc w:val="left"/>
              <w:rPr>
                <w:rFonts w:hint="eastAsia" w:ascii="宋体" w:hAnsi="宋体" w:eastAsia="宋体" w:cs="宋体"/>
                <w:color w:val="000000"/>
                <w:sz w:val="18"/>
                <w:szCs w:val="18"/>
                <w:lang w:val="en-US" w:eastAsia="zh-CN"/>
              </w:rPr>
            </w:pPr>
          </w:p>
        </w:tc>
        <w:tc>
          <w:tcPr>
            <w:tcW w:w="690" w:type="dxa"/>
            <w:vAlign w:val="top"/>
          </w:tcPr>
          <w:p>
            <w:pPr>
              <w:jc w:val="left"/>
              <w:rPr>
                <w:rFonts w:hint="eastAsia" w:ascii="宋体" w:hAnsi="宋体" w:eastAsia="宋体" w:cs="宋体"/>
                <w:color w:val="000000"/>
                <w:sz w:val="18"/>
                <w:szCs w:val="18"/>
                <w:lang w:val="en-US" w:eastAsia="zh-CN"/>
              </w:rPr>
            </w:pPr>
          </w:p>
        </w:tc>
        <w:tc>
          <w:tcPr>
            <w:tcW w:w="795" w:type="dxa"/>
            <w:vAlign w:val="top"/>
          </w:tcPr>
          <w:p>
            <w:pPr>
              <w:jc w:val="left"/>
              <w:rPr>
                <w:rFonts w:hint="eastAsia" w:ascii="宋体" w:hAnsi="宋体" w:eastAsia="宋体" w:cs="宋体"/>
                <w:color w:val="000000"/>
                <w:sz w:val="18"/>
                <w:szCs w:val="18"/>
                <w:lang w:val="en-US" w:eastAsia="zh-CN"/>
              </w:rPr>
            </w:pPr>
          </w:p>
        </w:tc>
        <w:tc>
          <w:tcPr>
            <w:tcW w:w="3164" w:type="dxa"/>
            <w:vAlign w:val="top"/>
          </w:tcPr>
          <w:p>
            <w:pPr>
              <w:jc w:val="left"/>
              <w:rPr>
                <w:rFonts w:hint="eastAsia" w:ascii="宋体" w:hAnsi="宋体" w:eastAsia="宋体" w:cs="宋体"/>
                <w:color w:val="000000"/>
                <w:sz w:val="18"/>
                <w:szCs w:val="18"/>
                <w:lang w:val="en-US" w:eastAsia="zh-CN"/>
              </w:rPr>
            </w:pP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1422.43</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1256.72</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120.71</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312" w:type="dxa"/>
            <w:vAlign w:val="top"/>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209001</w:t>
            </w:r>
          </w:p>
        </w:tc>
        <w:tc>
          <w:tcPr>
            <w:tcW w:w="168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高青县交通运输局</w:t>
            </w:r>
          </w:p>
        </w:tc>
        <w:tc>
          <w:tcPr>
            <w:tcW w:w="645" w:type="dxa"/>
            <w:vAlign w:val="top"/>
          </w:tcPr>
          <w:p>
            <w:pPr>
              <w:jc w:val="left"/>
              <w:rPr>
                <w:rFonts w:hint="eastAsia" w:ascii="宋体" w:hAnsi="宋体" w:eastAsia="宋体" w:cs="宋体"/>
                <w:color w:val="000000"/>
                <w:sz w:val="18"/>
                <w:szCs w:val="18"/>
                <w:lang w:val="en-US" w:eastAsia="zh-CN"/>
              </w:rPr>
            </w:pPr>
          </w:p>
        </w:tc>
        <w:tc>
          <w:tcPr>
            <w:tcW w:w="690" w:type="dxa"/>
            <w:vAlign w:val="top"/>
          </w:tcPr>
          <w:p>
            <w:pPr>
              <w:jc w:val="left"/>
              <w:rPr>
                <w:rFonts w:hint="eastAsia" w:ascii="宋体" w:hAnsi="宋体" w:eastAsia="宋体" w:cs="宋体"/>
                <w:color w:val="000000"/>
                <w:sz w:val="18"/>
                <w:szCs w:val="18"/>
                <w:lang w:val="en-US" w:eastAsia="zh-CN"/>
              </w:rPr>
            </w:pPr>
          </w:p>
        </w:tc>
        <w:tc>
          <w:tcPr>
            <w:tcW w:w="795" w:type="dxa"/>
            <w:vAlign w:val="top"/>
          </w:tcPr>
          <w:p>
            <w:pPr>
              <w:jc w:val="left"/>
              <w:rPr>
                <w:rFonts w:hint="eastAsia" w:ascii="宋体" w:hAnsi="宋体" w:eastAsia="宋体" w:cs="宋体"/>
                <w:color w:val="000000"/>
                <w:sz w:val="18"/>
                <w:szCs w:val="18"/>
                <w:lang w:val="en-US" w:eastAsia="zh-CN"/>
              </w:rPr>
            </w:pPr>
          </w:p>
        </w:tc>
        <w:tc>
          <w:tcPr>
            <w:tcW w:w="3164" w:type="dxa"/>
            <w:vAlign w:val="top"/>
          </w:tcPr>
          <w:p>
            <w:pPr>
              <w:jc w:val="left"/>
              <w:rPr>
                <w:rFonts w:hint="eastAsia" w:ascii="宋体" w:hAnsi="宋体" w:eastAsia="宋体" w:cs="宋体"/>
                <w:color w:val="000000"/>
                <w:sz w:val="18"/>
                <w:szCs w:val="18"/>
                <w:lang w:val="en-US" w:eastAsia="zh-CN"/>
              </w:rPr>
            </w:pP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1422.43</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1256.72</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120.71</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312" w:type="dxa"/>
            <w:vAlign w:val="top"/>
          </w:tcPr>
          <w:p>
            <w:pPr>
              <w:jc w:val="left"/>
              <w:rPr>
                <w:rFonts w:hint="eastAsia" w:ascii="宋体" w:hAnsi="宋体" w:eastAsia="宋体" w:cs="宋体"/>
                <w:color w:val="000000"/>
                <w:sz w:val="18"/>
                <w:szCs w:val="18"/>
                <w:lang w:val="en-US" w:eastAsia="zh-CN"/>
              </w:rPr>
            </w:pPr>
          </w:p>
        </w:tc>
        <w:tc>
          <w:tcPr>
            <w:tcW w:w="1680" w:type="dxa"/>
            <w:vAlign w:val="top"/>
          </w:tcPr>
          <w:p>
            <w:pPr>
              <w:jc w:val="left"/>
              <w:rPr>
                <w:rFonts w:hint="eastAsia" w:ascii="宋体" w:hAnsi="宋体" w:eastAsia="宋体" w:cs="宋体"/>
                <w:color w:val="000000"/>
                <w:sz w:val="18"/>
                <w:szCs w:val="18"/>
                <w:lang w:val="en-US" w:eastAsia="zh-CN"/>
              </w:rPr>
            </w:pPr>
          </w:p>
        </w:tc>
        <w:tc>
          <w:tcPr>
            <w:tcW w:w="645"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208</w:t>
            </w:r>
          </w:p>
        </w:tc>
        <w:tc>
          <w:tcPr>
            <w:tcW w:w="690" w:type="dxa"/>
            <w:vAlign w:val="top"/>
          </w:tcPr>
          <w:p>
            <w:pPr>
              <w:jc w:val="center"/>
              <w:rPr>
                <w:rFonts w:hint="eastAsia" w:ascii="宋体" w:hAnsi="宋体" w:eastAsia="宋体" w:cs="宋体"/>
                <w:color w:val="000000"/>
                <w:sz w:val="18"/>
                <w:szCs w:val="18"/>
                <w:lang w:val="en-US" w:eastAsia="zh-CN"/>
              </w:rPr>
            </w:pPr>
          </w:p>
        </w:tc>
        <w:tc>
          <w:tcPr>
            <w:tcW w:w="795" w:type="dxa"/>
            <w:vAlign w:val="top"/>
          </w:tcPr>
          <w:p>
            <w:pPr>
              <w:jc w:val="center"/>
              <w:rPr>
                <w:rFonts w:hint="eastAsia" w:ascii="宋体" w:hAnsi="宋体" w:eastAsia="宋体" w:cs="宋体"/>
                <w:color w:val="000000"/>
                <w:sz w:val="18"/>
                <w:szCs w:val="18"/>
                <w:lang w:val="en-US" w:eastAsia="zh-CN"/>
              </w:rPr>
            </w:pPr>
          </w:p>
        </w:tc>
        <w:tc>
          <w:tcPr>
            <w:tcW w:w="316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社会保障和就业支出</w:t>
            </w: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125.53</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125.53</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125.53</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12" w:type="dxa"/>
            <w:vAlign w:val="top"/>
          </w:tcPr>
          <w:p>
            <w:pPr>
              <w:jc w:val="left"/>
              <w:rPr>
                <w:rFonts w:hint="eastAsia" w:ascii="宋体" w:hAnsi="宋体" w:eastAsia="宋体" w:cs="宋体"/>
                <w:color w:val="000000"/>
                <w:sz w:val="18"/>
                <w:szCs w:val="18"/>
                <w:lang w:val="en-US" w:eastAsia="zh-CN"/>
              </w:rPr>
            </w:pPr>
          </w:p>
        </w:tc>
        <w:tc>
          <w:tcPr>
            <w:tcW w:w="1680" w:type="dxa"/>
            <w:vAlign w:val="top"/>
          </w:tcPr>
          <w:p>
            <w:pPr>
              <w:jc w:val="left"/>
              <w:rPr>
                <w:rFonts w:hint="eastAsia" w:ascii="宋体" w:hAnsi="宋体" w:eastAsia="宋体" w:cs="宋体"/>
                <w:color w:val="000000"/>
                <w:sz w:val="18"/>
                <w:szCs w:val="18"/>
                <w:lang w:val="en-US" w:eastAsia="zh-CN"/>
              </w:rPr>
            </w:pPr>
          </w:p>
        </w:tc>
        <w:tc>
          <w:tcPr>
            <w:tcW w:w="64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208</w:t>
            </w:r>
          </w:p>
        </w:tc>
        <w:tc>
          <w:tcPr>
            <w:tcW w:w="690"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w:t>
            </w:r>
          </w:p>
        </w:tc>
        <w:tc>
          <w:tcPr>
            <w:tcW w:w="795" w:type="dxa"/>
            <w:vAlign w:val="top"/>
          </w:tcPr>
          <w:p>
            <w:pPr>
              <w:jc w:val="center"/>
              <w:rPr>
                <w:rFonts w:hint="eastAsia" w:ascii="宋体" w:hAnsi="宋体" w:eastAsia="宋体" w:cs="宋体"/>
                <w:color w:val="000000"/>
                <w:sz w:val="18"/>
                <w:szCs w:val="18"/>
                <w:lang w:val="en-US" w:eastAsia="zh-CN"/>
              </w:rPr>
            </w:pPr>
          </w:p>
        </w:tc>
        <w:tc>
          <w:tcPr>
            <w:tcW w:w="316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行政事业单位养老支出</w:t>
            </w: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125.53</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125.53</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125.53</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12" w:type="dxa"/>
            <w:vAlign w:val="top"/>
          </w:tcPr>
          <w:p>
            <w:pPr>
              <w:jc w:val="left"/>
              <w:rPr>
                <w:rFonts w:hint="eastAsia" w:ascii="宋体" w:hAnsi="宋体" w:eastAsia="宋体" w:cs="宋体"/>
                <w:color w:val="000000"/>
                <w:sz w:val="18"/>
                <w:szCs w:val="18"/>
                <w:lang w:val="en-US" w:eastAsia="zh-CN"/>
              </w:rPr>
            </w:pPr>
          </w:p>
        </w:tc>
        <w:tc>
          <w:tcPr>
            <w:tcW w:w="1680" w:type="dxa"/>
            <w:vAlign w:val="top"/>
          </w:tcPr>
          <w:p>
            <w:pPr>
              <w:jc w:val="left"/>
              <w:rPr>
                <w:rFonts w:hint="eastAsia" w:ascii="宋体" w:hAnsi="宋体" w:eastAsia="宋体" w:cs="宋体"/>
                <w:color w:val="000000"/>
                <w:sz w:val="18"/>
                <w:szCs w:val="18"/>
                <w:lang w:val="en-US" w:eastAsia="zh-CN"/>
              </w:rPr>
            </w:pPr>
          </w:p>
        </w:tc>
        <w:tc>
          <w:tcPr>
            <w:tcW w:w="645"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208</w:t>
            </w:r>
          </w:p>
        </w:tc>
        <w:tc>
          <w:tcPr>
            <w:tcW w:w="690"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w:t>
            </w:r>
          </w:p>
        </w:tc>
        <w:tc>
          <w:tcPr>
            <w:tcW w:w="795"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w:t>
            </w:r>
          </w:p>
        </w:tc>
        <w:tc>
          <w:tcPr>
            <w:tcW w:w="316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机关事业单位基本养老保险缴费支出</w:t>
            </w: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125.53</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125.53</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125.53</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12" w:type="dxa"/>
            <w:vAlign w:val="top"/>
          </w:tcPr>
          <w:p>
            <w:pPr>
              <w:jc w:val="left"/>
              <w:rPr>
                <w:rFonts w:hint="eastAsia" w:ascii="宋体" w:hAnsi="宋体" w:eastAsia="宋体" w:cs="宋体"/>
                <w:color w:val="000000"/>
                <w:sz w:val="18"/>
                <w:szCs w:val="18"/>
                <w:lang w:val="en-US" w:eastAsia="zh-CN"/>
              </w:rPr>
            </w:pPr>
          </w:p>
        </w:tc>
        <w:tc>
          <w:tcPr>
            <w:tcW w:w="1680" w:type="dxa"/>
            <w:vAlign w:val="top"/>
          </w:tcPr>
          <w:p>
            <w:pPr>
              <w:jc w:val="left"/>
              <w:rPr>
                <w:rFonts w:hint="eastAsia" w:ascii="宋体" w:hAnsi="宋体" w:eastAsia="宋体" w:cs="宋体"/>
                <w:color w:val="000000"/>
                <w:sz w:val="18"/>
                <w:szCs w:val="18"/>
                <w:lang w:val="en-US" w:eastAsia="zh-CN"/>
              </w:rPr>
            </w:pPr>
          </w:p>
        </w:tc>
        <w:tc>
          <w:tcPr>
            <w:tcW w:w="645"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210</w:t>
            </w:r>
          </w:p>
        </w:tc>
        <w:tc>
          <w:tcPr>
            <w:tcW w:w="690" w:type="dxa"/>
            <w:vAlign w:val="top"/>
          </w:tcPr>
          <w:p>
            <w:pPr>
              <w:jc w:val="center"/>
              <w:rPr>
                <w:rFonts w:hint="eastAsia" w:ascii="宋体" w:hAnsi="宋体" w:eastAsia="宋体" w:cs="宋体"/>
                <w:color w:val="000000"/>
                <w:sz w:val="18"/>
                <w:szCs w:val="18"/>
                <w:lang w:val="en-US" w:eastAsia="zh-CN"/>
              </w:rPr>
            </w:pPr>
          </w:p>
        </w:tc>
        <w:tc>
          <w:tcPr>
            <w:tcW w:w="795" w:type="dxa"/>
            <w:vAlign w:val="top"/>
          </w:tcPr>
          <w:p>
            <w:pPr>
              <w:jc w:val="center"/>
              <w:rPr>
                <w:rFonts w:hint="eastAsia" w:ascii="宋体" w:hAnsi="宋体" w:eastAsia="宋体" w:cs="宋体"/>
                <w:color w:val="000000"/>
                <w:sz w:val="18"/>
                <w:szCs w:val="18"/>
                <w:lang w:val="en-US" w:eastAsia="zh-CN"/>
              </w:rPr>
            </w:pPr>
          </w:p>
        </w:tc>
        <w:tc>
          <w:tcPr>
            <w:tcW w:w="316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卫生健康支出</w:t>
            </w: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65.52</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65.52</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65.52</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12" w:type="dxa"/>
            <w:vAlign w:val="top"/>
          </w:tcPr>
          <w:p>
            <w:pPr>
              <w:jc w:val="left"/>
              <w:rPr>
                <w:rFonts w:hint="eastAsia" w:ascii="宋体" w:hAnsi="宋体" w:eastAsia="宋体" w:cs="宋体"/>
                <w:color w:val="000000"/>
                <w:sz w:val="18"/>
                <w:szCs w:val="18"/>
                <w:lang w:val="en-US" w:eastAsia="zh-CN"/>
              </w:rPr>
            </w:pPr>
          </w:p>
        </w:tc>
        <w:tc>
          <w:tcPr>
            <w:tcW w:w="1680" w:type="dxa"/>
            <w:vAlign w:val="top"/>
          </w:tcPr>
          <w:p>
            <w:pPr>
              <w:jc w:val="left"/>
              <w:rPr>
                <w:rFonts w:hint="eastAsia" w:ascii="宋体" w:hAnsi="宋体" w:eastAsia="宋体" w:cs="宋体"/>
                <w:color w:val="000000"/>
                <w:sz w:val="18"/>
                <w:szCs w:val="18"/>
                <w:lang w:val="en-US" w:eastAsia="zh-CN"/>
              </w:rPr>
            </w:pPr>
          </w:p>
        </w:tc>
        <w:tc>
          <w:tcPr>
            <w:tcW w:w="64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210</w:t>
            </w:r>
          </w:p>
        </w:tc>
        <w:tc>
          <w:tcPr>
            <w:tcW w:w="690"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c>
          <w:tcPr>
            <w:tcW w:w="795" w:type="dxa"/>
            <w:vAlign w:val="top"/>
          </w:tcPr>
          <w:p>
            <w:pPr>
              <w:jc w:val="center"/>
              <w:rPr>
                <w:rFonts w:hint="eastAsia" w:ascii="宋体" w:hAnsi="宋体" w:eastAsia="宋体" w:cs="宋体"/>
                <w:color w:val="000000"/>
                <w:sz w:val="18"/>
                <w:szCs w:val="18"/>
                <w:lang w:val="en-US" w:eastAsia="zh-CN"/>
              </w:rPr>
            </w:pPr>
          </w:p>
        </w:tc>
        <w:tc>
          <w:tcPr>
            <w:tcW w:w="316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行政事业单位医疗</w:t>
            </w: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65.52</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65.52</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65.52</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12" w:type="dxa"/>
            <w:vAlign w:val="top"/>
          </w:tcPr>
          <w:p>
            <w:pPr>
              <w:jc w:val="left"/>
              <w:rPr>
                <w:rFonts w:hint="eastAsia" w:ascii="宋体" w:hAnsi="宋体" w:eastAsia="宋体" w:cs="宋体"/>
                <w:color w:val="000000"/>
                <w:sz w:val="18"/>
                <w:szCs w:val="18"/>
                <w:lang w:val="en-US" w:eastAsia="zh-CN"/>
              </w:rPr>
            </w:pPr>
          </w:p>
        </w:tc>
        <w:tc>
          <w:tcPr>
            <w:tcW w:w="1680" w:type="dxa"/>
            <w:vAlign w:val="top"/>
          </w:tcPr>
          <w:p>
            <w:pPr>
              <w:jc w:val="left"/>
              <w:rPr>
                <w:rFonts w:hint="eastAsia" w:ascii="宋体" w:hAnsi="宋体" w:eastAsia="宋体" w:cs="宋体"/>
                <w:color w:val="000000"/>
                <w:sz w:val="18"/>
                <w:szCs w:val="18"/>
                <w:lang w:val="en-US" w:eastAsia="zh-CN"/>
              </w:rPr>
            </w:pPr>
          </w:p>
        </w:tc>
        <w:tc>
          <w:tcPr>
            <w:tcW w:w="645"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210</w:t>
            </w:r>
          </w:p>
        </w:tc>
        <w:tc>
          <w:tcPr>
            <w:tcW w:w="690"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c>
          <w:tcPr>
            <w:tcW w:w="795"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02</w:t>
            </w:r>
          </w:p>
        </w:tc>
        <w:tc>
          <w:tcPr>
            <w:tcW w:w="316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事业单位医疗</w:t>
            </w: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54.92</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54.92</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54.92</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12" w:type="dxa"/>
            <w:vAlign w:val="top"/>
          </w:tcPr>
          <w:p>
            <w:pPr>
              <w:jc w:val="left"/>
              <w:rPr>
                <w:rFonts w:hint="eastAsia" w:ascii="宋体" w:hAnsi="宋体" w:eastAsia="宋体" w:cs="宋体"/>
                <w:color w:val="000000"/>
                <w:sz w:val="18"/>
                <w:szCs w:val="18"/>
                <w:lang w:val="en-US" w:eastAsia="zh-CN"/>
              </w:rPr>
            </w:pPr>
          </w:p>
        </w:tc>
        <w:tc>
          <w:tcPr>
            <w:tcW w:w="1680" w:type="dxa"/>
            <w:vAlign w:val="top"/>
          </w:tcPr>
          <w:p>
            <w:pPr>
              <w:jc w:val="left"/>
              <w:rPr>
                <w:rFonts w:hint="eastAsia" w:ascii="宋体" w:hAnsi="宋体" w:eastAsia="宋体" w:cs="宋体"/>
                <w:color w:val="000000"/>
                <w:sz w:val="18"/>
                <w:szCs w:val="18"/>
                <w:lang w:val="en-US" w:eastAsia="zh-CN"/>
              </w:rPr>
            </w:pPr>
          </w:p>
        </w:tc>
        <w:tc>
          <w:tcPr>
            <w:tcW w:w="645"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210</w:t>
            </w:r>
          </w:p>
        </w:tc>
        <w:tc>
          <w:tcPr>
            <w:tcW w:w="690"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w:t>
            </w:r>
          </w:p>
        </w:tc>
        <w:tc>
          <w:tcPr>
            <w:tcW w:w="795"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03</w:t>
            </w:r>
          </w:p>
        </w:tc>
        <w:tc>
          <w:tcPr>
            <w:tcW w:w="316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公务员医疗补助</w:t>
            </w: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10.60</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10.60</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10.60</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12" w:type="dxa"/>
            <w:vAlign w:val="top"/>
          </w:tcPr>
          <w:p>
            <w:pPr>
              <w:jc w:val="left"/>
              <w:rPr>
                <w:rFonts w:hint="eastAsia" w:ascii="宋体" w:hAnsi="宋体" w:eastAsia="宋体" w:cs="宋体"/>
                <w:color w:val="000000"/>
                <w:sz w:val="18"/>
                <w:szCs w:val="18"/>
                <w:lang w:val="en-US" w:eastAsia="zh-CN"/>
              </w:rPr>
            </w:pPr>
          </w:p>
        </w:tc>
        <w:tc>
          <w:tcPr>
            <w:tcW w:w="1680" w:type="dxa"/>
            <w:vAlign w:val="top"/>
          </w:tcPr>
          <w:p>
            <w:pPr>
              <w:jc w:val="left"/>
              <w:rPr>
                <w:rFonts w:hint="eastAsia" w:ascii="宋体" w:hAnsi="宋体" w:eastAsia="宋体" w:cs="宋体"/>
                <w:color w:val="000000"/>
                <w:sz w:val="18"/>
                <w:szCs w:val="18"/>
                <w:lang w:val="en-US" w:eastAsia="zh-CN"/>
              </w:rPr>
            </w:pPr>
          </w:p>
        </w:tc>
        <w:tc>
          <w:tcPr>
            <w:tcW w:w="645"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214</w:t>
            </w:r>
          </w:p>
        </w:tc>
        <w:tc>
          <w:tcPr>
            <w:tcW w:w="690" w:type="dxa"/>
            <w:vAlign w:val="top"/>
          </w:tcPr>
          <w:p>
            <w:pPr>
              <w:jc w:val="center"/>
              <w:rPr>
                <w:rFonts w:hint="eastAsia" w:ascii="宋体" w:hAnsi="宋体" w:eastAsia="宋体" w:cs="宋体"/>
                <w:color w:val="000000"/>
                <w:sz w:val="18"/>
                <w:szCs w:val="18"/>
                <w:lang w:val="en-US" w:eastAsia="zh-CN"/>
              </w:rPr>
            </w:pPr>
          </w:p>
        </w:tc>
        <w:tc>
          <w:tcPr>
            <w:tcW w:w="795" w:type="dxa"/>
            <w:vAlign w:val="top"/>
          </w:tcPr>
          <w:p>
            <w:pPr>
              <w:jc w:val="center"/>
              <w:rPr>
                <w:rFonts w:hint="eastAsia" w:ascii="宋体" w:hAnsi="宋体" w:eastAsia="宋体" w:cs="宋体"/>
                <w:color w:val="000000"/>
                <w:sz w:val="18"/>
                <w:szCs w:val="18"/>
                <w:lang w:val="en-US" w:eastAsia="zh-CN"/>
              </w:rPr>
            </w:pPr>
          </w:p>
        </w:tc>
        <w:tc>
          <w:tcPr>
            <w:tcW w:w="316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交通运输支出</w:t>
            </w: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1126.43</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1081.43</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960.72</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120.71</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12" w:type="dxa"/>
            <w:vAlign w:val="top"/>
          </w:tcPr>
          <w:p>
            <w:pPr>
              <w:jc w:val="left"/>
              <w:rPr>
                <w:rFonts w:hint="eastAsia" w:ascii="宋体" w:hAnsi="宋体" w:eastAsia="宋体" w:cs="宋体"/>
                <w:color w:val="000000"/>
                <w:sz w:val="18"/>
                <w:szCs w:val="18"/>
                <w:lang w:val="en-US" w:eastAsia="zh-CN"/>
              </w:rPr>
            </w:pPr>
          </w:p>
        </w:tc>
        <w:tc>
          <w:tcPr>
            <w:tcW w:w="1680" w:type="dxa"/>
            <w:vAlign w:val="top"/>
          </w:tcPr>
          <w:p>
            <w:pPr>
              <w:jc w:val="left"/>
              <w:rPr>
                <w:rFonts w:hint="eastAsia" w:ascii="宋体" w:hAnsi="宋体" w:eastAsia="宋体" w:cs="宋体"/>
                <w:color w:val="000000"/>
                <w:sz w:val="18"/>
                <w:szCs w:val="18"/>
                <w:lang w:val="en-US" w:eastAsia="zh-CN"/>
              </w:rPr>
            </w:pPr>
          </w:p>
        </w:tc>
        <w:tc>
          <w:tcPr>
            <w:tcW w:w="64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214</w:t>
            </w:r>
          </w:p>
        </w:tc>
        <w:tc>
          <w:tcPr>
            <w:tcW w:w="690"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01</w:t>
            </w:r>
          </w:p>
        </w:tc>
        <w:tc>
          <w:tcPr>
            <w:tcW w:w="795" w:type="dxa"/>
            <w:vAlign w:val="top"/>
          </w:tcPr>
          <w:p>
            <w:pPr>
              <w:jc w:val="center"/>
              <w:rPr>
                <w:rFonts w:hint="eastAsia" w:ascii="宋体" w:hAnsi="宋体" w:eastAsia="宋体" w:cs="宋体"/>
                <w:color w:val="000000"/>
                <w:sz w:val="18"/>
                <w:szCs w:val="18"/>
                <w:lang w:val="en-US" w:eastAsia="zh-CN"/>
              </w:rPr>
            </w:pPr>
          </w:p>
        </w:tc>
        <w:tc>
          <w:tcPr>
            <w:tcW w:w="316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公路水路运输</w:t>
            </w: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1126.43</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1081.43</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960.72</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120.71</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12" w:type="dxa"/>
            <w:vAlign w:val="top"/>
          </w:tcPr>
          <w:p>
            <w:pPr>
              <w:jc w:val="left"/>
              <w:rPr>
                <w:rFonts w:hint="eastAsia" w:ascii="宋体" w:hAnsi="宋体" w:eastAsia="宋体" w:cs="宋体"/>
                <w:color w:val="000000"/>
                <w:sz w:val="18"/>
                <w:szCs w:val="18"/>
                <w:lang w:val="en-US" w:eastAsia="zh-CN"/>
              </w:rPr>
            </w:pPr>
          </w:p>
        </w:tc>
        <w:tc>
          <w:tcPr>
            <w:tcW w:w="1680" w:type="dxa"/>
            <w:vAlign w:val="top"/>
          </w:tcPr>
          <w:p>
            <w:pPr>
              <w:jc w:val="left"/>
              <w:rPr>
                <w:rFonts w:hint="eastAsia" w:ascii="宋体" w:hAnsi="宋体" w:eastAsia="宋体" w:cs="宋体"/>
                <w:color w:val="000000"/>
                <w:sz w:val="18"/>
                <w:szCs w:val="18"/>
                <w:lang w:val="en-US" w:eastAsia="zh-CN"/>
              </w:rPr>
            </w:pPr>
          </w:p>
        </w:tc>
        <w:tc>
          <w:tcPr>
            <w:tcW w:w="645"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214</w:t>
            </w:r>
          </w:p>
        </w:tc>
        <w:tc>
          <w:tcPr>
            <w:tcW w:w="690"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01</w:t>
            </w:r>
          </w:p>
        </w:tc>
        <w:tc>
          <w:tcPr>
            <w:tcW w:w="795"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01</w:t>
            </w:r>
          </w:p>
        </w:tc>
        <w:tc>
          <w:tcPr>
            <w:tcW w:w="316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行政运行</w:t>
            </w: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1126.43</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1081.43</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960.72</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120.71</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12" w:type="dxa"/>
            <w:vAlign w:val="top"/>
          </w:tcPr>
          <w:p>
            <w:pPr>
              <w:jc w:val="left"/>
              <w:rPr>
                <w:rFonts w:hint="eastAsia" w:ascii="宋体" w:hAnsi="宋体" w:eastAsia="宋体" w:cs="宋体"/>
                <w:color w:val="000000"/>
                <w:sz w:val="18"/>
                <w:szCs w:val="18"/>
                <w:lang w:val="en-US" w:eastAsia="zh-CN"/>
              </w:rPr>
            </w:pPr>
          </w:p>
        </w:tc>
        <w:tc>
          <w:tcPr>
            <w:tcW w:w="1680" w:type="dxa"/>
            <w:vAlign w:val="top"/>
          </w:tcPr>
          <w:p>
            <w:pPr>
              <w:jc w:val="left"/>
              <w:rPr>
                <w:rFonts w:hint="eastAsia" w:ascii="宋体" w:hAnsi="宋体" w:eastAsia="宋体" w:cs="宋体"/>
                <w:color w:val="000000"/>
                <w:sz w:val="18"/>
                <w:szCs w:val="18"/>
                <w:lang w:val="en-US" w:eastAsia="zh-CN"/>
              </w:rPr>
            </w:pPr>
          </w:p>
        </w:tc>
        <w:tc>
          <w:tcPr>
            <w:tcW w:w="645"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221</w:t>
            </w:r>
          </w:p>
        </w:tc>
        <w:tc>
          <w:tcPr>
            <w:tcW w:w="690" w:type="dxa"/>
            <w:vAlign w:val="top"/>
          </w:tcPr>
          <w:p>
            <w:pPr>
              <w:jc w:val="center"/>
              <w:rPr>
                <w:rFonts w:hint="eastAsia" w:ascii="宋体" w:hAnsi="宋体" w:eastAsia="宋体" w:cs="宋体"/>
                <w:color w:val="000000"/>
                <w:sz w:val="18"/>
                <w:szCs w:val="18"/>
                <w:lang w:val="en-US" w:eastAsia="zh-CN"/>
              </w:rPr>
            </w:pPr>
          </w:p>
        </w:tc>
        <w:tc>
          <w:tcPr>
            <w:tcW w:w="795" w:type="dxa"/>
            <w:vAlign w:val="top"/>
          </w:tcPr>
          <w:p>
            <w:pPr>
              <w:jc w:val="center"/>
              <w:rPr>
                <w:rFonts w:hint="eastAsia" w:ascii="宋体" w:hAnsi="宋体" w:eastAsia="宋体" w:cs="宋体"/>
                <w:color w:val="000000"/>
                <w:sz w:val="18"/>
                <w:szCs w:val="18"/>
                <w:lang w:val="en-US" w:eastAsia="zh-CN"/>
              </w:rPr>
            </w:pPr>
          </w:p>
        </w:tc>
        <w:tc>
          <w:tcPr>
            <w:tcW w:w="316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住房保障支出</w:t>
            </w: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12" w:type="dxa"/>
            <w:vAlign w:val="top"/>
          </w:tcPr>
          <w:p>
            <w:pPr>
              <w:jc w:val="left"/>
              <w:rPr>
                <w:rFonts w:hint="eastAsia" w:ascii="宋体" w:hAnsi="宋体" w:eastAsia="宋体" w:cs="宋体"/>
                <w:color w:val="000000"/>
                <w:sz w:val="18"/>
                <w:szCs w:val="18"/>
                <w:lang w:val="en-US" w:eastAsia="zh-CN"/>
              </w:rPr>
            </w:pPr>
          </w:p>
        </w:tc>
        <w:tc>
          <w:tcPr>
            <w:tcW w:w="1680" w:type="dxa"/>
            <w:vAlign w:val="top"/>
          </w:tcPr>
          <w:p>
            <w:pPr>
              <w:jc w:val="left"/>
              <w:rPr>
                <w:rFonts w:hint="eastAsia" w:ascii="宋体" w:hAnsi="宋体" w:eastAsia="宋体" w:cs="宋体"/>
                <w:color w:val="000000"/>
                <w:sz w:val="18"/>
                <w:szCs w:val="18"/>
                <w:lang w:val="en-US" w:eastAsia="zh-CN"/>
              </w:rPr>
            </w:pPr>
          </w:p>
        </w:tc>
        <w:tc>
          <w:tcPr>
            <w:tcW w:w="64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221</w:t>
            </w:r>
          </w:p>
        </w:tc>
        <w:tc>
          <w:tcPr>
            <w:tcW w:w="690"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02</w:t>
            </w:r>
          </w:p>
        </w:tc>
        <w:tc>
          <w:tcPr>
            <w:tcW w:w="795" w:type="dxa"/>
            <w:vAlign w:val="top"/>
          </w:tcPr>
          <w:p>
            <w:pPr>
              <w:jc w:val="center"/>
              <w:rPr>
                <w:rFonts w:hint="eastAsia" w:ascii="宋体" w:hAnsi="宋体" w:eastAsia="宋体" w:cs="宋体"/>
                <w:color w:val="000000"/>
                <w:sz w:val="18"/>
                <w:szCs w:val="18"/>
                <w:lang w:val="en-US" w:eastAsia="zh-CN"/>
              </w:rPr>
            </w:pPr>
          </w:p>
        </w:tc>
        <w:tc>
          <w:tcPr>
            <w:tcW w:w="316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住房改革支出</w:t>
            </w: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312" w:type="dxa"/>
            <w:vAlign w:val="top"/>
          </w:tcPr>
          <w:p>
            <w:pPr>
              <w:jc w:val="left"/>
              <w:rPr>
                <w:rFonts w:hint="eastAsia" w:ascii="宋体" w:hAnsi="宋体" w:eastAsia="宋体" w:cs="宋体"/>
                <w:color w:val="000000"/>
                <w:sz w:val="18"/>
                <w:szCs w:val="18"/>
                <w:lang w:val="en-US" w:eastAsia="zh-CN"/>
              </w:rPr>
            </w:pPr>
          </w:p>
        </w:tc>
        <w:tc>
          <w:tcPr>
            <w:tcW w:w="1680" w:type="dxa"/>
            <w:vAlign w:val="top"/>
          </w:tcPr>
          <w:p>
            <w:pPr>
              <w:jc w:val="left"/>
              <w:rPr>
                <w:rFonts w:hint="eastAsia" w:ascii="宋体" w:hAnsi="宋体" w:eastAsia="宋体" w:cs="宋体"/>
                <w:color w:val="000000"/>
                <w:sz w:val="18"/>
                <w:szCs w:val="18"/>
                <w:lang w:val="en-US" w:eastAsia="zh-CN"/>
              </w:rPr>
            </w:pPr>
          </w:p>
        </w:tc>
        <w:tc>
          <w:tcPr>
            <w:tcW w:w="645"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221</w:t>
            </w:r>
          </w:p>
        </w:tc>
        <w:tc>
          <w:tcPr>
            <w:tcW w:w="690"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02</w:t>
            </w:r>
          </w:p>
        </w:tc>
        <w:tc>
          <w:tcPr>
            <w:tcW w:w="795"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01</w:t>
            </w:r>
          </w:p>
        </w:tc>
        <w:tc>
          <w:tcPr>
            <w:tcW w:w="316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住房公积金</w:t>
            </w:r>
          </w:p>
        </w:tc>
        <w:tc>
          <w:tcPr>
            <w:tcW w:w="1216"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1230"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118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136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1275" w:type="dxa"/>
            <w:vAlign w:val="top"/>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bl>
    <w:p>
      <w:pPr>
        <w:rPr>
          <w:rFonts w:ascii="微软雅黑"/>
          <w:sz w:val="21"/>
        </w:rPr>
      </w:pPr>
    </w:p>
    <w:p>
      <w:pPr>
        <w:sectPr>
          <w:footerReference r:id="rId11" w:type="default"/>
          <w:pgSz w:w="16839" w:h="11906"/>
          <w:pgMar w:top="1012" w:right="2184" w:bottom="1435" w:left="1114" w:header="0" w:footer="1267" w:gutter="0"/>
          <w:pgNumType w:fmt="decimal"/>
          <w:cols w:space="720" w:num="1"/>
        </w:sectPr>
      </w:pPr>
    </w:p>
    <w:p>
      <w:pPr>
        <w:ind w:right="210"/>
        <w:jc w:val="right"/>
        <w:rPr>
          <w:rFonts w:hint="eastAsia" w:ascii="宋体" w:hAnsi="宋体"/>
          <w:b/>
          <w:szCs w:val="21"/>
        </w:rPr>
      </w:pPr>
    </w:p>
    <w:p>
      <w:pPr>
        <w:ind w:right="210"/>
        <w:jc w:val="right"/>
        <w:rPr>
          <w:rFonts w:hint="eastAsia" w:ascii="宋体" w:hAnsi="宋体"/>
          <w:b/>
          <w:szCs w:val="21"/>
        </w:rPr>
      </w:pPr>
    </w:p>
    <w:p>
      <w:pPr>
        <w:ind w:right="210"/>
        <w:jc w:val="right"/>
        <w:rPr>
          <w:rFonts w:ascii="宋体" w:hAnsi="宋体"/>
          <w:b/>
          <w:szCs w:val="21"/>
        </w:rPr>
      </w:pPr>
      <w:r>
        <w:rPr>
          <w:rFonts w:hint="eastAsia" w:ascii="宋体" w:hAnsi="宋体" w:eastAsia="宋体"/>
          <w:b/>
          <w:szCs w:val="21"/>
          <w:lang w:eastAsia="zh-CN"/>
        </w:rPr>
        <w:t>单位</w:t>
      </w:r>
      <w:r>
        <w:rPr>
          <w:rFonts w:hint="eastAsia" w:ascii="宋体" w:hAnsi="宋体"/>
          <w:b/>
          <w:szCs w:val="21"/>
        </w:rPr>
        <w:t>公开表</w:t>
      </w:r>
      <w:r>
        <w:rPr>
          <w:rFonts w:ascii="宋体" w:hAnsi="宋体"/>
          <w:b/>
          <w:szCs w:val="21"/>
        </w:rPr>
        <w:t>6</w:t>
      </w:r>
    </w:p>
    <w:p>
      <w:pPr>
        <w:jc w:val="center"/>
        <w:rPr>
          <w:rFonts w:ascii="仿宋_GB2312" w:hAnsi="宋体" w:eastAsia="仿宋_GB2312" w:cs="宋体"/>
          <w:b/>
          <w:kern w:val="0"/>
          <w:sz w:val="30"/>
          <w:szCs w:val="30"/>
        </w:rPr>
      </w:pPr>
      <w:r>
        <w:rPr>
          <w:rFonts w:hint="eastAsia" w:ascii="仿宋_GB2312" w:eastAsia="仿宋_GB2312"/>
          <w:b/>
          <w:sz w:val="30"/>
          <w:szCs w:val="30"/>
        </w:rPr>
        <w:t>表</w:t>
      </w:r>
      <w:r>
        <w:rPr>
          <w:rFonts w:ascii="仿宋_GB2312" w:eastAsia="仿宋_GB2312"/>
          <w:b/>
          <w:sz w:val="30"/>
          <w:szCs w:val="30"/>
        </w:rPr>
        <w:t>6</w:t>
      </w:r>
      <w:r>
        <w:rPr>
          <w:rFonts w:hint="eastAsia" w:ascii="仿宋_GB2312" w:eastAsia="仿宋_GB2312"/>
          <w:b/>
          <w:sz w:val="30"/>
          <w:szCs w:val="30"/>
        </w:rPr>
        <w:t>.</w:t>
      </w:r>
      <w:r>
        <w:rPr>
          <w:rFonts w:hint="eastAsia" w:ascii="仿宋_GB2312" w:hAnsi="宋体" w:eastAsia="仿宋_GB2312" w:cs="宋体"/>
          <w:b/>
          <w:kern w:val="0"/>
          <w:sz w:val="30"/>
          <w:szCs w:val="30"/>
        </w:rPr>
        <w:t>政府性基金预算支出表</w:t>
      </w:r>
    </w:p>
    <w:tbl>
      <w:tblPr>
        <w:tblStyle w:val="5"/>
        <w:tblpPr w:leftFromText="180" w:rightFromText="180" w:vertAnchor="text" w:horzAnchor="page" w:tblpX="2148" w:tblpY="653"/>
        <w:tblOverlap w:val="never"/>
        <w:tblW w:w="12025" w:type="dxa"/>
        <w:tblInd w:w="0" w:type="dxa"/>
        <w:tblLayout w:type="fixed"/>
        <w:tblCellMar>
          <w:top w:w="0" w:type="dxa"/>
          <w:left w:w="0" w:type="dxa"/>
          <w:bottom w:w="0" w:type="dxa"/>
          <w:right w:w="0" w:type="dxa"/>
        </w:tblCellMar>
      </w:tblPr>
      <w:tblGrid>
        <w:gridCol w:w="1200"/>
        <w:gridCol w:w="1200"/>
        <w:gridCol w:w="648"/>
        <w:gridCol w:w="648"/>
        <w:gridCol w:w="654"/>
        <w:gridCol w:w="1474"/>
        <w:gridCol w:w="798"/>
        <w:gridCol w:w="1545"/>
        <w:gridCol w:w="1005"/>
        <w:gridCol w:w="1140"/>
        <w:gridCol w:w="1713"/>
      </w:tblGrid>
      <w:tr>
        <w:tblPrEx>
          <w:tblCellMar>
            <w:top w:w="0" w:type="dxa"/>
            <w:left w:w="0" w:type="dxa"/>
            <w:bottom w:w="0" w:type="dxa"/>
            <w:right w:w="0" w:type="dxa"/>
          </w:tblCellMar>
        </w:tblPrEx>
        <w:trPr>
          <w:trHeight w:val="465"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单位编码</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单位名称</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科目编码</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科目名称</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  计</w:t>
            </w:r>
          </w:p>
        </w:tc>
        <w:tc>
          <w:tcPr>
            <w:tcW w:w="3690" w:type="dxa"/>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基本支出</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项目支出</w:t>
            </w:r>
          </w:p>
        </w:tc>
      </w:tr>
      <w:tr>
        <w:tblPrEx>
          <w:tblCellMar>
            <w:top w:w="0" w:type="dxa"/>
            <w:left w:w="0" w:type="dxa"/>
            <w:bottom w:w="0" w:type="dxa"/>
            <w:right w:w="0" w:type="dxa"/>
          </w:tblCellMar>
        </w:tblPrEx>
        <w:trPr>
          <w:trHeight w:val="36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款</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  计</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人员支出</w:t>
            </w:r>
          </w:p>
        </w:tc>
        <w:tc>
          <w:tcPr>
            <w:tcW w:w="1140"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日常公用支出</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375"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140"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60" w:hRule="atLeast"/>
        </w:trPr>
        <w:tc>
          <w:tcPr>
            <w:tcW w:w="2400"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合计</w:t>
            </w:r>
          </w:p>
        </w:tc>
        <w:tc>
          <w:tcPr>
            <w:tcW w:w="6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47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9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left"/>
              <w:rPr>
                <w:rFonts w:ascii="宋体" w:hAnsi="宋体" w:cs="宋体"/>
                <w:color w:val="000000"/>
                <w:sz w:val="18"/>
                <w:szCs w:val="18"/>
              </w:rPr>
            </w:pPr>
          </w:p>
        </w:tc>
      </w:tr>
      <w:tr>
        <w:tblPrEx>
          <w:tblCellMar>
            <w:top w:w="0" w:type="dxa"/>
            <w:left w:w="0" w:type="dxa"/>
            <w:bottom w:w="0" w:type="dxa"/>
            <w:right w:w="0" w:type="dxa"/>
          </w:tblCellMar>
        </w:tblPrEx>
        <w:trPr>
          <w:trHeight w:val="598" w:hRule="atLeast"/>
        </w:trPr>
        <w:tc>
          <w:tcPr>
            <w:tcW w:w="12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2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47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9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585" w:hRule="atLeast"/>
        </w:trPr>
        <w:tc>
          <w:tcPr>
            <w:tcW w:w="12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2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47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9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610" w:hRule="atLeast"/>
        </w:trPr>
        <w:tc>
          <w:tcPr>
            <w:tcW w:w="12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2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47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9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614" w:hRule="atLeast"/>
        </w:trPr>
        <w:tc>
          <w:tcPr>
            <w:tcW w:w="12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2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47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9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633" w:hRule="atLeast"/>
        </w:trPr>
        <w:tc>
          <w:tcPr>
            <w:tcW w:w="12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20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5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47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79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4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rPr>
            </w:pPr>
          </w:p>
        </w:tc>
      </w:tr>
    </w:tbl>
    <w:p>
      <w:pPr>
        <w:ind w:firstLine="12339" w:firstLineChars="4097"/>
        <w:jc w:val="left"/>
        <w:rPr>
          <w:rFonts w:ascii="仿宋_GB2312" w:hAnsi="宋体" w:eastAsia="仿宋_GB2312" w:cs="宋体"/>
          <w:kern w:val="0"/>
          <w:szCs w:val="21"/>
        </w:rPr>
      </w:pPr>
      <w:r>
        <w:rPr>
          <w:rFonts w:hint="eastAsia" w:ascii="黑体" w:eastAsia="黑体"/>
          <w:b/>
          <w:sz w:val="30"/>
          <w:szCs w:val="30"/>
        </w:rPr>
        <w:t xml:space="preserve">       </w:t>
      </w:r>
    </w:p>
    <w:p>
      <w:pPr>
        <w:ind w:firstLine="10283" w:firstLineChars="4897"/>
        <w:jc w:val="left"/>
        <w:rPr>
          <w:rFonts w:ascii="仿宋_GB2312" w:hAnsi="宋体" w:eastAsia="仿宋_GB2312" w:cs="宋体"/>
          <w:kern w:val="0"/>
          <w:szCs w:val="21"/>
        </w:rPr>
      </w:pPr>
      <w:r>
        <w:rPr>
          <w:rFonts w:hint="eastAsia" w:ascii="仿宋_GB2312" w:hAnsi="宋体" w:eastAsia="仿宋_GB2312" w:cs="宋体"/>
          <w:kern w:val="0"/>
          <w:szCs w:val="21"/>
        </w:rPr>
        <w:t>单位：万元</w:t>
      </w:r>
    </w:p>
    <w:p>
      <w:pPr>
        <w:jc w:val="left"/>
        <w:rPr>
          <w:rFonts w:hint="eastAsia" w:ascii="宋体" w:hAnsi="宋体"/>
          <w:b/>
          <w:szCs w:val="21"/>
          <w:highlight w:val="green"/>
          <w:lang w:val="en-US" w:eastAsia="zh-CN"/>
        </w:rPr>
      </w:pPr>
      <w:r>
        <w:rPr>
          <w:rFonts w:hint="eastAsia" w:ascii="宋体" w:hAnsi="宋体"/>
          <w:b/>
          <w:szCs w:val="21"/>
          <w:highlight w:val="none"/>
          <w:lang w:val="en-US" w:eastAsia="zh-CN"/>
        </w:rPr>
        <w:t>注：2021年没有使用政府性基金预算拨款安排的支出。</w:t>
      </w:r>
    </w:p>
    <w:p>
      <w:pPr>
        <w:ind w:right="210"/>
        <w:jc w:val="right"/>
        <w:rPr>
          <w:rFonts w:hint="eastAsia" w:ascii="宋体" w:hAnsi="宋体" w:eastAsia="宋体"/>
          <w:b/>
          <w:szCs w:val="21"/>
          <w:highlight w:val="none"/>
          <w:lang w:val="en-US" w:eastAsia="zh-CN"/>
        </w:rPr>
      </w:pPr>
    </w:p>
    <w:p>
      <w:pPr>
        <w:ind w:right="210"/>
        <w:jc w:val="right"/>
        <w:rPr>
          <w:rFonts w:hint="eastAsia" w:ascii="宋体" w:hAnsi="宋体" w:eastAsia="宋体"/>
          <w:b/>
          <w:szCs w:val="21"/>
          <w:highlight w:val="none"/>
          <w:lang w:val="en-US" w:eastAsia="zh-CN"/>
        </w:rPr>
      </w:pPr>
    </w:p>
    <w:p>
      <w:pPr>
        <w:ind w:right="210"/>
        <w:jc w:val="right"/>
        <w:rPr>
          <w:rFonts w:hint="eastAsia" w:ascii="宋体" w:hAnsi="宋体" w:eastAsia="宋体"/>
          <w:b/>
          <w:szCs w:val="21"/>
          <w:highlight w:val="none"/>
          <w:lang w:val="en-US" w:eastAsia="zh-CN"/>
        </w:rPr>
      </w:pPr>
    </w:p>
    <w:p>
      <w:pPr>
        <w:ind w:right="210"/>
        <w:jc w:val="right"/>
        <w:rPr>
          <w:rFonts w:hint="eastAsia" w:ascii="宋体" w:hAnsi="宋体" w:eastAsia="宋体"/>
          <w:b/>
          <w:szCs w:val="21"/>
          <w:highlight w:val="none"/>
          <w:lang w:val="en-US" w:eastAsia="zh-CN"/>
        </w:rPr>
      </w:pPr>
    </w:p>
    <w:p>
      <w:pPr>
        <w:ind w:right="210"/>
        <w:jc w:val="right"/>
        <w:rPr>
          <w:rFonts w:hint="eastAsia" w:ascii="宋体" w:hAnsi="宋体" w:eastAsia="宋体"/>
          <w:b/>
          <w:szCs w:val="21"/>
          <w:highlight w:val="none"/>
          <w:lang w:val="en-US" w:eastAsia="zh-CN"/>
        </w:rPr>
      </w:pPr>
    </w:p>
    <w:p>
      <w:pPr>
        <w:ind w:right="210"/>
        <w:jc w:val="right"/>
        <w:rPr>
          <w:rFonts w:hint="eastAsia" w:ascii="宋体" w:hAnsi="宋体" w:eastAsia="宋体"/>
          <w:b/>
          <w:szCs w:val="21"/>
          <w:highlight w:val="none"/>
          <w:lang w:val="en-US" w:eastAsia="zh-CN"/>
        </w:rPr>
      </w:pPr>
    </w:p>
    <w:p>
      <w:pPr>
        <w:ind w:right="210"/>
        <w:jc w:val="right"/>
        <w:rPr>
          <w:rFonts w:hint="eastAsia" w:ascii="宋体" w:hAnsi="宋体" w:eastAsia="宋体"/>
          <w:b/>
          <w:szCs w:val="21"/>
          <w:highlight w:val="none"/>
          <w:lang w:val="en-US" w:eastAsia="zh-CN"/>
        </w:rPr>
      </w:pPr>
    </w:p>
    <w:p>
      <w:pPr>
        <w:ind w:right="210"/>
        <w:jc w:val="right"/>
        <w:rPr>
          <w:rFonts w:hint="eastAsia" w:ascii="宋体" w:hAnsi="宋体" w:eastAsia="宋体"/>
          <w:b/>
          <w:szCs w:val="21"/>
          <w:highlight w:val="none"/>
          <w:lang w:val="en-US" w:eastAsia="zh-CN"/>
        </w:rPr>
      </w:pPr>
    </w:p>
    <w:p>
      <w:pPr>
        <w:ind w:right="210"/>
        <w:jc w:val="right"/>
        <w:rPr>
          <w:rFonts w:ascii="宋体" w:hAnsi="宋体"/>
          <w:b/>
          <w:szCs w:val="21"/>
          <w:highlight w:val="none"/>
        </w:rPr>
      </w:pPr>
      <w:r>
        <w:rPr>
          <w:rFonts w:hint="eastAsia" w:ascii="宋体" w:hAnsi="宋体" w:eastAsia="宋体"/>
          <w:b/>
          <w:szCs w:val="21"/>
          <w:highlight w:val="none"/>
          <w:lang w:val="en-US" w:eastAsia="zh-CN"/>
        </w:rPr>
        <w:t>单位</w:t>
      </w:r>
      <w:r>
        <w:rPr>
          <w:rFonts w:hint="eastAsia" w:ascii="宋体" w:hAnsi="宋体"/>
          <w:b/>
          <w:szCs w:val="21"/>
          <w:highlight w:val="none"/>
        </w:rPr>
        <w:t>公开表</w:t>
      </w:r>
      <w:r>
        <w:rPr>
          <w:rFonts w:hint="eastAsia" w:ascii="宋体" w:hAnsi="宋体"/>
          <w:b/>
          <w:szCs w:val="21"/>
          <w:highlight w:val="none"/>
          <w:lang w:val="en-US" w:eastAsia="zh-CN"/>
        </w:rPr>
        <w:t>7</w:t>
      </w:r>
    </w:p>
    <w:p>
      <w:pPr>
        <w:jc w:val="center"/>
        <w:rPr>
          <w:rFonts w:hint="eastAsia" w:ascii="仿宋_GB2312" w:eastAsia="仿宋_GB2312"/>
          <w:b/>
          <w:sz w:val="30"/>
          <w:szCs w:val="30"/>
          <w:highlight w:val="none"/>
        </w:rPr>
      </w:pPr>
    </w:p>
    <w:p>
      <w:pPr>
        <w:jc w:val="center"/>
        <w:rPr>
          <w:rFonts w:hint="eastAsia" w:ascii="仿宋_GB2312" w:eastAsia="仿宋_GB2312"/>
          <w:b/>
          <w:sz w:val="30"/>
          <w:szCs w:val="30"/>
          <w:highlight w:val="none"/>
        </w:rPr>
      </w:pPr>
    </w:p>
    <w:p>
      <w:pPr>
        <w:jc w:val="center"/>
        <w:rPr>
          <w:rFonts w:ascii="仿宋_GB2312" w:hAnsi="宋体" w:eastAsia="仿宋_GB2312" w:cs="宋体"/>
          <w:b/>
          <w:kern w:val="0"/>
          <w:sz w:val="30"/>
          <w:szCs w:val="30"/>
          <w:highlight w:val="none"/>
        </w:rPr>
      </w:pPr>
      <w:r>
        <w:rPr>
          <w:rFonts w:hint="eastAsia" w:ascii="仿宋_GB2312" w:eastAsia="仿宋_GB2312"/>
          <w:b/>
          <w:sz w:val="30"/>
          <w:szCs w:val="30"/>
          <w:highlight w:val="none"/>
        </w:rPr>
        <w:t>表</w:t>
      </w:r>
      <w:r>
        <w:rPr>
          <w:rFonts w:hint="eastAsia" w:ascii="仿宋_GB2312" w:eastAsia="仿宋_GB2312"/>
          <w:b/>
          <w:sz w:val="30"/>
          <w:szCs w:val="30"/>
          <w:highlight w:val="none"/>
          <w:lang w:val="en-US" w:eastAsia="zh-CN"/>
        </w:rPr>
        <w:t>7</w:t>
      </w:r>
      <w:r>
        <w:rPr>
          <w:rFonts w:hint="eastAsia" w:ascii="仿宋_GB2312" w:eastAsia="仿宋_GB2312"/>
          <w:b/>
          <w:sz w:val="30"/>
          <w:szCs w:val="30"/>
          <w:highlight w:val="none"/>
        </w:rPr>
        <w:t>.</w:t>
      </w:r>
      <w:r>
        <w:rPr>
          <w:rFonts w:hint="eastAsia" w:ascii="仿宋_GB2312" w:hAnsi="宋体" w:eastAsia="仿宋_GB2312" w:cs="宋体"/>
          <w:b/>
          <w:kern w:val="0"/>
          <w:sz w:val="30"/>
          <w:szCs w:val="30"/>
          <w:highlight w:val="none"/>
          <w:lang w:val="en-US" w:eastAsia="zh-CN"/>
        </w:rPr>
        <w:t>国有资本经营</w:t>
      </w:r>
      <w:r>
        <w:rPr>
          <w:rFonts w:hint="eastAsia" w:ascii="仿宋_GB2312" w:hAnsi="宋体" w:eastAsia="仿宋_GB2312" w:cs="宋体"/>
          <w:b/>
          <w:kern w:val="0"/>
          <w:sz w:val="30"/>
          <w:szCs w:val="30"/>
          <w:highlight w:val="none"/>
        </w:rPr>
        <w:t>预算支出表</w:t>
      </w:r>
    </w:p>
    <w:p>
      <w:pPr>
        <w:ind w:firstLine="10290" w:firstLineChars="4900"/>
        <w:jc w:val="lef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单位：万元</w:t>
      </w:r>
    </w:p>
    <w:tbl>
      <w:tblPr>
        <w:tblStyle w:val="5"/>
        <w:tblW w:w="11977" w:type="dxa"/>
        <w:tblInd w:w="0" w:type="dxa"/>
        <w:tblLayout w:type="fixed"/>
        <w:tblCellMar>
          <w:top w:w="0" w:type="dxa"/>
          <w:left w:w="0" w:type="dxa"/>
          <w:bottom w:w="0" w:type="dxa"/>
          <w:right w:w="0" w:type="dxa"/>
        </w:tblCellMar>
      </w:tblPr>
      <w:tblGrid>
        <w:gridCol w:w="1033"/>
        <w:gridCol w:w="1033"/>
        <w:gridCol w:w="557"/>
        <w:gridCol w:w="557"/>
        <w:gridCol w:w="564"/>
        <w:gridCol w:w="1269"/>
        <w:gridCol w:w="1507"/>
        <w:gridCol w:w="1507"/>
        <w:gridCol w:w="861"/>
        <w:gridCol w:w="1047"/>
        <w:gridCol w:w="2042"/>
      </w:tblGrid>
      <w:tr>
        <w:tblPrEx>
          <w:tblCellMar>
            <w:top w:w="0" w:type="dxa"/>
            <w:left w:w="0" w:type="dxa"/>
            <w:bottom w:w="0" w:type="dxa"/>
            <w:right w:w="0" w:type="dxa"/>
          </w:tblCellMar>
        </w:tblPrEx>
        <w:trPr>
          <w:trHeight w:val="453"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单位编码</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单位名称</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合  计</w:t>
            </w:r>
          </w:p>
        </w:tc>
        <w:tc>
          <w:tcPr>
            <w:tcW w:w="3415" w:type="dxa"/>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r>
      <w:tr>
        <w:tblPrEx>
          <w:tblCellMar>
            <w:top w:w="0" w:type="dxa"/>
            <w:left w:w="0" w:type="dxa"/>
            <w:bottom w:w="0" w:type="dxa"/>
            <w:right w:w="0" w:type="dxa"/>
          </w:tblCellMar>
        </w:tblPrEx>
        <w:trPr>
          <w:trHeight w:val="356"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类</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款</w:t>
            </w:r>
          </w:p>
        </w:tc>
        <w:tc>
          <w:tcPr>
            <w:tcW w:w="5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小  计</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人员支出</w:t>
            </w:r>
          </w:p>
        </w:tc>
        <w:tc>
          <w:tcPr>
            <w:tcW w:w="1047"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日常公用支出</w:t>
            </w: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r>
      <w:tr>
        <w:tblPrEx>
          <w:tblCellMar>
            <w:top w:w="0" w:type="dxa"/>
            <w:left w:w="0" w:type="dxa"/>
            <w:bottom w:w="0" w:type="dxa"/>
            <w:right w:w="0" w:type="dxa"/>
          </w:tblCellMar>
        </w:tblPrEx>
        <w:trPr>
          <w:trHeight w:val="37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c>
          <w:tcPr>
            <w:tcW w:w="5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c>
          <w:tcPr>
            <w:tcW w:w="1047"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highlight w:val="none"/>
              </w:rPr>
            </w:pPr>
          </w:p>
        </w:tc>
      </w:tr>
      <w:tr>
        <w:tblPrEx>
          <w:tblCellMar>
            <w:top w:w="0" w:type="dxa"/>
            <w:left w:w="0" w:type="dxa"/>
            <w:bottom w:w="0" w:type="dxa"/>
            <w:right w:w="0" w:type="dxa"/>
          </w:tblCellMar>
        </w:tblPrEx>
        <w:trPr>
          <w:trHeight w:val="540" w:hRule="atLeast"/>
        </w:trPr>
        <w:tc>
          <w:tcPr>
            <w:tcW w:w="2066"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highlight w:val="none"/>
              </w:rPr>
            </w:pPr>
            <w:r>
              <w:rPr>
                <w:rFonts w:hint="eastAsia" w:ascii="宋体" w:hAnsi="宋体" w:cs="宋体"/>
                <w:color w:val="000000"/>
                <w:sz w:val="18"/>
                <w:szCs w:val="18"/>
                <w:highlight w:val="none"/>
              </w:rPr>
              <w:t>合计</w:t>
            </w:r>
          </w:p>
        </w:tc>
        <w:tc>
          <w:tcPr>
            <w:tcW w:w="55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5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6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26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50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104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2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left"/>
              <w:rPr>
                <w:rFonts w:ascii="宋体" w:hAnsi="宋体" w:cs="宋体"/>
                <w:color w:val="000000"/>
                <w:sz w:val="18"/>
                <w:szCs w:val="18"/>
                <w:highlight w:val="none"/>
              </w:rPr>
            </w:pPr>
          </w:p>
        </w:tc>
      </w:tr>
      <w:tr>
        <w:tblPrEx>
          <w:tblCellMar>
            <w:top w:w="0" w:type="dxa"/>
            <w:left w:w="0" w:type="dxa"/>
            <w:bottom w:w="0" w:type="dxa"/>
            <w:right w:w="0" w:type="dxa"/>
          </w:tblCellMar>
        </w:tblPrEx>
        <w:trPr>
          <w:trHeight w:val="575" w:hRule="atLeast"/>
        </w:trPr>
        <w:tc>
          <w:tcPr>
            <w:tcW w:w="103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03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5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5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6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26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50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104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2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highlight w:val="none"/>
              </w:rPr>
            </w:pPr>
          </w:p>
        </w:tc>
      </w:tr>
      <w:tr>
        <w:tblPrEx>
          <w:tblCellMar>
            <w:top w:w="0" w:type="dxa"/>
            <w:left w:w="0" w:type="dxa"/>
            <w:bottom w:w="0" w:type="dxa"/>
            <w:right w:w="0" w:type="dxa"/>
          </w:tblCellMar>
        </w:tblPrEx>
        <w:trPr>
          <w:trHeight w:val="563" w:hRule="atLeast"/>
        </w:trPr>
        <w:tc>
          <w:tcPr>
            <w:tcW w:w="103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03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5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5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6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26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50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104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2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highlight w:val="none"/>
              </w:rPr>
            </w:pPr>
          </w:p>
        </w:tc>
      </w:tr>
      <w:tr>
        <w:tblPrEx>
          <w:tblCellMar>
            <w:top w:w="0" w:type="dxa"/>
            <w:left w:w="0" w:type="dxa"/>
            <w:bottom w:w="0" w:type="dxa"/>
            <w:right w:w="0" w:type="dxa"/>
          </w:tblCellMar>
        </w:tblPrEx>
        <w:trPr>
          <w:trHeight w:val="586" w:hRule="atLeast"/>
        </w:trPr>
        <w:tc>
          <w:tcPr>
            <w:tcW w:w="103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03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5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5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6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26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50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104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2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highlight w:val="none"/>
              </w:rPr>
            </w:pPr>
          </w:p>
        </w:tc>
      </w:tr>
      <w:tr>
        <w:tblPrEx>
          <w:tblCellMar>
            <w:top w:w="0" w:type="dxa"/>
            <w:left w:w="0" w:type="dxa"/>
            <w:bottom w:w="0" w:type="dxa"/>
            <w:right w:w="0" w:type="dxa"/>
          </w:tblCellMar>
        </w:tblPrEx>
        <w:trPr>
          <w:trHeight w:val="590" w:hRule="atLeast"/>
        </w:trPr>
        <w:tc>
          <w:tcPr>
            <w:tcW w:w="103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03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5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5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6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26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50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104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2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highlight w:val="none"/>
              </w:rPr>
            </w:pPr>
          </w:p>
        </w:tc>
      </w:tr>
      <w:tr>
        <w:tblPrEx>
          <w:tblCellMar>
            <w:top w:w="0" w:type="dxa"/>
            <w:left w:w="0" w:type="dxa"/>
            <w:bottom w:w="0" w:type="dxa"/>
            <w:right w:w="0" w:type="dxa"/>
          </w:tblCellMar>
        </w:tblPrEx>
        <w:trPr>
          <w:trHeight w:val="617" w:hRule="atLeast"/>
        </w:trPr>
        <w:tc>
          <w:tcPr>
            <w:tcW w:w="103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03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5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5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56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26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50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ascii="宋体" w:hAnsi="宋体" w:cs="宋体"/>
                <w:color w:val="000000"/>
                <w:sz w:val="18"/>
                <w:szCs w:val="18"/>
                <w:highlight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104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ascii="宋体" w:hAnsi="宋体" w:cs="宋体"/>
                <w:color w:val="000000"/>
                <w:sz w:val="18"/>
                <w:szCs w:val="18"/>
                <w:highlight w:val="none"/>
              </w:rPr>
            </w:pPr>
          </w:p>
        </w:tc>
        <w:tc>
          <w:tcPr>
            <w:tcW w:w="2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highlight w:val="none"/>
              </w:rPr>
            </w:pPr>
          </w:p>
        </w:tc>
      </w:tr>
    </w:tbl>
    <w:p>
      <w:pPr>
        <w:ind w:firstLine="8603" w:firstLineChars="4097"/>
        <w:jc w:val="left"/>
        <w:rPr>
          <w:rFonts w:ascii="仿宋_GB2312" w:hAnsi="宋体" w:eastAsia="仿宋_GB2312" w:cs="宋体"/>
          <w:kern w:val="0"/>
          <w:szCs w:val="21"/>
          <w:highlight w:val="none"/>
        </w:rPr>
      </w:pPr>
    </w:p>
    <w:p>
      <w:pPr>
        <w:jc w:val="left"/>
        <w:rPr>
          <w:rFonts w:hint="eastAsia" w:ascii="宋体" w:hAnsi="宋体"/>
          <w:b/>
          <w:szCs w:val="21"/>
          <w:highlight w:val="none"/>
          <w:lang w:val="en-US" w:eastAsia="zh-CN"/>
        </w:rPr>
      </w:pPr>
      <w:r>
        <w:rPr>
          <w:rFonts w:hint="eastAsia" w:ascii="宋体" w:hAnsi="宋体"/>
          <w:b/>
          <w:szCs w:val="21"/>
          <w:highlight w:val="none"/>
          <w:lang w:val="en-US" w:eastAsia="zh-CN"/>
        </w:rPr>
        <w:t>注：2021年没有使用国有资本经营预算拨款安排的支出。</w:t>
      </w:r>
    </w:p>
    <w:p>
      <w:pPr>
        <w:spacing w:before="144" w:line="184" w:lineRule="auto"/>
        <w:rPr>
          <w:rFonts w:ascii="宋体" w:hAnsi="宋体" w:eastAsia="宋体" w:cs="宋体"/>
          <w:spacing w:val="-2"/>
          <w:sz w:val="20"/>
          <w:szCs w:val="20"/>
        </w:rPr>
      </w:pPr>
    </w:p>
    <w:p>
      <w:pPr>
        <w:spacing w:before="144" w:line="184" w:lineRule="auto"/>
        <w:ind w:firstLine="10084"/>
        <w:rPr>
          <w:rFonts w:ascii="宋体" w:hAnsi="宋体" w:eastAsia="宋体" w:cs="宋体"/>
          <w:spacing w:val="-2"/>
          <w:sz w:val="20"/>
          <w:szCs w:val="20"/>
        </w:rPr>
      </w:pPr>
    </w:p>
    <w:p>
      <w:pPr>
        <w:spacing w:before="144" w:line="184" w:lineRule="auto"/>
        <w:ind w:firstLine="10084"/>
        <w:rPr>
          <w:rFonts w:ascii="宋体" w:hAnsi="宋体" w:eastAsia="宋体" w:cs="宋体"/>
          <w:spacing w:val="-2"/>
          <w:sz w:val="20"/>
          <w:szCs w:val="20"/>
        </w:rPr>
      </w:pPr>
    </w:p>
    <w:p>
      <w:pPr>
        <w:spacing w:before="144" w:line="184" w:lineRule="auto"/>
        <w:ind w:firstLine="10084"/>
        <w:rPr>
          <w:rFonts w:ascii="宋体" w:hAnsi="宋体" w:eastAsia="宋体" w:cs="宋体"/>
          <w:spacing w:val="-2"/>
          <w:sz w:val="20"/>
          <w:szCs w:val="20"/>
        </w:rPr>
      </w:pPr>
    </w:p>
    <w:p>
      <w:pPr>
        <w:spacing w:before="144" w:line="184" w:lineRule="auto"/>
        <w:ind w:firstLine="10084"/>
        <w:rPr>
          <w:rFonts w:ascii="宋体" w:hAnsi="宋体" w:eastAsia="宋体" w:cs="宋体"/>
          <w:spacing w:val="-2"/>
          <w:sz w:val="20"/>
          <w:szCs w:val="20"/>
        </w:rPr>
      </w:pPr>
    </w:p>
    <w:p>
      <w:pPr>
        <w:spacing w:before="144" w:line="184" w:lineRule="auto"/>
        <w:ind w:firstLine="10084"/>
        <w:rPr>
          <w:rFonts w:ascii="宋体" w:hAnsi="宋体" w:eastAsia="宋体" w:cs="宋体"/>
          <w:spacing w:val="-2"/>
          <w:sz w:val="20"/>
          <w:szCs w:val="20"/>
        </w:rPr>
      </w:pPr>
    </w:p>
    <w:p>
      <w:pPr>
        <w:jc w:val="center"/>
        <w:rPr>
          <w:rFonts w:hint="eastAsia" w:ascii="宋体" w:hAnsi="宋体"/>
          <w:b/>
          <w:szCs w:val="21"/>
          <w:lang w:val="en-US" w:eastAsia="zh-CN"/>
        </w:rPr>
      </w:pPr>
      <w:r>
        <w:rPr>
          <w:rFonts w:hint="eastAsia" w:ascii="宋体" w:hAnsi="宋体" w:eastAsia="宋体"/>
          <w:b/>
          <w:szCs w:val="21"/>
          <w:lang w:val="en-US" w:eastAsia="zh-CN"/>
        </w:rPr>
        <w:t xml:space="preserve">                                                                                         </w:t>
      </w:r>
      <w:r>
        <w:rPr>
          <w:rFonts w:hint="eastAsia" w:ascii="宋体" w:hAnsi="宋体" w:eastAsia="宋体"/>
          <w:b/>
          <w:szCs w:val="21"/>
          <w:lang w:eastAsia="zh-CN"/>
        </w:rPr>
        <w:t>单位</w:t>
      </w:r>
      <w:r>
        <w:rPr>
          <w:rFonts w:hint="eastAsia" w:ascii="宋体" w:hAnsi="宋体"/>
          <w:b/>
          <w:szCs w:val="21"/>
        </w:rPr>
        <w:t>公开表</w:t>
      </w:r>
      <w:r>
        <w:rPr>
          <w:rFonts w:hint="eastAsia" w:ascii="宋体" w:hAnsi="宋体"/>
          <w:b/>
          <w:szCs w:val="21"/>
          <w:lang w:val="en-US" w:eastAsia="zh-CN"/>
        </w:rPr>
        <w:t>8</w:t>
      </w:r>
    </w:p>
    <w:p>
      <w:pPr>
        <w:jc w:val="center"/>
        <w:rPr>
          <w:rFonts w:ascii="仿宋_GB2312" w:eastAsia="仿宋_GB2312"/>
          <w:b/>
          <w:sz w:val="30"/>
          <w:szCs w:val="30"/>
        </w:rPr>
      </w:pPr>
      <w:r>
        <w:rPr>
          <w:rFonts w:hint="eastAsia" w:ascii="仿宋_GB2312" w:eastAsia="仿宋_GB2312"/>
          <w:b/>
          <w:sz w:val="30"/>
          <w:szCs w:val="30"/>
        </w:rPr>
        <w:t>表</w:t>
      </w:r>
      <w:r>
        <w:rPr>
          <w:rFonts w:hint="eastAsia" w:ascii="仿宋_GB2312" w:eastAsia="仿宋_GB2312"/>
          <w:b/>
          <w:sz w:val="30"/>
          <w:szCs w:val="30"/>
          <w:lang w:val="en-US" w:eastAsia="zh-CN"/>
        </w:rPr>
        <w:t>8</w:t>
      </w:r>
      <w:r>
        <w:rPr>
          <w:rFonts w:hint="eastAsia" w:ascii="仿宋_GB2312" w:eastAsia="仿宋_GB2312"/>
          <w:b/>
          <w:sz w:val="30"/>
          <w:szCs w:val="30"/>
        </w:rPr>
        <w:t>.财政拨款安排的基本支出预算表</w:t>
      </w:r>
    </w:p>
    <w:p>
      <w:pPr>
        <w:jc w:val="center"/>
        <w:rPr>
          <w:rFonts w:ascii="仿宋_GB2312" w:hAnsi="宋体" w:eastAsia="仿宋_GB2312" w:cs="宋体"/>
          <w:kern w:val="0"/>
          <w:sz w:val="30"/>
          <w:szCs w:val="30"/>
        </w:rPr>
      </w:pPr>
      <w:r>
        <w:rPr>
          <w:rFonts w:hint="eastAsia" w:ascii="仿宋_GB2312" w:eastAsia="仿宋_GB2312"/>
          <w:b/>
          <w:sz w:val="30"/>
          <w:szCs w:val="30"/>
        </w:rPr>
        <w:t>（政府预算支出经济分类科目）</w:t>
      </w:r>
    </w:p>
    <w:p>
      <w:pPr>
        <w:spacing w:before="253" w:line="184" w:lineRule="auto"/>
        <w:ind w:firstLine="10200" w:firstLineChars="6800"/>
        <w:rPr>
          <w:rFonts w:ascii="宋体" w:hAnsi="宋体" w:eastAsia="宋体" w:cs="宋体"/>
          <w:sz w:val="20"/>
          <w:szCs w:val="20"/>
        </w:rPr>
      </w:pPr>
      <w:r>
        <w:rPr>
          <w:rFonts w:ascii="宋体" w:hAnsi="宋体" w:eastAsia="宋体" w:cs="宋体"/>
          <w:spacing w:val="-18"/>
          <w:w w:val="93"/>
          <w:sz w:val="20"/>
          <w:szCs w:val="20"/>
        </w:rPr>
        <w:t>单位：万元</w:t>
      </w:r>
    </w:p>
    <w:p>
      <w:pPr>
        <w:spacing w:line="52" w:lineRule="exact"/>
      </w:pPr>
    </w:p>
    <w:tbl>
      <w:tblPr>
        <w:tblStyle w:val="8"/>
        <w:tblW w:w="11689"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4"/>
        <w:gridCol w:w="3478"/>
        <w:gridCol w:w="2699"/>
        <w:gridCol w:w="30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434" w:type="dxa"/>
            <w:vAlign w:val="top"/>
          </w:tcPr>
          <w:p>
            <w:pPr>
              <w:spacing w:before="122" w:line="184" w:lineRule="auto"/>
              <w:ind w:firstLine="822"/>
              <w:rPr>
                <w:rFonts w:ascii="宋体" w:hAnsi="宋体" w:eastAsia="宋体" w:cs="宋体"/>
                <w:sz w:val="20"/>
                <w:szCs w:val="20"/>
              </w:rPr>
            </w:pPr>
            <w:r>
              <w:rPr>
                <w:rFonts w:ascii="宋体" w:hAnsi="宋体" w:eastAsia="宋体" w:cs="宋体"/>
                <w:spacing w:val="-2"/>
                <w:sz w:val="20"/>
                <w:szCs w:val="20"/>
              </w:rPr>
              <w:t>科目编码</w:t>
            </w:r>
          </w:p>
        </w:tc>
        <w:tc>
          <w:tcPr>
            <w:tcW w:w="3478" w:type="dxa"/>
            <w:vAlign w:val="top"/>
          </w:tcPr>
          <w:p>
            <w:pPr>
              <w:spacing w:before="122" w:line="184" w:lineRule="auto"/>
              <w:ind w:firstLine="943"/>
              <w:rPr>
                <w:rFonts w:ascii="宋体" w:hAnsi="宋体" w:eastAsia="宋体" w:cs="宋体"/>
                <w:sz w:val="20"/>
                <w:szCs w:val="20"/>
              </w:rPr>
            </w:pPr>
            <w:r>
              <w:rPr>
                <w:rFonts w:ascii="宋体" w:hAnsi="宋体" w:eastAsia="宋体" w:cs="宋体"/>
                <w:spacing w:val="-2"/>
                <w:sz w:val="20"/>
                <w:szCs w:val="20"/>
              </w:rPr>
              <w:t>经济分类科目名称</w:t>
            </w:r>
          </w:p>
        </w:tc>
        <w:tc>
          <w:tcPr>
            <w:tcW w:w="5777" w:type="dxa"/>
            <w:gridSpan w:val="2"/>
            <w:vAlign w:val="top"/>
          </w:tcPr>
          <w:p>
            <w:pPr>
              <w:spacing w:before="122" w:line="184" w:lineRule="auto"/>
              <w:ind w:firstLine="2594"/>
              <w:rPr>
                <w:rFonts w:ascii="宋体" w:hAnsi="宋体" w:eastAsia="宋体" w:cs="宋体"/>
                <w:sz w:val="20"/>
                <w:szCs w:val="20"/>
              </w:rPr>
            </w:pPr>
            <w:r>
              <w:rPr>
                <w:rFonts w:hint="eastAsia" w:ascii="宋体" w:hAnsi="宋体" w:eastAsia="宋体" w:cs="宋体"/>
                <w:spacing w:val="-4"/>
                <w:sz w:val="20"/>
                <w:szCs w:val="20"/>
                <w:lang w:val="en-US" w:eastAsia="zh-CN"/>
              </w:rPr>
              <w:t>2021年</w:t>
            </w:r>
            <w:r>
              <w:rPr>
                <w:rFonts w:ascii="宋体" w:hAnsi="宋体" w:eastAsia="宋体" w:cs="宋体"/>
                <w:spacing w:val="-4"/>
                <w:sz w:val="20"/>
                <w:szCs w:val="20"/>
              </w:rPr>
              <w:t>预算数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434" w:type="dxa"/>
            <w:vAlign w:val="top"/>
          </w:tcPr>
          <w:p>
            <w:pPr>
              <w:rPr>
                <w:rFonts w:ascii="微软雅黑"/>
                <w:sz w:val="21"/>
              </w:rPr>
            </w:pPr>
          </w:p>
        </w:tc>
        <w:tc>
          <w:tcPr>
            <w:tcW w:w="3478" w:type="dxa"/>
            <w:vAlign w:val="top"/>
          </w:tcPr>
          <w:p>
            <w:pPr>
              <w:rPr>
                <w:rFonts w:ascii="微软雅黑"/>
                <w:sz w:val="21"/>
              </w:rPr>
            </w:pPr>
          </w:p>
        </w:tc>
        <w:tc>
          <w:tcPr>
            <w:tcW w:w="2699" w:type="dxa"/>
            <w:vAlign w:val="top"/>
          </w:tcPr>
          <w:p>
            <w:pPr>
              <w:spacing w:before="87" w:line="184" w:lineRule="auto"/>
              <w:ind w:firstLine="1157"/>
              <w:rPr>
                <w:rFonts w:ascii="宋体" w:hAnsi="宋体" w:eastAsia="宋体" w:cs="宋体"/>
                <w:sz w:val="20"/>
                <w:szCs w:val="20"/>
              </w:rPr>
            </w:pPr>
            <w:r>
              <w:rPr>
                <w:rFonts w:ascii="宋体" w:hAnsi="宋体" w:eastAsia="宋体" w:cs="宋体"/>
                <w:spacing w:val="-6"/>
                <w:sz w:val="20"/>
                <w:szCs w:val="20"/>
              </w:rPr>
              <w:t>金额</w:t>
            </w:r>
          </w:p>
        </w:tc>
        <w:tc>
          <w:tcPr>
            <w:tcW w:w="3078" w:type="dxa"/>
            <w:vAlign w:val="top"/>
          </w:tcPr>
          <w:p>
            <w:pPr>
              <w:spacing w:before="87" w:line="184" w:lineRule="auto"/>
              <w:rPr>
                <w:rFonts w:ascii="宋体" w:hAnsi="宋体" w:eastAsia="宋体" w:cs="宋体"/>
                <w:sz w:val="20"/>
                <w:szCs w:val="20"/>
              </w:rPr>
            </w:pPr>
            <w:r>
              <w:rPr>
                <w:rFonts w:ascii="宋体" w:hAnsi="宋体" w:eastAsia="宋体" w:cs="宋体"/>
                <w:spacing w:val="-15"/>
                <w:sz w:val="20"/>
                <w:szCs w:val="20"/>
              </w:rPr>
              <w:t>其中：一般公共预算</w:t>
            </w:r>
            <w:r>
              <w:rPr>
                <w:rFonts w:hint="eastAsia" w:ascii="宋体" w:hAnsi="宋体" w:eastAsia="宋体" w:cs="宋体"/>
                <w:spacing w:val="-15"/>
                <w:sz w:val="20"/>
                <w:szCs w:val="20"/>
                <w:lang w:val="en-US" w:eastAsia="zh-CN"/>
              </w:rPr>
              <w:t>财政拨款</w:t>
            </w:r>
            <w:r>
              <w:rPr>
                <w:rFonts w:ascii="宋体" w:hAnsi="宋体" w:eastAsia="宋体" w:cs="宋体"/>
                <w:spacing w:val="-15"/>
                <w:sz w:val="20"/>
                <w:szCs w:val="20"/>
              </w:rPr>
              <w:t>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434" w:type="dxa"/>
            <w:vAlign w:val="top"/>
          </w:tcPr>
          <w:p>
            <w:pPr>
              <w:spacing w:before="80" w:line="184" w:lineRule="auto"/>
              <w:ind w:firstLine="1121"/>
              <w:rPr>
                <w:rFonts w:ascii="宋体" w:hAnsi="宋体" w:eastAsia="宋体" w:cs="宋体"/>
                <w:sz w:val="20"/>
                <w:szCs w:val="20"/>
              </w:rPr>
            </w:pPr>
            <w:r>
              <w:rPr>
                <w:rFonts w:ascii="宋体" w:hAnsi="宋体" w:eastAsia="宋体" w:cs="宋体"/>
                <w:spacing w:val="-4"/>
                <w:sz w:val="20"/>
                <w:szCs w:val="20"/>
              </w:rPr>
              <w:t>**</w:t>
            </w:r>
          </w:p>
        </w:tc>
        <w:tc>
          <w:tcPr>
            <w:tcW w:w="3478" w:type="dxa"/>
            <w:vAlign w:val="top"/>
          </w:tcPr>
          <w:p>
            <w:pPr>
              <w:spacing w:before="80" w:line="184" w:lineRule="auto"/>
              <w:ind w:firstLine="1642"/>
              <w:rPr>
                <w:rFonts w:ascii="宋体" w:hAnsi="宋体" w:eastAsia="宋体" w:cs="宋体"/>
                <w:sz w:val="20"/>
                <w:szCs w:val="20"/>
              </w:rPr>
            </w:pPr>
            <w:r>
              <w:rPr>
                <w:rFonts w:ascii="宋体" w:hAnsi="宋体" w:eastAsia="宋体" w:cs="宋体"/>
                <w:spacing w:val="-4"/>
                <w:sz w:val="20"/>
                <w:szCs w:val="20"/>
              </w:rPr>
              <w:t>**</w:t>
            </w:r>
          </w:p>
        </w:tc>
        <w:tc>
          <w:tcPr>
            <w:tcW w:w="2699" w:type="dxa"/>
            <w:vAlign w:val="top"/>
          </w:tcPr>
          <w:p>
            <w:pPr>
              <w:spacing w:before="110" w:line="180" w:lineRule="auto"/>
              <w:ind w:firstLine="1319"/>
              <w:rPr>
                <w:rFonts w:ascii="宋体" w:hAnsi="宋体" w:eastAsia="宋体" w:cs="宋体"/>
                <w:sz w:val="20"/>
                <w:szCs w:val="20"/>
              </w:rPr>
            </w:pPr>
            <w:r>
              <w:rPr>
                <w:rFonts w:ascii="宋体" w:hAnsi="宋体" w:eastAsia="宋体" w:cs="宋体"/>
                <w:sz w:val="20"/>
                <w:szCs w:val="20"/>
              </w:rPr>
              <w:t>1</w:t>
            </w:r>
          </w:p>
        </w:tc>
        <w:tc>
          <w:tcPr>
            <w:tcW w:w="3078" w:type="dxa"/>
            <w:vAlign w:val="top"/>
          </w:tcPr>
          <w:p>
            <w:pPr>
              <w:spacing w:before="112" w:line="180" w:lineRule="auto"/>
              <w:ind w:firstLine="1494"/>
              <w:rPr>
                <w:rFonts w:ascii="宋体" w:hAnsi="宋体" w:eastAsia="宋体" w:cs="宋体"/>
                <w:sz w:val="20"/>
                <w:szCs w:val="20"/>
              </w:rPr>
            </w:pPr>
            <w:r>
              <w:rPr>
                <w:rFonts w:ascii="宋体" w:hAnsi="宋体" w:eastAsia="宋体" w:cs="宋体"/>
                <w:sz w:val="20"/>
                <w:szCs w:val="20"/>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34" w:type="dxa"/>
            <w:vAlign w:val="top"/>
          </w:tcPr>
          <w:p>
            <w:pPr>
              <w:spacing w:line="327" w:lineRule="exact"/>
              <w:rPr>
                <w:rFonts w:ascii="微软雅黑"/>
                <w:sz w:val="19"/>
              </w:rPr>
            </w:pPr>
          </w:p>
        </w:tc>
        <w:tc>
          <w:tcPr>
            <w:tcW w:w="3478"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合计</w:t>
            </w: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[209]高青县交通运输局</w:t>
            </w:r>
          </w:p>
        </w:tc>
        <w:tc>
          <w:tcPr>
            <w:tcW w:w="3478" w:type="dxa"/>
            <w:vAlign w:val="top"/>
          </w:tcPr>
          <w:p>
            <w:pPr>
              <w:jc w:val="left"/>
              <w:rPr>
                <w:rFonts w:hint="eastAsia" w:ascii="宋体" w:hAnsi="宋体" w:eastAsia="宋体" w:cs="宋体"/>
                <w:color w:val="000000"/>
                <w:sz w:val="18"/>
                <w:szCs w:val="18"/>
                <w:lang w:val="en-US" w:eastAsia="zh-CN"/>
              </w:rPr>
            </w:pP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[209001]高青县交通运输局</w:t>
            </w:r>
          </w:p>
        </w:tc>
        <w:tc>
          <w:tcPr>
            <w:tcW w:w="3478" w:type="dxa"/>
            <w:vAlign w:val="top"/>
          </w:tcPr>
          <w:p>
            <w:pPr>
              <w:jc w:val="left"/>
              <w:rPr>
                <w:rFonts w:hint="eastAsia" w:ascii="宋体" w:hAnsi="宋体" w:eastAsia="宋体" w:cs="宋体"/>
                <w:color w:val="000000"/>
                <w:sz w:val="18"/>
                <w:szCs w:val="18"/>
                <w:lang w:val="en-US" w:eastAsia="zh-CN"/>
              </w:rPr>
            </w:pP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501</w:t>
            </w:r>
          </w:p>
        </w:tc>
        <w:tc>
          <w:tcPr>
            <w:tcW w:w="3478"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机关工资福利支出</w:t>
            </w: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1195.80</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1195.80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50101</w:t>
            </w:r>
          </w:p>
        </w:tc>
        <w:tc>
          <w:tcPr>
            <w:tcW w:w="3478"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工资奖金津补贴</w:t>
            </w: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893.35</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893.35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50102</w:t>
            </w:r>
          </w:p>
        </w:tc>
        <w:tc>
          <w:tcPr>
            <w:tcW w:w="3478"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社会保障缴费</w:t>
            </w: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197.50</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197.50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50103</w:t>
            </w:r>
          </w:p>
        </w:tc>
        <w:tc>
          <w:tcPr>
            <w:tcW w:w="3478"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住房公积金</w:t>
            </w: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502</w:t>
            </w:r>
          </w:p>
        </w:tc>
        <w:tc>
          <w:tcPr>
            <w:tcW w:w="3478"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机关商品和服务支出</w:t>
            </w: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120.71</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120.71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50201</w:t>
            </w:r>
          </w:p>
        </w:tc>
        <w:tc>
          <w:tcPr>
            <w:tcW w:w="3478"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办公经费</w:t>
            </w: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87.85</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87.85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50202</w:t>
            </w:r>
          </w:p>
        </w:tc>
        <w:tc>
          <w:tcPr>
            <w:tcW w:w="3478"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会议费</w:t>
            </w: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50203</w:t>
            </w:r>
          </w:p>
        </w:tc>
        <w:tc>
          <w:tcPr>
            <w:tcW w:w="3478"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培训费</w:t>
            </w: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3.00</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50206</w:t>
            </w:r>
          </w:p>
        </w:tc>
        <w:tc>
          <w:tcPr>
            <w:tcW w:w="3478"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公务接待费</w:t>
            </w: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0.50</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50208</w:t>
            </w:r>
          </w:p>
        </w:tc>
        <w:tc>
          <w:tcPr>
            <w:tcW w:w="3478"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公务用车运行维护费</w:t>
            </w: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26.86</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26.86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50209</w:t>
            </w:r>
          </w:p>
        </w:tc>
        <w:tc>
          <w:tcPr>
            <w:tcW w:w="3478"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维修（护） 费</w:t>
            </w: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1.50</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509</w:t>
            </w:r>
          </w:p>
        </w:tc>
        <w:tc>
          <w:tcPr>
            <w:tcW w:w="3478"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对个人和家庭的补助</w:t>
            </w: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60.92</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60.92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50901</w:t>
            </w:r>
          </w:p>
        </w:tc>
        <w:tc>
          <w:tcPr>
            <w:tcW w:w="3478"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社会福利和救助</w:t>
            </w: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9.81</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2434"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50905</w:t>
            </w:r>
          </w:p>
        </w:tc>
        <w:tc>
          <w:tcPr>
            <w:tcW w:w="3478"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离退休费</w:t>
            </w:r>
          </w:p>
        </w:tc>
        <w:tc>
          <w:tcPr>
            <w:tcW w:w="2699"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51.11</w:t>
            </w:r>
          </w:p>
        </w:tc>
        <w:tc>
          <w:tcPr>
            <w:tcW w:w="3078"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51.11</w:t>
            </w:r>
          </w:p>
        </w:tc>
      </w:tr>
    </w:tbl>
    <w:p>
      <w:pPr>
        <w:rPr>
          <w:rFonts w:ascii="微软雅黑"/>
          <w:sz w:val="21"/>
        </w:rPr>
      </w:pPr>
    </w:p>
    <w:p>
      <w:pPr>
        <w:sectPr>
          <w:headerReference r:id="rId12" w:type="default"/>
          <w:footerReference r:id="rId13" w:type="default"/>
          <w:pgSz w:w="16839" w:h="11906"/>
          <w:pgMar w:top="1012" w:right="2920" w:bottom="1435" w:left="2525" w:header="0" w:footer="1268" w:gutter="0"/>
          <w:pgNumType w:fmt="decimal"/>
          <w:cols w:space="720" w:num="1"/>
        </w:sectPr>
      </w:pPr>
    </w:p>
    <w:p>
      <w:pPr>
        <w:jc w:val="right"/>
        <w:rPr>
          <w:rFonts w:ascii="宋体" w:hAnsi="宋体"/>
          <w:b/>
          <w:szCs w:val="21"/>
        </w:rPr>
      </w:pPr>
      <w:r>
        <w:rPr>
          <w:rFonts w:hint="eastAsia" w:ascii="宋体" w:hAnsi="宋体" w:eastAsia="宋体"/>
          <w:b/>
          <w:szCs w:val="21"/>
          <w:lang w:eastAsia="zh-CN"/>
        </w:rPr>
        <w:t>单位</w:t>
      </w:r>
      <w:r>
        <w:rPr>
          <w:rFonts w:hint="eastAsia" w:ascii="宋体" w:hAnsi="宋体"/>
          <w:b/>
          <w:szCs w:val="21"/>
        </w:rPr>
        <w:t>公开表</w:t>
      </w:r>
      <w:r>
        <w:rPr>
          <w:rFonts w:hint="eastAsia" w:ascii="宋体" w:hAnsi="宋体"/>
          <w:b/>
          <w:szCs w:val="21"/>
          <w:lang w:val="en-US" w:eastAsia="zh-CN"/>
        </w:rPr>
        <w:t>9</w:t>
      </w:r>
    </w:p>
    <w:p>
      <w:pPr>
        <w:ind w:firstLine="2108" w:firstLineChars="700"/>
        <w:jc w:val="both"/>
        <w:rPr>
          <w:rFonts w:ascii="仿宋_GB2312" w:eastAsia="仿宋_GB2312"/>
          <w:b/>
          <w:sz w:val="30"/>
          <w:szCs w:val="30"/>
        </w:rPr>
      </w:pPr>
      <w:r>
        <w:rPr>
          <w:rFonts w:hint="eastAsia" w:ascii="仿宋_GB2312" w:eastAsia="仿宋_GB2312"/>
          <w:b/>
          <w:sz w:val="30"/>
          <w:szCs w:val="30"/>
        </w:rPr>
        <w:t>表</w:t>
      </w:r>
      <w:r>
        <w:rPr>
          <w:rFonts w:hint="eastAsia" w:ascii="仿宋_GB2312" w:eastAsia="仿宋_GB2312"/>
          <w:b/>
          <w:sz w:val="30"/>
          <w:szCs w:val="30"/>
          <w:lang w:val="en-US" w:eastAsia="zh-CN"/>
        </w:rPr>
        <w:t>9</w:t>
      </w:r>
      <w:r>
        <w:rPr>
          <w:rFonts w:hint="eastAsia" w:ascii="仿宋_GB2312" w:eastAsia="仿宋_GB2312"/>
          <w:b/>
          <w:sz w:val="30"/>
          <w:szCs w:val="30"/>
        </w:rPr>
        <w:t>.财政拨款安排的基本支出预算表（</w:t>
      </w:r>
      <w:r>
        <w:rPr>
          <w:rFonts w:hint="eastAsia" w:ascii="仿宋_GB2312" w:eastAsia="仿宋_GB2312"/>
          <w:b/>
          <w:sz w:val="30"/>
          <w:szCs w:val="30"/>
          <w:lang w:eastAsia="zh-CN"/>
        </w:rPr>
        <w:t>单位</w:t>
      </w:r>
      <w:r>
        <w:rPr>
          <w:rFonts w:hint="eastAsia" w:ascii="仿宋_GB2312" w:eastAsia="仿宋_GB2312"/>
          <w:b/>
          <w:sz w:val="30"/>
          <w:szCs w:val="30"/>
        </w:rPr>
        <w:t>预算支出经济分类科目）</w:t>
      </w:r>
    </w:p>
    <w:p>
      <w:pPr>
        <w:spacing w:before="95" w:line="184" w:lineRule="auto"/>
        <w:ind w:firstLine="11678"/>
        <w:rPr>
          <w:rFonts w:ascii="宋体" w:hAnsi="宋体" w:eastAsia="宋体" w:cs="宋体"/>
          <w:sz w:val="20"/>
          <w:szCs w:val="20"/>
        </w:rPr>
      </w:pPr>
      <w:r>
        <w:rPr>
          <w:rFonts w:ascii="宋体" w:hAnsi="宋体" w:eastAsia="宋体" w:cs="宋体"/>
          <w:spacing w:val="-18"/>
          <w:w w:val="93"/>
          <w:sz w:val="20"/>
          <w:szCs w:val="20"/>
        </w:rPr>
        <w:t>单位：万元</w:t>
      </w:r>
    </w:p>
    <w:p>
      <w:pPr>
        <w:spacing w:line="51" w:lineRule="exact"/>
      </w:pPr>
    </w:p>
    <w:tbl>
      <w:tblPr>
        <w:tblStyle w:val="8"/>
        <w:tblW w:w="12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6"/>
        <w:gridCol w:w="3360"/>
        <w:gridCol w:w="1894"/>
        <w:gridCol w:w="51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2326" w:type="dxa"/>
            <w:vAlign w:val="top"/>
          </w:tcPr>
          <w:p>
            <w:pPr>
              <w:spacing w:before="107" w:line="186" w:lineRule="auto"/>
              <w:ind w:firstLine="640"/>
              <w:rPr>
                <w:rFonts w:ascii="宋体" w:hAnsi="宋体" w:eastAsia="宋体" w:cs="宋体"/>
                <w:sz w:val="16"/>
                <w:szCs w:val="16"/>
              </w:rPr>
            </w:pPr>
            <w:r>
              <w:rPr>
                <w:rFonts w:ascii="宋体" w:hAnsi="宋体" w:eastAsia="宋体" w:cs="宋体"/>
                <w:spacing w:val="-2"/>
                <w:sz w:val="16"/>
                <w:szCs w:val="16"/>
              </w:rPr>
              <w:t>科目编码</w:t>
            </w:r>
          </w:p>
        </w:tc>
        <w:tc>
          <w:tcPr>
            <w:tcW w:w="3360" w:type="dxa"/>
            <w:vAlign w:val="top"/>
          </w:tcPr>
          <w:p>
            <w:pPr>
              <w:spacing w:before="107" w:line="186" w:lineRule="auto"/>
              <w:ind w:firstLine="1251"/>
              <w:rPr>
                <w:rFonts w:ascii="宋体" w:hAnsi="宋体" w:eastAsia="宋体" w:cs="宋体"/>
                <w:sz w:val="16"/>
                <w:szCs w:val="16"/>
              </w:rPr>
            </w:pPr>
            <w:r>
              <w:rPr>
                <w:rFonts w:ascii="宋体" w:hAnsi="宋体" w:eastAsia="宋体" w:cs="宋体"/>
                <w:spacing w:val="-1"/>
                <w:sz w:val="16"/>
                <w:szCs w:val="16"/>
              </w:rPr>
              <w:t>经济分类科目名称</w:t>
            </w:r>
          </w:p>
        </w:tc>
        <w:tc>
          <w:tcPr>
            <w:tcW w:w="6997" w:type="dxa"/>
            <w:gridSpan w:val="2"/>
            <w:vAlign w:val="top"/>
          </w:tcPr>
          <w:p>
            <w:pPr>
              <w:spacing w:before="107" w:line="186" w:lineRule="auto"/>
              <w:ind w:firstLine="3261"/>
              <w:rPr>
                <w:rFonts w:ascii="宋体" w:hAnsi="宋体" w:eastAsia="宋体" w:cs="宋体"/>
                <w:sz w:val="16"/>
                <w:szCs w:val="16"/>
              </w:rPr>
            </w:pPr>
            <w:r>
              <w:rPr>
                <w:rFonts w:hint="eastAsia" w:ascii="宋体" w:hAnsi="宋体" w:eastAsia="宋体" w:cs="宋体"/>
                <w:spacing w:val="-2"/>
                <w:sz w:val="16"/>
                <w:szCs w:val="16"/>
                <w:lang w:val="en-US" w:eastAsia="zh-CN"/>
              </w:rPr>
              <w:t>2021年</w:t>
            </w:r>
            <w:r>
              <w:rPr>
                <w:rFonts w:ascii="宋体" w:hAnsi="宋体" w:eastAsia="宋体" w:cs="宋体"/>
                <w:spacing w:val="-2"/>
                <w:sz w:val="16"/>
                <w:szCs w:val="16"/>
              </w:rPr>
              <w:t>预算数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spacing w:line="235" w:lineRule="exact"/>
              <w:rPr>
                <w:rFonts w:ascii="微软雅黑"/>
                <w:sz w:val="14"/>
              </w:rPr>
            </w:pPr>
          </w:p>
        </w:tc>
        <w:tc>
          <w:tcPr>
            <w:tcW w:w="3360" w:type="dxa"/>
            <w:vAlign w:val="top"/>
          </w:tcPr>
          <w:p>
            <w:pPr>
              <w:spacing w:line="235" w:lineRule="exact"/>
              <w:rPr>
                <w:rFonts w:ascii="微软雅黑"/>
                <w:sz w:val="14"/>
              </w:rPr>
            </w:pPr>
          </w:p>
        </w:tc>
        <w:tc>
          <w:tcPr>
            <w:tcW w:w="1894" w:type="dxa"/>
            <w:vAlign w:val="top"/>
          </w:tcPr>
          <w:p>
            <w:pPr>
              <w:spacing w:before="47" w:line="186" w:lineRule="auto"/>
              <w:ind w:firstLine="792"/>
              <w:rPr>
                <w:rFonts w:ascii="宋体" w:hAnsi="宋体" w:eastAsia="宋体" w:cs="宋体"/>
                <w:sz w:val="16"/>
                <w:szCs w:val="16"/>
              </w:rPr>
            </w:pPr>
            <w:r>
              <w:rPr>
                <w:rFonts w:ascii="宋体" w:hAnsi="宋体" w:eastAsia="宋体" w:cs="宋体"/>
                <w:spacing w:val="-3"/>
                <w:sz w:val="16"/>
                <w:szCs w:val="16"/>
              </w:rPr>
              <w:t>金额</w:t>
            </w:r>
          </w:p>
        </w:tc>
        <w:tc>
          <w:tcPr>
            <w:tcW w:w="5103" w:type="dxa"/>
            <w:vAlign w:val="top"/>
          </w:tcPr>
          <w:p>
            <w:pPr>
              <w:spacing w:before="47" w:line="186" w:lineRule="auto"/>
              <w:ind w:firstLine="1676"/>
              <w:rPr>
                <w:rFonts w:ascii="宋体" w:hAnsi="宋体" w:eastAsia="宋体" w:cs="宋体"/>
                <w:sz w:val="16"/>
                <w:szCs w:val="16"/>
              </w:rPr>
            </w:pPr>
            <w:r>
              <w:rPr>
                <w:rFonts w:ascii="宋体" w:hAnsi="宋体" w:eastAsia="宋体" w:cs="宋体"/>
                <w:spacing w:val="-12"/>
                <w:sz w:val="16"/>
                <w:szCs w:val="16"/>
              </w:rPr>
              <w:t>其中：</w:t>
            </w:r>
            <w:r>
              <w:rPr>
                <w:rFonts w:ascii="宋体" w:hAnsi="宋体" w:eastAsia="宋体" w:cs="宋体"/>
                <w:spacing w:val="46"/>
                <w:w w:val="101"/>
                <w:sz w:val="16"/>
                <w:szCs w:val="16"/>
              </w:rPr>
              <w:t xml:space="preserve"> </w:t>
            </w:r>
            <w:r>
              <w:rPr>
                <w:rFonts w:ascii="宋体" w:hAnsi="宋体" w:eastAsia="宋体" w:cs="宋体"/>
                <w:spacing w:val="-12"/>
                <w:sz w:val="16"/>
                <w:szCs w:val="16"/>
              </w:rPr>
              <w:t>一般公共预算</w:t>
            </w:r>
            <w:r>
              <w:rPr>
                <w:rFonts w:hint="eastAsia" w:ascii="宋体" w:hAnsi="宋体" w:eastAsia="宋体" w:cs="宋体"/>
                <w:spacing w:val="-12"/>
                <w:sz w:val="16"/>
                <w:szCs w:val="16"/>
                <w:lang w:val="en-US" w:eastAsia="zh-CN"/>
              </w:rPr>
              <w:t>财政拨款</w:t>
            </w:r>
            <w:r>
              <w:rPr>
                <w:rFonts w:ascii="宋体" w:hAnsi="宋体" w:eastAsia="宋体" w:cs="宋体"/>
                <w:spacing w:val="-12"/>
                <w:sz w:val="16"/>
                <w:szCs w:val="16"/>
              </w:rPr>
              <w:t>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合计</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[209]高青县交通运输局</w:t>
            </w:r>
          </w:p>
        </w:tc>
        <w:tc>
          <w:tcPr>
            <w:tcW w:w="3360" w:type="dxa"/>
            <w:vAlign w:val="top"/>
          </w:tcPr>
          <w:p>
            <w:pPr>
              <w:jc w:val="left"/>
              <w:rPr>
                <w:rFonts w:hint="eastAsia" w:ascii="宋体" w:hAnsi="宋体" w:eastAsia="宋体" w:cs="宋体"/>
                <w:color w:val="000000"/>
                <w:sz w:val="18"/>
                <w:szCs w:val="18"/>
                <w:lang w:val="en-US" w:eastAsia="zh-CN"/>
              </w:rPr>
            </w:pP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[209001]高青县交通运输局</w:t>
            </w:r>
          </w:p>
        </w:tc>
        <w:tc>
          <w:tcPr>
            <w:tcW w:w="3360" w:type="dxa"/>
            <w:vAlign w:val="top"/>
          </w:tcPr>
          <w:p>
            <w:pPr>
              <w:jc w:val="left"/>
              <w:rPr>
                <w:rFonts w:hint="eastAsia" w:ascii="宋体" w:hAnsi="宋体" w:eastAsia="宋体" w:cs="宋体"/>
                <w:color w:val="000000"/>
                <w:sz w:val="18"/>
                <w:szCs w:val="18"/>
                <w:lang w:val="en-US" w:eastAsia="zh-CN"/>
              </w:rPr>
            </w:pP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1377.43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301</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工资福利支出</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1195.80</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1195.80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30101</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基本工资</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432.58</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432.58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30102</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津贴补贴</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199.85</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199.85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30107</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绩效工资</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260 92</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260 92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30108</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机关事业单位基本养老保险缴费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125 53</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125 53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30110</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职工基本医疗保险缴费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54.92</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54.92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30111</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公务员医疗补助缴费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10.60</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30112</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其他社会保障缴费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6.45</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30113</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住房公积金</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104.95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302</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商品和服务支出</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120.71</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120.71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30201</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办公费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33.50</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30205</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水费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30206</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电费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2.00</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30207</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邮电费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30208</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取暖费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9.85</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30211</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差旅费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3.00</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30213</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维修（护） 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1.50</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30215</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会议费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30216</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培训费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3.00</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30217</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公务接待费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0.50</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30228</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工会经费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17.52</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17.52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30229</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福利费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4.00</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30231</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公务用车运行维护费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26.86</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26.86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30239</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其他交通费用</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15.98</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303</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对个人和家庭的补助</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60.92</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60.92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30302</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退休费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50.75</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30303</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退职（役） 费</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0 36</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0 36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30305</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生活补助</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9 79</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9 79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2326"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30309</w:t>
            </w:r>
          </w:p>
        </w:tc>
        <w:tc>
          <w:tcPr>
            <w:tcW w:w="3360" w:type="dxa"/>
            <w:vAlign w:val="top"/>
          </w:tcPr>
          <w:p>
            <w:pPr>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奖励金</w:t>
            </w:r>
          </w:p>
        </w:tc>
        <w:tc>
          <w:tcPr>
            <w:tcW w:w="1894"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0.02</w:t>
            </w:r>
          </w:p>
        </w:tc>
        <w:tc>
          <w:tcPr>
            <w:tcW w:w="5103" w:type="dxa"/>
            <w:vAlign w:val="top"/>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0.02</w:t>
            </w:r>
          </w:p>
        </w:tc>
      </w:tr>
    </w:tbl>
    <w:p>
      <w:pPr>
        <w:sectPr>
          <w:footerReference r:id="rId14" w:type="default"/>
          <w:pgSz w:w="16839" w:h="11906"/>
          <w:pgMar w:top="582" w:right="2280" w:bottom="1435" w:left="1869" w:header="0" w:footer="1267" w:gutter="0"/>
          <w:pgNumType w:fmt="decimal"/>
          <w:cols w:space="720" w:num="1"/>
        </w:sectPr>
      </w:pPr>
    </w:p>
    <w:p>
      <w:pPr>
        <w:jc w:val="right"/>
        <w:rPr>
          <w:rFonts w:ascii="宋体" w:hAnsi="宋体"/>
          <w:b/>
          <w:szCs w:val="21"/>
        </w:rPr>
      </w:pPr>
      <w:r>
        <w:rPr>
          <w:rFonts w:hint="eastAsia" w:ascii="宋体" w:hAnsi="宋体" w:eastAsia="宋体"/>
          <w:b/>
          <w:szCs w:val="21"/>
          <w:lang w:eastAsia="zh-CN"/>
        </w:rPr>
        <w:t>单位</w:t>
      </w:r>
      <w:r>
        <w:rPr>
          <w:rFonts w:hint="eastAsia" w:ascii="宋体" w:hAnsi="宋体"/>
          <w:b/>
          <w:szCs w:val="21"/>
        </w:rPr>
        <w:t>公开表</w:t>
      </w:r>
      <w:r>
        <w:rPr>
          <w:rFonts w:hint="eastAsia" w:ascii="宋体" w:hAnsi="宋体"/>
          <w:b/>
          <w:szCs w:val="21"/>
          <w:lang w:val="en-US" w:eastAsia="zh-CN"/>
        </w:rPr>
        <w:t>10</w:t>
      </w:r>
    </w:p>
    <w:p>
      <w:pPr>
        <w:jc w:val="center"/>
        <w:rPr>
          <w:rFonts w:ascii="仿宋_GB2312" w:eastAsia="仿宋_GB2312"/>
          <w:b/>
          <w:sz w:val="30"/>
          <w:szCs w:val="30"/>
        </w:rPr>
      </w:pPr>
    </w:p>
    <w:p>
      <w:pPr>
        <w:jc w:val="center"/>
        <w:rPr>
          <w:rFonts w:ascii="黑体" w:eastAsia="黑体"/>
          <w:b/>
          <w:sz w:val="30"/>
          <w:szCs w:val="30"/>
        </w:rPr>
      </w:pPr>
      <w:r>
        <w:rPr>
          <w:rFonts w:hint="eastAsia" w:ascii="仿宋_GB2312" w:eastAsia="仿宋_GB2312"/>
          <w:b/>
          <w:sz w:val="30"/>
          <w:szCs w:val="30"/>
        </w:rPr>
        <w:t>表</w:t>
      </w:r>
      <w:r>
        <w:rPr>
          <w:rFonts w:hint="eastAsia" w:ascii="仿宋_GB2312" w:eastAsia="仿宋_GB2312"/>
          <w:b/>
          <w:sz w:val="30"/>
          <w:szCs w:val="30"/>
          <w:lang w:val="en-US" w:eastAsia="zh-CN"/>
        </w:rPr>
        <w:t>10</w:t>
      </w:r>
      <w:r>
        <w:rPr>
          <w:rFonts w:hint="eastAsia" w:ascii="仿宋_GB2312" w:eastAsia="仿宋_GB2312"/>
          <w:b/>
          <w:sz w:val="30"/>
          <w:szCs w:val="30"/>
        </w:rPr>
        <w:t>.项目支出</w:t>
      </w:r>
      <w:r>
        <w:rPr>
          <w:rFonts w:hint="eastAsia" w:ascii="仿宋_GB2312" w:eastAsia="仿宋_GB2312"/>
          <w:b/>
          <w:sz w:val="30"/>
          <w:szCs w:val="30"/>
          <w:lang w:eastAsia="zh-CN"/>
        </w:rPr>
        <w:t>预算</w:t>
      </w:r>
      <w:r>
        <w:rPr>
          <w:rFonts w:hint="eastAsia" w:ascii="仿宋_GB2312" w:hAnsi="宋体" w:eastAsia="仿宋_GB2312" w:cs="宋体"/>
          <w:b/>
          <w:kern w:val="0"/>
          <w:sz w:val="30"/>
          <w:szCs w:val="30"/>
        </w:rPr>
        <w:t>表</w:t>
      </w:r>
    </w:p>
    <w:p>
      <w:pPr>
        <w:jc w:val="right"/>
        <w:rPr>
          <w:rFonts w:ascii="仿宋_GB2312" w:hAnsi="宋体" w:eastAsia="仿宋_GB2312" w:cs="宋体"/>
          <w:kern w:val="0"/>
          <w:szCs w:val="21"/>
        </w:rPr>
      </w:pPr>
      <w:r>
        <w:rPr>
          <w:rFonts w:hint="eastAsia" w:ascii="黑体" w:eastAsia="黑体"/>
          <w:b/>
          <w:sz w:val="30"/>
          <w:szCs w:val="30"/>
        </w:rPr>
        <w:t xml:space="preserve">                                                                                </w:t>
      </w:r>
      <w:r>
        <w:rPr>
          <w:rFonts w:hint="eastAsia" w:ascii="仿宋_GB2312" w:hAnsi="宋体" w:eastAsia="仿宋_GB2312" w:cs="宋体"/>
          <w:kern w:val="0"/>
          <w:szCs w:val="21"/>
        </w:rPr>
        <w:t>单位：万元</w:t>
      </w:r>
    </w:p>
    <w:p>
      <w:pPr>
        <w:jc w:val="right"/>
        <w:rPr>
          <w:rFonts w:ascii="仿宋_GB2312" w:hAnsi="宋体" w:eastAsia="仿宋_GB2312" w:cs="宋体"/>
          <w:kern w:val="0"/>
          <w:szCs w:val="21"/>
        </w:rPr>
      </w:pPr>
    </w:p>
    <w:tbl>
      <w:tblPr>
        <w:tblStyle w:val="5"/>
        <w:tblW w:w="13765" w:type="dxa"/>
        <w:tblInd w:w="0" w:type="dxa"/>
        <w:tblLayout w:type="fixed"/>
        <w:tblCellMar>
          <w:top w:w="0" w:type="dxa"/>
          <w:left w:w="0" w:type="dxa"/>
          <w:bottom w:w="0" w:type="dxa"/>
          <w:right w:w="0" w:type="dxa"/>
        </w:tblCellMar>
      </w:tblPr>
      <w:tblGrid>
        <w:gridCol w:w="2207"/>
        <w:gridCol w:w="2203"/>
        <w:gridCol w:w="2102"/>
        <w:gridCol w:w="1470"/>
        <w:gridCol w:w="964"/>
        <w:gridCol w:w="673"/>
        <w:gridCol w:w="642"/>
        <w:gridCol w:w="701"/>
        <w:gridCol w:w="701"/>
        <w:gridCol w:w="701"/>
        <w:gridCol w:w="700"/>
        <w:gridCol w:w="701"/>
      </w:tblGrid>
      <w:tr>
        <w:trPr>
          <w:trHeight w:val="700" w:hRule="atLeast"/>
        </w:trPr>
        <w:tc>
          <w:tcPr>
            <w:tcW w:w="220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科目编码和名称</w:t>
            </w:r>
          </w:p>
        </w:tc>
        <w:tc>
          <w:tcPr>
            <w:tcW w:w="220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项目名称</w:t>
            </w:r>
          </w:p>
        </w:tc>
        <w:tc>
          <w:tcPr>
            <w:tcW w:w="2102"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项目单位</w:t>
            </w:r>
          </w:p>
        </w:tc>
        <w:tc>
          <w:tcPr>
            <w:tcW w:w="1470" w:type="dxa"/>
            <w:vMerge w:val="restart"/>
            <w:tcBorders>
              <w:top w:val="single" w:color="000000" w:sz="4" w:space="0"/>
              <w:left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合计</w:t>
            </w: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本年拨款</w:t>
            </w:r>
          </w:p>
        </w:tc>
        <w:tc>
          <w:tcPr>
            <w:tcW w:w="210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财政拨款结余结转</w:t>
            </w:r>
          </w:p>
        </w:tc>
        <w:tc>
          <w:tcPr>
            <w:tcW w:w="700" w:type="dxa"/>
            <w:vMerge w:val="restart"/>
            <w:tcBorders>
              <w:top w:val="single" w:color="000000" w:sz="4" w:space="0"/>
              <w:left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财政专户资金</w:t>
            </w:r>
          </w:p>
        </w:tc>
        <w:tc>
          <w:tcPr>
            <w:tcW w:w="701" w:type="dxa"/>
            <w:vMerge w:val="restart"/>
            <w:tcBorders>
              <w:top w:val="single" w:color="000000" w:sz="4" w:space="0"/>
              <w:left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18"/>
                <w:szCs w:val="18"/>
              </w:rPr>
            </w:pPr>
            <w:r>
              <w:rPr>
                <w:rFonts w:hint="eastAsia" w:ascii="宋体" w:hAnsi="宋体" w:cs="宋体"/>
                <w:color w:val="000000"/>
                <w:sz w:val="18"/>
                <w:szCs w:val="18"/>
              </w:rPr>
              <w:t>单位资金</w:t>
            </w:r>
          </w:p>
        </w:tc>
      </w:tr>
      <w:tr>
        <w:tblPrEx>
          <w:tblCellMar>
            <w:top w:w="0" w:type="dxa"/>
            <w:left w:w="0" w:type="dxa"/>
            <w:bottom w:w="0" w:type="dxa"/>
            <w:right w:w="0" w:type="dxa"/>
          </w:tblCellMar>
        </w:tblPrEx>
        <w:trPr>
          <w:trHeight w:val="1345" w:hRule="atLeast"/>
        </w:trPr>
        <w:tc>
          <w:tcPr>
            <w:tcW w:w="220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02"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1470"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一般公共预算</w:t>
            </w:r>
          </w:p>
        </w:tc>
        <w:tc>
          <w:tcPr>
            <w:tcW w:w="6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政府性基金预算</w:t>
            </w:r>
          </w:p>
        </w:tc>
        <w:tc>
          <w:tcPr>
            <w:tcW w:w="6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国有资本经营预算</w:t>
            </w:r>
          </w:p>
        </w:tc>
        <w:tc>
          <w:tcPr>
            <w:tcW w:w="7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一般公共预算</w:t>
            </w:r>
          </w:p>
        </w:tc>
        <w:tc>
          <w:tcPr>
            <w:tcW w:w="701"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政府性基金预算</w:t>
            </w:r>
          </w:p>
        </w:tc>
        <w:tc>
          <w:tcPr>
            <w:tcW w:w="701"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ascii="宋体" w:hAnsi="宋体" w:cs="宋体"/>
                <w:color w:val="000000"/>
                <w:sz w:val="18"/>
                <w:szCs w:val="18"/>
              </w:rPr>
            </w:pPr>
            <w:r>
              <w:rPr>
                <w:rFonts w:hint="eastAsia" w:ascii="宋体" w:hAnsi="宋体" w:cs="宋体"/>
                <w:color w:val="000000"/>
                <w:sz w:val="18"/>
                <w:szCs w:val="18"/>
              </w:rPr>
              <w:t>国有资本经营预算</w:t>
            </w:r>
          </w:p>
        </w:tc>
        <w:tc>
          <w:tcPr>
            <w:tcW w:w="700" w:type="dxa"/>
            <w:vMerge w:val="continue"/>
            <w:tcBorders>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18"/>
                <w:szCs w:val="18"/>
              </w:rPr>
            </w:pPr>
          </w:p>
        </w:tc>
        <w:tc>
          <w:tcPr>
            <w:tcW w:w="701" w:type="dxa"/>
            <w:vMerge w:val="continue"/>
            <w:tcBorders>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color w:val="000000"/>
                <w:sz w:val="18"/>
                <w:szCs w:val="18"/>
              </w:rPr>
            </w:pPr>
          </w:p>
        </w:tc>
      </w:tr>
      <w:tr>
        <w:tblPrEx>
          <w:tblCellMar>
            <w:top w:w="0" w:type="dxa"/>
            <w:left w:w="0" w:type="dxa"/>
            <w:bottom w:w="0" w:type="dxa"/>
            <w:right w:w="0" w:type="dxa"/>
          </w:tblCellMar>
        </w:tblPrEx>
        <w:trPr>
          <w:trHeight w:val="700" w:hRule="atLeast"/>
        </w:trPr>
        <w:tc>
          <w:tcPr>
            <w:tcW w:w="220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220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p>
        </w:tc>
        <w:tc>
          <w:tcPr>
            <w:tcW w:w="210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合计</w:t>
            </w:r>
          </w:p>
        </w:tc>
        <w:tc>
          <w:tcPr>
            <w:tcW w:w="147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96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67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64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70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70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70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7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70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15" w:hRule="atLeast"/>
        </w:trPr>
        <w:tc>
          <w:tcPr>
            <w:tcW w:w="220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top"/>
          </w:tcPr>
          <w:p>
            <w:pPr>
              <w:spacing w:before="82" w:line="184" w:lineRule="auto"/>
              <w:ind w:firstLine="23" w:firstLineChars="0"/>
              <w:rPr>
                <w:rFonts w:ascii="宋体" w:hAnsi="宋体" w:eastAsia="宋体" w:cs="宋体"/>
                <w:snapToGrid w:val="0"/>
                <w:color w:val="000000"/>
                <w:kern w:val="0"/>
                <w:sz w:val="20"/>
                <w:szCs w:val="20"/>
              </w:rPr>
            </w:pPr>
          </w:p>
        </w:tc>
        <w:tc>
          <w:tcPr>
            <w:tcW w:w="220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210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rPr>
              <w:t>高青县交通运输局</w:t>
            </w:r>
          </w:p>
        </w:tc>
        <w:tc>
          <w:tcPr>
            <w:tcW w:w="147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snapToGrid w:val="0"/>
                <w:color w:val="000000"/>
                <w:kern w:val="0"/>
                <w:sz w:val="18"/>
                <w:szCs w:val="18"/>
                <w:lang w:val="en-US" w:eastAsia="zh-CN"/>
              </w:rPr>
            </w:pPr>
            <w:r>
              <w:rPr>
                <w:rFonts w:hint="eastAsia" w:ascii="宋体" w:hAnsi="宋体" w:eastAsia="宋体" w:cs="宋体"/>
                <w:color w:val="000000"/>
                <w:sz w:val="18"/>
                <w:szCs w:val="18"/>
                <w:lang w:val="en-US" w:eastAsia="zh-CN"/>
              </w:rPr>
              <w:t>45.00</w:t>
            </w:r>
          </w:p>
        </w:tc>
        <w:tc>
          <w:tcPr>
            <w:tcW w:w="96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snapToGrid w:val="0"/>
                <w:color w:val="000000"/>
                <w:kern w:val="0"/>
                <w:sz w:val="18"/>
                <w:szCs w:val="18"/>
                <w:lang w:val="en-US" w:eastAsia="zh-CN"/>
              </w:rPr>
            </w:pPr>
            <w:r>
              <w:rPr>
                <w:rFonts w:hint="eastAsia" w:ascii="宋体" w:hAnsi="宋体" w:eastAsia="宋体" w:cs="宋体"/>
                <w:color w:val="000000"/>
                <w:sz w:val="18"/>
                <w:szCs w:val="18"/>
                <w:lang w:val="en-US" w:eastAsia="zh-CN"/>
              </w:rPr>
              <w:t>45.00</w:t>
            </w:r>
          </w:p>
        </w:tc>
        <w:tc>
          <w:tcPr>
            <w:tcW w:w="67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64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r>
      <w:tr>
        <w:tblPrEx>
          <w:tblCellMar>
            <w:top w:w="0" w:type="dxa"/>
            <w:left w:w="0" w:type="dxa"/>
            <w:bottom w:w="0" w:type="dxa"/>
            <w:right w:w="0" w:type="dxa"/>
          </w:tblCellMar>
        </w:tblPrEx>
        <w:trPr>
          <w:trHeight w:val="700" w:hRule="atLeast"/>
        </w:trPr>
        <w:tc>
          <w:tcPr>
            <w:tcW w:w="220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textAlignment w:val="center"/>
              <w:rPr>
                <w:rFonts w:hint="default" w:ascii="宋体" w:hAnsi="宋体" w:cs="宋体"/>
                <w:color w:val="000000"/>
                <w:sz w:val="18"/>
                <w:szCs w:val="18"/>
                <w:lang w:val="en-US" w:eastAsia="zh-CN"/>
              </w:rPr>
            </w:pPr>
            <w:r>
              <w:rPr>
                <w:rFonts w:hint="default" w:ascii="宋体" w:hAnsi="宋体" w:cs="宋体"/>
                <w:color w:val="000000"/>
                <w:sz w:val="18"/>
                <w:szCs w:val="18"/>
              </w:rPr>
              <w:t>[</w:t>
            </w:r>
            <w:r>
              <w:rPr>
                <w:rFonts w:hint="default" w:ascii="宋体" w:hAnsi="宋体" w:cs="宋体"/>
                <w:color w:val="000000"/>
                <w:sz w:val="18"/>
                <w:szCs w:val="18"/>
                <w:lang w:val="en-US" w:eastAsia="zh-CN"/>
              </w:rPr>
              <w:t>2140101]行政运行</w:t>
            </w:r>
          </w:p>
        </w:tc>
        <w:tc>
          <w:tcPr>
            <w:tcW w:w="220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安全生产和教育培训经费</w:t>
            </w:r>
          </w:p>
        </w:tc>
        <w:tc>
          <w:tcPr>
            <w:tcW w:w="210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rPr>
              <w:t>高青县交通运输局</w:t>
            </w:r>
          </w:p>
        </w:tc>
        <w:tc>
          <w:tcPr>
            <w:tcW w:w="14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宋体" w:hAnsi="宋体" w:eastAsia="宋体" w:cs="宋体"/>
                <w:snapToGrid w:val="0"/>
                <w:color w:val="000000"/>
                <w:kern w:val="0"/>
                <w:sz w:val="18"/>
                <w:szCs w:val="18"/>
                <w:lang w:val="en-US" w:eastAsia="zh-CN"/>
              </w:rPr>
            </w:pPr>
            <w:r>
              <w:rPr>
                <w:rFonts w:hint="eastAsia" w:ascii="宋体" w:hAnsi="宋体" w:eastAsia="宋体" w:cs="宋体"/>
                <w:color w:val="000000"/>
                <w:sz w:val="18"/>
                <w:szCs w:val="18"/>
                <w:lang w:val="en-US" w:eastAsia="zh-CN"/>
              </w:rPr>
              <w:t>10.00</w:t>
            </w:r>
          </w:p>
        </w:tc>
        <w:tc>
          <w:tcPr>
            <w:tcW w:w="9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宋体" w:hAnsi="宋体" w:eastAsia="宋体" w:cs="宋体"/>
                <w:snapToGrid w:val="0"/>
                <w:color w:val="000000"/>
                <w:kern w:val="0"/>
                <w:sz w:val="18"/>
                <w:szCs w:val="18"/>
                <w:lang w:val="en-US" w:eastAsia="zh-CN"/>
              </w:rPr>
            </w:pPr>
            <w:r>
              <w:rPr>
                <w:rFonts w:hint="eastAsia" w:ascii="宋体" w:hAnsi="宋体" w:eastAsia="宋体" w:cs="宋体"/>
                <w:color w:val="000000"/>
                <w:sz w:val="18"/>
                <w:szCs w:val="18"/>
                <w:lang w:val="en-US" w:eastAsia="zh-CN"/>
              </w:rPr>
              <w:t>10.00</w:t>
            </w:r>
          </w:p>
        </w:tc>
        <w:tc>
          <w:tcPr>
            <w:tcW w:w="67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64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r>
      <w:tr>
        <w:tblPrEx>
          <w:tblCellMar>
            <w:top w:w="0" w:type="dxa"/>
            <w:left w:w="0" w:type="dxa"/>
            <w:bottom w:w="0" w:type="dxa"/>
            <w:right w:w="0" w:type="dxa"/>
          </w:tblCellMar>
        </w:tblPrEx>
        <w:trPr>
          <w:trHeight w:val="700" w:hRule="atLeast"/>
        </w:trPr>
        <w:tc>
          <w:tcPr>
            <w:tcW w:w="220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textAlignment w:val="center"/>
              <w:rPr>
                <w:rFonts w:hint="default" w:ascii="宋体" w:hAnsi="宋体" w:cs="宋体"/>
                <w:color w:val="000000"/>
                <w:sz w:val="18"/>
                <w:szCs w:val="18"/>
              </w:rPr>
            </w:pPr>
            <w:r>
              <w:rPr>
                <w:rFonts w:hint="default" w:ascii="宋体" w:hAnsi="宋体" w:cs="宋体"/>
                <w:color w:val="000000"/>
                <w:sz w:val="18"/>
                <w:szCs w:val="18"/>
              </w:rPr>
              <w:t>[</w:t>
            </w:r>
            <w:r>
              <w:rPr>
                <w:rFonts w:hint="default" w:ascii="宋体" w:hAnsi="宋体" w:cs="宋体"/>
                <w:color w:val="000000"/>
                <w:sz w:val="18"/>
                <w:szCs w:val="18"/>
                <w:lang w:val="en-US" w:eastAsia="zh-CN"/>
              </w:rPr>
              <w:t>2140101</w:t>
            </w:r>
            <w:r>
              <w:rPr>
                <w:rFonts w:hint="default" w:ascii="宋体" w:hAnsi="宋体" w:cs="宋体"/>
                <w:color w:val="000000"/>
                <w:sz w:val="18"/>
                <w:szCs w:val="18"/>
              </w:rPr>
              <w:t>]</w:t>
            </w:r>
            <w:r>
              <w:rPr>
                <w:rFonts w:hint="default" w:ascii="宋体" w:hAnsi="宋体" w:cs="宋体"/>
                <w:color w:val="000000"/>
                <w:sz w:val="18"/>
                <w:szCs w:val="18"/>
                <w:lang w:val="en-US" w:eastAsia="zh-CN"/>
              </w:rPr>
              <w:t>行政运行</w:t>
            </w:r>
          </w:p>
        </w:tc>
        <w:tc>
          <w:tcPr>
            <w:tcW w:w="220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配发交通服装</w:t>
            </w:r>
          </w:p>
        </w:tc>
        <w:tc>
          <w:tcPr>
            <w:tcW w:w="210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rPr>
              <w:t>高青县交通运输局</w:t>
            </w:r>
          </w:p>
        </w:tc>
        <w:tc>
          <w:tcPr>
            <w:tcW w:w="14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宋体" w:hAnsi="宋体" w:eastAsia="宋体" w:cs="宋体"/>
                <w:snapToGrid w:val="0"/>
                <w:color w:val="000000"/>
                <w:kern w:val="0"/>
                <w:sz w:val="18"/>
                <w:szCs w:val="18"/>
                <w:lang w:val="en-US" w:eastAsia="zh-CN"/>
              </w:rPr>
            </w:pPr>
            <w:r>
              <w:rPr>
                <w:rFonts w:hint="eastAsia" w:ascii="宋体" w:hAnsi="宋体" w:eastAsia="宋体" w:cs="宋体"/>
                <w:color w:val="000000"/>
                <w:sz w:val="18"/>
                <w:szCs w:val="18"/>
                <w:lang w:val="en-US" w:eastAsia="zh-CN"/>
              </w:rPr>
              <w:t>15.00</w:t>
            </w:r>
          </w:p>
        </w:tc>
        <w:tc>
          <w:tcPr>
            <w:tcW w:w="9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宋体" w:hAnsi="宋体" w:eastAsia="宋体" w:cs="宋体"/>
                <w:snapToGrid w:val="0"/>
                <w:color w:val="000000"/>
                <w:kern w:val="0"/>
                <w:sz w:val="18"/>
                <w:szCs w:val="18"/>
                <w:lang w:val="en-US" w:eastAsia="zh-CN"/>
              </w:rPr>
            </w:pPr>
            <w:r>
              <w:rPr>
                <w:rFonts w:hint="eastAsia" w:ascii="宋体" w:hAnsi="宋体" w:eastAsia="宋体" w:cs="宋体"/>
                <w:color w:val="000000"/>
                <w:sz w:val="18"/>
                <w:szCs w:val="18"/>
                <w:lang w:val="en-US" w:eastAsia="zh-CN"/>
              </w:rPr>
              <w:t>15.00</w:t>
            </w:r>
          </w:p>
        </w:tc>
        <w:tc>
          <w:tcPr>
            <w:tcW w:w="67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64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r>
      <w:tr>
        <w:tblPrEx>
          <w:tblCellMar>
            <w:top w:w="0" w:type="dxa"/>
            <w:left w:w="0" w:type="dxa"/>
            <w:bottom w:w="0" w:type="dxa"/>
            <w:right w:w="0" w:type="dxa"/>
          </w:tblCellMar>
        </w:tblPrEx>
        <w:trPr>
          <w:trHeight w:val="700" w:hRule="atLeast"/>
        </w:trPr>
        <w:tc>
          <w:tcPr>
            <w:tcW w:w="220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textAlignment w:val="center"/>
              <w:rPr>
                <w:rFonts w:hint="default" w:ascii="宋体" w:hAnsi="宋体" w:cs="宋体"/>
                <w:color w:val="000000"/>
                <w:sz w:val="18"/>
                <w:szCs w:val="18"/>
              </w:rPr>
            </w:pPr>
            <w:r>
              <w:rPr>
                <w:rFonts w:hint="default" w:ascii="宋体" w:hAnsi="宋体" w:cs="宋体"/>
                <w:color w:val="000000"/>
                <w:sz w:val="18"/>
                <w:szCs w:val="18"/>
              </w:rPr>
              <w:t>[</w:t>
            </w:r>
            <w:r>
              <w:rPr>
                <w:rFonts w:hint="default" w:ascii="宋体" w:hAnsi="宋体" w:cs="宋体"/>
                <w:color w:val="000000"/>
                <w:sz w:val="18"/>
                <w:szCs w:val="18"/>
                <w:lang w:val="en-US" w:eastAsia="zh-CN"/>
              </w:rPr>
              <w:t>2140101</w:t>
            </w:r>
            <w:r>
              <w:rPr>
                <w:rFonts w:hint="default" w:ascii="宋体" w:hAnsi="宋体" w:cs="宋体"/>
                <w:color w:val="000000"/>
                <w:sz w:val="18"/>
                <w:szCs w:val="18"/>
              </w:rPr>
              <w:t>]</w:t>
            </w:r>
            <w:r>
              <w:rPr>
                <w:rFonts w:hint="default" w:ascii="宋体" w:hAnsi="宋体" w:cs="宋体"/>
                <w:color w:val="000000"/>
                <w:sz w:val="18"/>
                <w:szCs w:val="18"/>
                <w:lang w:val="en-US" w:eastAsia="zh-CN"/>
              </w:rPr>
              <w:t>行政运行</w:t>
            </w:r>
          </w:p>
        </w:tc>
        <w:tc>
          <w:tcPr>
            <w:tcW w:w="220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办公区域修缮费</w:t>
            </w:r>
          </w:p>
        </w:tc>
        <w:tc>
          <w:tcPr>
            <w:tcW w:w="210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default" w:ascii="宋体" w:hAnsi="宋体" w:cs="宋体"/>
                <w:color w:val="000000"/>
                <w:sz w:val="18"/>
                <w:szCs w:val="18"/>
                <w:lang w:val="en-US" w:eastAsia="zh-CN"/>
              </w:rPr>
            </w:pPr>
            <w:r>
              <w:rPr>
                <w:rFonts w:hint="eastAsia" w:ascii="宋体" w:hAnsi="宋体" w:cs="宋体"/>
                <w:color w:val="000000"/>
                <w:sz w:val="18"/>
                <w:szCs w:val="18"/>
              </w:rPr>
              <w:t>高青县交通运输局</w:t>
            </w:r>
          </w:p>
        </w:tc>
        <w:tc>
          <w:tcPr>
            <w:tcW w:w="147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宋体" w:hAnsi="宋体" w:eastAsia="宋体" w:cs="宋体"/>
                <w:snapToGrid w:val="0"/>
                <w:color w:val="000000"/>
                <w:kern w:val="0"/>
                <w:sz w:val="18"/>
                <w:szCs w:val="18"/>
                <w:lang w:val="en-US" w:eastAsia="zh-CN"/>
              </w:rPr>
            </w:pPr>
            <w:r>
              <w:rPr>
                <w:rFonts w:hint="eastAsia" w:ascii="宋体" w:hAnsi="宋体" w:eastAsia="宋体" w:cs="宋体"/>
                <w:color w:val="000000"/>
                <w:sz w:val="18"/>
                <w:szCs w:val="18"/>
                <w:lang w:val="en-US" w:eastAsia="zh-CN"/>
              </w:rPr>
              <w:t>20.00</w:t>
            </w:r>
          </w:p>
        </w:tc>
        <w:tc>
          <w:tcPr>
            <w:tcW w:w="96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宋体" w:hAnsi="宋体" w:eastAsia="宋体" w:cs="宋体"/>
                <w:snapToGrid w:val="0"/>
                <w:color w:val="000000"/>
                <w:kern w:val="0"/>
                <w:sz w:val="18"/>
                <w:szCs w:val="18"/>
                <w:lang w:val="en-US" w:eastAsia="zh-CN"/>
              </w:rPr>
            </w:pPr>
            <w:r>
              <w:rPr>
                <w:rFonts w:hint="eastAsia" w:ascii="宋体" w:hAnsi="宋体" w:eastAsia="宋体" w:cs="宋体"/>
                <w:color w:val="000000"/>
                <w:sz w:val="18"/>
                <w:szCs w:val="18"/>
                <w:lang w:val="en-US" w:eastAsia="zh-CN"/>
              </w:rPr>
              <w:t>20.00</w:t>
            </w:r>
          </w:p>
        </w:tc>
        <w:tc>
          <w:tcPr>
            <w:tcW w:w="67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64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70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r>
    </w:tbl>
    <w:p>
      <w:pPr>
        <w:spacing w:line="243" w:lineRule="auto"/>
        <w:rPr>
          <w:rFonts w:ascii="微软雅黑"/>
          <w:sz w:val="21"/>
        </w:rPr>
      </w:pPr>
    </w:p>
    <w:p>
      <w:pPr>
        <w:spacing w:line="243" w:lineRule="auto"/>
        <w:rPr>
          <w:rFonts w:ascii="微软雅黑"/>
          <w:sz w:val="21"/>
        </w:rPr>
      </w:pPr>
    </w:p>
    <w:p>
      <w:pPr>
        <w:spacing w:before="65" w:line="184" w:lineRule="auto"/>
        <w:ind w:firstLine="11739"/>
        <w:rPr>
          <w:rFonts w:ascii="宋体" w:hAnsi="宋体" w:eastAsia="宋体" w:cs="宋体"/>
          <w:spacing w:val="-2"/>
          <w:sz w:val="20"/>
          <w:szCs w:val="20"/>
        </w:rPr>
      </w:pPr>
    </w:p>
    <w:p>
      <w:pPr>
        <w:spacing w:before="65" w:line="184" w:lineRule="auto"/>
        <w:ind w:firstLine="11739"/>
        <w:rPr>
          <w:rFonts w:ascii="宋体" w:hAnsi="宋体" w:eastAsia="宋体" w:cs="宋体"/>
          <w:spacing w:val="-2"/>
          <w:sz w:val="20"/>
          <w:szCs w:val="20"/>
        </w:rPr>
      </w:pPr>
    </w:p>
    <w:p>
      <w:pPr>
        <w:spacing w:before="65" w:line="184" w:lineRule="auto"/>
        <w:ind w:firstLine="11739"/>
        <w:rPr>
          <w:rFonts w:ascii="宋体" w:hAnsi="宋体" w:eastAsia="宋体" w:cs="宋体"/>
          <w:spacing w:val="-2"/>
          <w:sz w:val="20"/>
          <w:szCs w:val="20"/>
        </w:rPr>
      </w:pPr>
    </w:p>
    <w:p>
      <w:pPr>
        <w:spacing w:before="65" w:line="184" w:lineRule="auto"/>
        <w:ind w:firstLine="11739"/>
        <w:rPr>
          <w:rFonts w:ascii="宋体" w:hAnsi="宋体" w:eastAsia="宋体" w:cs="宋体"/>
          <w:spacing w:val="-2"/>
          <w:sz w:val="20"/>
          <w:szCs w:val="20"/>
        </w:rPr>
      </w:pPr>
    </w:p>
    <w:p>
      <w:pPr>
        <w:spacing w:before="65" w:line="184" w:lineRule="auto"/>
        <w:ind w:firstLine="11739"/>
        <w:rPr>
          <w:rFonts w:ascii="宋体" w:hAnsi="宋体" w:eastAsia="宋体" w:cs="宋体"/>
          <w:spacing w:val="-2"/>
          <w:sz w:val="20"/>
          <w:szCs w:val="20"/>
        </w:rPr>
      </w:pPr>
    </w:p>
    <w:p>
      <w:pPr>
        <w:spacing w:before="65" w:line="184" w:lineRule="auto"/>
        <w:ind w:firstLine="11739"/>
        <w:rPr>
          <w:rFonts w:ascii="宋体" w:hAnsi="宋体" w:eastAsia="宋体" w:cs="宋体"/>
          <w:spacing w:val="-2"/>
          <w:sz w:val="20"/>
          <w:szCs w:val="20"/>
        </w:rPr>
      </w:pPr>
    </w:p>
    <w:p>
      <w:pPr>
        <w:jc w:val="right"/>
        <w:rPr>
          <w:rFonts w:ascii="宋体" w:hAnsi="宋体"/>
          <w:b/>
          <w:szCs w:val="21"/>
        </w:rPr>
      </w:pPr>
      <w:r>
        <w:rPr>
          <w:rFonts w:hint="eastAsia" w:ascii="宋体" w:hAnsi="宋体" w:eastAsia="宋体"/>
          <w:b/>
          <w:szCs w:val="21"/>
          <w:lang w:eastAsia="zh-CN"/>
        </w:rPr>
        <w:t>单位</w:t>
      </w:r>
      <w:r>
        <w:rPr>
          <w:rFonts w:hint="eastAsia" w:ascii="宋体" w:hAnsi="宋体"/>
          <w:b/>
          <w:szCs w:val="21"/>
        </w:rPr>
        <w:t>公开表1</w:t>
      </w:r>
      <w:r>
        <w:rPr>
          <w:rFonts w:hint="eastAsia" w:ascii="宋体" w:hAnsi="宋体"/>
          <w:b/>
          <w:szCs w:val="21"/>
          <w:lang w:val="en-US" w:eastAsia="zh-CN"/>
        </w:rPr>
        <w:t>1</w:t>
      </w:r>
    </w:p>
    <w:p>
      <w:pPr>
        <w:jc w:val="center"/>
        <w:rPr>
          <w:rFonts w:ascii="仿宋_GB2312" w:eastAsia="仿宋_GB2312"/>
          <w:b/>
          <w:sz w:val="30"/>
          <w:szCs w:val="30"/>
        </w:rPr>
      </w:pPr>
    </w:p>
    <w:p>
      <w:pPr>
        <w:jc w:val="center"/>
        <w:rPr>
          <w:rFonts w:ascii="黑体" w:eastAsia="黑体"/>
          <w:b/>
          <w:sz w:val="30"/>
          <w:szCs w:val="30"/>
        </w:rPr>
      </w:pPr>
      <w:r>
        <w:rPr>
          <w:rFonts w:hint="eastAsia" w:ascii="仿宋_GB2312" w:eastAsia="仿宋_GB2312"/>
          <w:b/>
          <w:sz w:val="30"/>
          <w:szCs w:val="30"/>
        </w:rPr>
        <w:t>表1</w:t>
      </w:r>
      <w:r>
        <w:rPr>
          <w:rFonts w:hint="eastAsia" w:ascii="仿宋_GB2312" w:eastAsia="仿宋_GB2312"/>
          <w:b/>
          <w:sz w:val="30"/>
          <w:szCs w:val="30"/>
          <w:lang w:val="en-US" w:eastAsia="zh-CN"/>
        </w:rPr>
        <w:t>1</w:t>
      </w:r>
      <w:r>
        <w:rPr>
          <w:rFonts w:hint="eastAsia" w:ascii="仿宋_GB2312" w:eastAsia="仿宋_GB2312"/>
          <w:b/>
          <w:sz w:val="30"/>
          <w:szCs w:val="30"/>
        </w:rPr>
        <w:t>.</w:t>
      </w:r>
      <w:r>
        <w:rPr>
          <w:rFonts w:hint="eastAsia" w:ascii="仿宋_GB2312" w:hAnsi="宋体" w:eastAsia="仿宋_GB2312" w:cs="宋体"/>
          <w:b/>
          <w:kern w:val="0"/>
          <w:sz w:val="30"/>
          <w:szCs w:val="30"/>
        </w:rPr>
        <w:t>政府采购预算表</w:t>
      </w:r>
    </w:p>
    <w:p>
      <w:pPr>
        <w:jc w:val="right"/>
        <w:rPr>
          <w:rFonts w:ascii="仿宋_GB2312" w:hAnsi="宋体" w:eastAsia="仿宋_GB2312" w:cs="宋体"/>
          <w:kern w:val="0"/>
          <w:szCs w:val="21"/>
        </w:rPr>
      </w:pPr>
      <w:r>
        <w:rPr>
          <w:rFonts w:hint="eastAsia" w:ascii="黑体" w:eastAsia="黑体"/>
          <w:b/>
          <w:sz w:val="30"/>
          <w:szCs w:val="30"/>
        </w:rPr>
        <w:t xml:space="preserve">                                                                                </w:t>
      </w:r>
      <w:r>
        <w:rPr>
          <w:rFonts w:hint="eastAsia" w:ascii="仿宋_GB2312" w:hAnsi="宋体" w:eastAsia="仿宋_GB2312" w:cs="宋体"/>
          <w:kern w:val="0"/>
          <w:szCs w:val="21"/>
        </w:rPr>
        <w:t>单位：万元</w:t>
      </w:r>
    </w:p>
    <w:p>
      <w:pPr>
        <w:jc w:val="right"/>
        <w:rPr>
          <w:rFonts w:ascii="仿宋_GB2312" w:hAnsi="宋体" w:eastAsia="仿宋_GB2312" w:cs="宋体"/>
          <w:kern w:val="0"/>
          <w:szCs w:val="21"/>
        </w:rPr>
      </w:pPr>
    </w:p>
    <w:tbl>
      <w:tblPr>
        <w:tblStyle w:val="5"/>
        <w:tblW w:w="13982" w:type="dxa"/>
        <w:tblInd w:w="0" w:type="dxa"/>
        <w:tblLayout w:type="fixed"/>
        <w:tblCellMar>
          <w:top w:w="0" w:type="dxa"/>
          <w:left w:w="0" w:type="dxa"/>
          <w:bottom w:w="0" w:type="dxa"/>
          <w:right w:w="0" w:type="dxa"/>
        </w:tblCellMar>
      </w:tblPr>
      <w:tblGrid>
        <w:gridCol w:w="612"/>
        <w:gridCol w:w="615"/>
        <w:gridCol w:w="551"/>
        <w:gridCol w:w="551"/>
        <w:gridCol w:w="556"/>
        <w:gridCol w:w="1860"/>
        <w:gridCol w:w="1152"/>
        <w:gridCol w:w="1152"/>
        <w:gridCol w:w="1152"/>
        <w:gridCol w:w="1152"/>
        <w:gridCol w:w="1158"/>
        <w:gridCol w:w="1152"/>
        <w:gridCol w:w="1152"/>
        <w:gridCol w:w="1167"/>
      </w:tblGrid>
      <w:tr>
        <w:tblPrEx>
          <w:tblCellMar>
            <w:top w:w="0" w:type="dxa"/>
            <w:left w:w="0" w:type="dxa"/>
            <w:bottom w:w="0" w:type="dxa"/>
            <w:right w:w="0" w:type="dxa"/>
          </w:tblCellMar>
        </w:tblPrEx>
        <w:trPr>
          <w:trHeight w:val="500"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单位</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编码</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单位</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名称</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科目编码</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科目名称</w:t>
            </w:r>
          </w:p>
        </w:tc>
        <w:tc>
          <w:tcPr>
            <w:tcW w:w="9237"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资金来源</w:t>
            </w:r>
          </w:p>
        </w:tc>
      </w:tr>
      <w:tr>
        <w:tblPrEx>
          <w:tblCellMar>
            <w:top w:w="0" w:type="dxa"/>
            <w:left w:w="0" w:type="dxa"/>
            <w:bottom w:w="0" w:type="dxa"/>
            <w:right w:w="0" w:type="dxa"/>
          </w:tblCellMar>
        </w:tblPrEx>
        <w:trPr>
          <w:trHeight w:val="50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55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w:t>
            </w:r>
          </w:p>
        </w:tc>
        <w:tc>
          <w:tcPr>
            <w:tcW w:w="55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款</w:t>
            </w: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461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财政拨款</w:t>
            </w:r>
          </w:p>
        </w:tc>
        <w:tc>
          <w:tcPr>
            <w:tcW w:w="1152" w:type="dxa"/>
            <w:vMerge w:val="restart"/>
            <w:tcBorders>
              <w:top w:val="nil"/>
              <w:left w:val="nil"/>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财政专户</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管理资金</w:t>
            </w:r>
          </w:p>
        </w:tc>
        <w:tc>
          <w:tcPr>
            <w:tcW w:w="1152"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单位资金</w:t>
            </w:r>
          </w:p>
        </w:tc>
        <w:tc>
          <w:tcPr>
            <w:tcW w:w="1167"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上年结转</w:t>
            </w:r>
          </w:p>
        </w:tc>
      </w:tr>
      <w:tr>
        <w:tblPrEx>
          <w:tblCellMar>
            <w:top w:w="0" w:type="dxa"/>
            <w:left w:w="0" w:type="dxa"/>
            <w:bottom w:w="0" w:type="dxa"/>
            <w:right w:w="0" w:type="dxa"/>
          </w:tblCellMar>
        </w:tblPrEx>
        <w:trPr>
          <w:trHeight w:val="50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15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小计</w:t>
            </w:r>
          </w:p>
        </w:tc>
        <w:tc>
          <w:tcPr>
            <w:tcW w:w="115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一般公共</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预算</w:t>
            </w:r>
          </w:p>
        </w:tc>
        <w:tc>
          <w:tcPr>
            <w:tcW w:w="115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政府性</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基金预算</w:t>
            </w:r>
          </w:p>
        </w:tc>
        <w:tc>
          <w:tcPr>
            <w:tcW w:w="1158"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国有资本</w:t>
            </w: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经营预算</w:t>
            </w:r>
          </w:p>
        </w:tc>
        <w:tc>
          <w:tcPr>
            <w:tcW w:w="1152" w:type="dxa"/>
            <w:vMerge w:val="continue"/>
            <w:tcBorders>
              <w:top w:val="nil"/>
              <w:left w:val="nil"/>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152"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c>
          <w:tcPr>
            <w:tcW w:w="1167"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545" w:hRule="atLeast"/>
        </w:trPr>
        <w:tc>
          <w:tcPr>
            <w:tcW w:w="1227"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55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55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55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61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209</w:t>
            </w:r>
          </w:p>
        </w:tc>
        <w:tc>
          <w:tcPr>
            <w:tcW w:w="6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r>
              <w:rPr>
                <w:rFonts w:hint="eastAsia" w:ascii="宋体" w:hAnsi="宋体" w:cs="宋体"/>
                <w:color w:val="000000"/>
                <w:sz w:val="18"/>
                <w:szCs w:val="18"/>
              </w:rPr>
              <w:t>高青县交通运输局</w:t>
            </w:r>
          </w:p>
        </w:tc>
        <w:tc>
          <w:tcPr>
            <w:tcW w:w="55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214</w:t>
            </w:r>
          </w:p>
        </w:tc>
        <w:tc>
          <w:tcPr>
            <w:tcW w:w="55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55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top"/>
          </w:tcPr>
          <w:p>
            <w:pPr>
              <w:widowControl/>
              <w:spacing w:line="240" w:lineRule="auto"/>
              <w:jc w:val="both"/>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交通运输支出</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15.00</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15.00</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15.00</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snapToGrid w:val="0"/>
                <w:color w:val="000000"/>
                <w:kern w:val="0"/>
                <w:sz w:val="18"/>
                <w:szCs w:val="18"/>
                <w:lang w:val="en-US" w:eastAsia="zh-CN"/>
              </w:rPr>
            </w:pPr>
            <w:r>
              <w:rPr>
                <w:rFonts w:hint="eastAsia" w:ascii="宋体" w:hAnsi="宋体" w:eastAsia="宋体" w:cs="宋体"/>
                <w:color w:val="000000"/>
                <w:sz w:val="18"/>
                <w:szCs w:val="18"/>
                <w:lang w:val="en-US" w:eastAsia="zh-CN"/>
              </w:rPr>
              <w:t>0.00</w:t>
            </w:r>
          </w:p>
        </w:tc>
        <w:tc>
          <w:tcPr>
            <w:tcW w:w="115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11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r>
      <w:tr>
        <w:tblPrEx>
          <w:tblCellMar>
            <w:top w:w="0" w:type="dxa"/>
            <w:left w:w="0" w:type="dxa"/>
            <w:bottom w:w="0" w:type="dxa"/>
            <w:right w:w="0" w:type="dxa"/>
          </w:tblCellMar>
        </w:tblPrEx>
        <w:trPr>
          <w:trHeight w:val="500" w:hRule="atLeast"/>
        </w:trPr>
        <w:tc>
          <w:tcPr>
            <w:tcW w:w="61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209001</w:t>
            </w:r>
          </w:p>
        </w:tc>
        <w:tc>
          <w:tcPr>
            <w:tcW w:w="6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r>
              <w:rPr>
                <w:rFonts w:hint="eastAsia" w:ascii="宋体" w:hAnsi="宋体" w:cs="宋体"/>
                <w:color w:val="000000"/>
                <w:sz w:val="18"/>
                <w:szCs w:val="18"/>
              </w:rPr>
              <w:t>高青县交通运输局</w:t>
            </w:r>
          </w:p>
        </w:tc>
        <w:tc>
          <w:tcPr>
            <w:tcW w:w="55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214</w:t>
            </w:r>
          </w:p>
        </w:tc>
        <w:tc>
          <w:tcPr>
            <w:tcW w:w="55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01</w:t>
            </w:r>
          </w:p>
        </w:tc>
        <w:tc>
          <w:tcPr>
            <w:tcW w:w="55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top"/>
          </w:tcPr>
          <w:p>
            <w:pPr>
              <w:widowControl/>
              <w:spacing w:line="240" w:lineRule="auto"/>
              <w:jc w:val="both"/>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公路水路运输</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15.00</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15.00</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15.00</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snapToGrid w:val="0"/>
                <w:color w:val="000000"/>
                <w:kern w:val="0"/>
                <w:sz w:val="18"/>
                <w:szCs w:val="18"/>
                <w:lang w:val="en-US" w:eastAsia="zh-CN"/>
              </w:rPr>
            </w:pPr>
            <w:r>
              <w:rPr>
                <w:rFonts w:hint="eastAsia" w:ascii="宋体" w:hAnsi="宋体" w:eastAsia="宋体" w:cs="宋体"/>
                <w:color w:val="000000"/>
                <w:sz w:val="18"/>
                <w:szCs w:val="18"/>
                <w:lang w:val="en-US" w:eastAsia="zh-CN"/>
              </w:rPr>
              <w:t>0.00</w:t>
            </w:r>
          </w:p>
        </w:tc>
        <w:tc>
          <w:tcPr>
            <w:tcW w:w="115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11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r>
      <w:tr>
        <w:tblPrEx>
          <w:tblCellMar>
            <w:top w:w="0" w:type="dxa"/>
            <w:left w:w="0" w:type="dxa"/>
            <w:bottom w:w="0" w:type="dxa"/>
            <w:right w:w="0" w:type="dxa"/>
          </w:tblCellMar>
        </w:tblPrEx>
        <w:trPr>
          <w:trHeight w:val="655" w:hRule="atLeast"/>
        </w:trPr>
        <w:tc>
          <w:tcPr>
            <w:tcW w:w="61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snapToGrid w:val="0"/>
                <w:color w:val="000000"/>
                <w:kern w:val="0"/>
                <w:sz w:val="18"/>
                <w:szCs w:val="18"/>
                <w:lang w:val="en-US" w:eastAsia="zh-CN"/>
              </w:rPr>
            </w:pPr>
            <w:r>
              <w:rPr>
                <w:rFonts w:hint="eastAsia" w:ascii="宋体" w:hAnsi="宋体" w:eastAsia="宋体" w:cs="宋体"/>
                <w:color w:val="000000"/>
                <w:sz w:val="18"/>
                <w:szCs w:val="18"/>
                <w:lang w:val="en-US" w:eastAsia="zh-CN"/>
              </w:rPr>
              <w:t>209001</w:t>
            </w:r>
          </w:p>
        </w:tc>
        <w:tc>
          <w:tcPr>
            <w:tcW w:w="6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eastAsia="Arial" w:cs="宋体"/>
                <w:snapToGrid w:val="0"/>
                <w:color w:val="000000"/>
                <w:kern w:val="0"/>
                <w:sz w:val="18"/>
                <w:szCs w:val="18"/>
              </w:rPr>
            </w:pPr>
            <w:r>
              <w:rPr>
                <w:rFonts w:hint="eastAsia" w:ascii="宋体" w:hAnsi="宋体" w:cs="宋体"/>
                <w:color w:val="000000"/>
                <w:sz w:val="18"/>
                <w:szCs w:val="18"/>
              </w:rPr>
              <w:t>高青县交通运输局</w:t>
            </w:r>
          </w:p>
        </w:tc>
        <w:tc>
          <w:tcPr>
            <w:tcW w:w="55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snapToGrid w:val="0"/>
                <w:color w:val="000000"/>
                <w:kern w:val="0"/>
                <w:sz w:val="18"/>
                <w:szCs w:val="18"/>
                <w:lang w:val="en-US" w:eastAsia="zh-CN"/>
              </w:rPr>
            </w:pPr>
            <w:r>
              <w:rPr>
                <w:rFonts w:hint="eastAsia" w:ascii="宋体" w:hAnsi="宋体" w:eastAsia="宋体" w:cs="宋体"/>
                <w:color w:val="000000"/>
                <w:sz w:val="18"/>
                <w:szCs w:val="18"/>
                <w:lang w:val="en-US" w:eastAsia="zh-CN"/>
              </w:rPr>
              <w:t>214</w:t>
            </w:r>
          </w:p>
        </w:tc>
        <w:tc>
          <w:tcPr>
            <w:tcW w:w="55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snapToGrid w:val="0"/>
                <w:color w:val="000000"/>
                <w:kern w:val="0"/>
                <w:sz w:val="18"/>
                <w:szCs w:val="18"/>
                <w:lang w:val="en-US" w:eastAsia="zh-CN"/>
              </w:rPr>
            </w:pPr>
            <w:r>
              <w:rPr>
                <w:rFonts w:hint="eastAsia" w:ascii="宋体" w:hAnsi="宋体" w:eastAsia="宋体" w:cs="宋体"/>
                <w:color w:val="000000"/>
                <w:sz w:val="18"/>
                <w:szCs w:val="18"/>
                <w:lang w:val="en-US" w:eastAsia="zh-CN"/>
              </w:rPr>
              <w:t>01</w:t>
            </w:r>
          </w:p>
        </w:tc>
        <w:tc>
          <w:tcPr>
            <w:tcW w:w="55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both"/>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01</w:t>
            </w:r>
          </w:p>
        </w:tc>
        <w:tc>
          <w:tcPr>
            <w:tcW w:w="18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top"/>
          </w:tcPr>
          <w:p>
            <w:pPr>
              <w:widowControl/>
              <w:spacing w:line="240" w:lineRule="auto"/>
              <w:jc w:val="both"/>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行政运行</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15.00</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15.00</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15.00</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snapToGrid w:val="0"/>
                <w:color w:val="000000"/>
                <w:kern w:val="0"/>
                <w:sz w:val="18"/>
                <w:szCs w:val="18"/>
                <w:lang w:val="en-US" w:eastAsia="zh-CN"/>
              </w:rPr>
            </w:pPr>
            <w:r>
              <w:rPr>
                <w:rFonts w:hint="eastAsia" w:ascii="宋体" w:hAnsi="宋体" w:eastAsia="宋体" w:cs="宋体"/>
                <w:color w:val="000000"/>
                <w:sz w:val="18"/>
                <w:szCs w:val="18"/>
                <w:lang w:val="en-US" w:eastAsia="zh-CN"/>
              </w:rPr>
              <w:t>0.00</w:t>
            </w:r>
          </w:p>
        </w:tc>
        <w:tc>
          <w:tcPr>
            <w:tcW w:w="115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c>
          <w:tcPr>
            <w:tcW w:w="11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eastAsia="宋体" w:cs="宋体"/>
                <w:color w:val="000000"/>
                <w:sz w:val="18"/>
                <w:szCs w:val="18"/>
                <w:lang w:val="en-US" w:eastAsia="zh-CN"/>
              </w:rPr>
              <w:t>0.00</w:t>
            </w:r>
          </w:p>
        </w:tc>
      </w:tr>
      <w:tr>
        <w:tblPrEx>
          <w:tblCellMar>
            <w:top w:w="0" w:type="dxa"/>
            <w:left w:w="0" w:type="dxa"/>
            <w:bottom w:w="0" w:type="dxa"/>
            <w:right w:w="0" w:type="dxa"/>
          </w:tblCellMar>
        </w:tblPrEx>
        <w:trPr>
          <w:trHeight w:val="500" w:hRule="atLeast"/>
        </w:trPr>
        <w:tc>
          <w:tcPr>
            <w:tcW w:w="61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55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55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55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snapToGrid w:val="0"/>
                <w:color w:val="000000"/>
                <w:kern w:val="0"/>
                <w:sz w:val="18"/>
                <w:szCs w:val="18"/>
                <w:lang w:val="en-US" w:eastAsia="zh-CN"/>
              </w:rPr>
            </w:pPr>
          </w:p>
        </w:tc>
        <w:tc>
          <w:tcPr>
            <w:tcW w:w="115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6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5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18"/>
                <w:szCs w:val="18"/>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ascii="宋体" w:hAnsi="宋体" w:cs="宋体"/>
                <w:color w:val="000000"/>
                <w:sz w:val="18"/>
                <w:szCs w:val="18"/>
              </w:rPr>
            </w:pPr>
          </w:p>
        </w:tc>
      </w:tr>
    </w:tbl>
    <w:p>
      <w:pPr>
        <w:rPr>
          <w:rFonts w:hint="eastAsia" w:ascii="仿宋_GB2312" w:eastAsia="仿宋_GB2312"/>
          <w:b/>
          <w:sz w:val="30"/>
          <w:szCs w:val="30"/>
          <w:highlight w:val="green"/>
        </w:rPr>
        <w:sectPr>
          <w:footerReference r:id="rId15" w:type="default"/>
          <w:pgSz w:w="16839" w:h="11906" w:orient="landscape"/>
          <w:pgMar w:top="1785" w:right="1431" w:bottom="1680" w:left="1435" w:header="0" w:footer="1267" w:gutter="0"/>
          <w:pgNumType w:fmt="decimal"/>
          <w:cols w:space="720" w:num="1"/>
        </w:sectPr>
      </w:pPr>
    </w:p>
    <w:p>
      <w:pPr>
        <w:rPr>
          <w:rFonts w:hint="eastAsia" w:ascii="仿宋_GB2312" w:eastAsia="仿宋_GB2312"/>
          <w:b/>
          <w:sz w:val="30"/>
          <w:szCs w:val="30"/>
          <w:highlight w:val="green"/>
        </w:rPr>
      </w:pPr>
    </w:p>
    <w:p>
      <w:pPr>
        <w:spacing w:line="243" w:lineRule="auto"/>
        <w:rPr>
          <w:rFonts w:ascii="微软雅黑"/>
          <w:sz w:val="21"/>
        </w:rPr>
      </w:pPr>
    </w:p>
    <w:p>
      <w:pPr>
        <w:spacing w:line="243" w:lineRule="auto"/>
        <w:rPr>
          <w:rFonts w:ascii="微软雅黑"/>
          <w:sz w:val="21"/>
        </w:rPr>
      </w:pPr>
    </w:p>
    <w:p>
      <w:pPr>
        <w:jc w:val="right"/>
        <w:rPr>
          <w:rFonts w:ascii="宋体" w:hAnsi="宋体"/>
          <w:b/>
          <w:szCs w:val="21"/>
        </w:rPr>
      </w:pPr>
      <w:r>
        <w:rPr>
          <w:rFonts w:hint="eastAsia" w:ascii="宋体" w:hAnsi="宋体" w:eastAsia="宋体"/>
          <w:b/>
          <w:szCs w:val="21"/>
          <w:lang w:eastAsia="zh-CN"/>
        </w:rPr>
        <w:t>单位</w:t>
      </w:r>
      <w:r>
        <w:rPr>
          <w:rFonts w:hint="eastAsia" w:ascii="宋体" w:hAnsi="宋体"/>
          <w:b/>
          <w:szCs w:val="21"/>
        </w:rPr>
        <w:t>公开表1</w:t>
      </w:r>
      <w:r>
        <w:rPr>
          <w:rFonts w:hint="eastAsia" w:ascii="宋体" w:hAnsi="宋体"/>
          <w:b/>
          <w:szCs w:val="21"/>
          <w:lang w:val="en-US" w:eastAsia="zh-CN"/>
        </w:rPr>
        <w:t>2</w:t>
      </w:r>
    </w:p>
    <w:p>
      <w:pPr>
        <w:rPr>
          <w:rFonts w:ascii="黑体" w:eastAsia="黑体"/>
          <w:b/>
          <w:sz w:val="30"/>
          <w:szCs w:val="30"/>
        </w:rPr>
      </w:pPr>
    </w:p>
    <w:p>
      <w:pPr>
        <w:jc w:val="center"/>
        <w:rPr>
          <w:b/>
          <w:szCs w:val="30"/>
        </w:rPr>
      </w:pPr>
      <w:r>
        <w:rPr>
          <w:rFonts w:hint="eastAsia" w:ascii="仿宋_GB2312" w:eastAsia="仿宋_GB2312"/>
          <w:b/>
          <w:sz w:val="30"/>
          <w:szCs w:val="30"/>
        </w:rPr>
        <w:t>表1</w:t>
      </w:r>
      <w:r>
        <w:rPr>
          <w:rFonts w:hint="eastAsia" w:ascii="仿宋_GB2312" w:eastAsia="仿宋_GB2312"/>
          <w:b/>
          <w:sz w:val="30"/>
          <w:szCs w:val="30"/>
          <w:lang w:val="en-US" w:eastAsia="zh-CN"/>
        </w:rPr>
        <w:t>2</w:t>
      </w:r>
      <w:r>
        <w:rPr>
          <w:rFonts w:hint="eastAsia" w:ascii="仿宋_GB2312" w:eastAsia="仿宋_GB2312"/>
          <w:b/>
          <w:sz w:val="30"/>
          <w:szCs w:val="30"/>
        </w:rPr>
        <w:t>.一般公共预算财政拨款安排的“三公”经费支出表</w:t>
      </w:r>
    </w:p>
    <w:p>
      <w:pPr>
        <w:rPr>
          <w:rFonts w:ascii="黑体" w:eastAsia="黑体"/>
          <w:b/>
          <w:sz w:val="30"/>
          <w:szCs w:val="30"/>
        </w:rPr>
      </w:pPr>
    </w:p>
    <w:p>
      <w:pPr>
        <w:rPr>
          <w:rFonts w:ascii="仿宋_GB2312" w:hAnsi="宋体" w:eastAsia="仿宋_GB2312" w:cs="宋体"/>
          <w:kern w:val="0"/>
          <w:szCs w:val="21"/>
        </w:rPr>
      </w:pPr>
      <w:r>
        <w:rPr>
          <w:rFonts w:hint="eastAsia" w:ascii="黑体" w:eastAsia="黑体"/>
          <w:b/>
          <w:sz w:val="30"/>
          <w:szCs w:val="30"/>
        </w:rPr>
        <w:t xml:space="preserve">  </w:t>
      </w:r>
      <w:r>
        <w:rPr>
          <w:rFonts w:hint="eastAsia" w:ascii="仿宋_GB2312" w:hAnsi="宋体" w:eastAsia="仿宋_GB2312" w:cs="宋体"/>
          <w:kern w:val="0"/>
          <w:szCs w:val="21"/>
        </w:rPr>
        <w:t xml:space="preserve">  </w:t>
      </w:r>
    </w:p>
    <w:p>
      <w:pPr>
        <w:jc w:val="right"/>
        <w:rPr>
          <w:rFonts w:ascii="黑体" w:eastAsia="黑体"/>
          <w:b/>
          <w:sz w:val="30"/>
          <w:szCs w:val="30"/>
        </w:rPr>
      </w:pPr>
      <w:r>
        <w:rPr>
          <w:rFonts w:hint="eastAsia" w:ascii="仿宋_GB2312" w:hAnsi="宋体" w:eastAsia="仿宋_GB2312" w:cs="宋体"/>
          <w:kern w:val="0"/>
          <w:szCs w:val="21"/>
        </w:rPr>
        <w:t xml:space="preserve">                                                            单位：万元</w:t>
      </w:r>
    </w:p>
    <w:tbl>
      <w:tblPr>
        <w:tblStyle w:val="5"/>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1"/>
        <w:gridCol w:w="1215"/>
        <w:gridCol w:w="987"/>
        <w:gridCol w:w="1296"/>
        <w:gridCol w:w="1662"/>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251" w:type="dxa"/>
            <w:vMerge w:val="restart"/>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215" w:type="dxa"/>
            <w:vMerge w:val="restart"/>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因公出国</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（境）经费</w:t>
            </w:r>
          </w:p>
        </w:tc>
        <w:tc>
          <w:tcPr>
            <w:tcW w:w="3945" w:type="dxa"/>
            <w:gridSpan w:val="3"/>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公务用车购置及运行维护费</w:t>
            </w:r>
          </w:p>
        </w:tc>
        <w:tc>
          <w:tcPr>
            <w:tcW w:w="2010" w:type="dxa"/>
            <w:vMerge w:val="restart"/>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1251" w:type="dxa"/>
            <w:vMerge w:val="continue"/>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15" w:type="dxa"/>
            <w:vMerge w:val="continue"/>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987" w:type="dxa"/>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小计</w:t>
            </w:r>
          </w:p>
        </w:tc>
        <w:tc>
          <w:tcPr>
            <w:tcW w:w="1296" w:type="dxa"/>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购置经费</w:t>
            </w:r>
          </w:p>
        </w:tc>
        <w:tc>
          <w:tcPr>
            <w:tcW w:w="1662" w:type="dxa"/>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运行维护费</w:t>
            </w:r>
          </w:p>
        </w:tc>
        <w:tc>
          <w:tcPr>
            <w:tcW w:w="2010" w:type="dxa"/>
            <w:vMerge w:val="continue"/>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251" w:type="dxa"/>
            <w:shd w:val="clear" w:color="auto" w:fill="FFFFFF"/>
            <w:tcMar>
              <w:top w:w="15" w:type="dxa"/>
              <w:left w:w="15" w:type="dxa"/>
              <w:right w:w="15" w:type="dxa"/>
            </w:tcMar>
            <w:vAlign w:val="bottom"/>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24.50</w:t>
            </w:r>
          </w:p>
        </w:tc>
        <w:tc>
          <w:tcPr>
            <w:tcW w:w="1215" w:type="dxa"/>
            <w:shd w:val="clear" w:color="auto" w:fill="FFFFFF"/>
            <w:tcMar>
              <w:top w:w="15" w:type="dxa"/>
              <w:left w:w="15" w:type="dxa"/>
              <w:right w:w="15" w:type="dxa"/>
            </w:tcMar>
            <w:vAlign w:val="bottom"/>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987" w:type="dxa"/>
            <w:shd w:val="clear" w:color="auto" w:fill="FFFFFF"/>
            <w:tcMar>
              <w:top w:w="15" w:type="dxa"/>
              <w:left w:w="15" w:type="dxa"/>
              <w:right w:w="15" w:type="dxa"/>
            </w:tcMar>
            <w:vAlign w:val="bottom"/>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24.00</w:t>
            </w:r>
          </w:p>
        </w:tc>
        <w:tc>
          <w:tcPr>
            <w:tcW w:w="1296" w:type="dxa"/>
            <w:shd w:val="clear" w:color="auto" w:fill="FFFFFF"/>
            <w:tcMar>
              <w:top w:w="15" w:type="dxa"/>
              <w:left w:w="15" w:type="dxa"/>
              <w:right w:w="15" w:type="dxa"/>
            </w:tcMar>
            <w:vAlign w:val="center"/>
          </w:tcPr>
          <w:p>
            <w:pPr>
              <w:jc w:val="center"/>
              <w:rPr>
                <w:rFonts w:hint="eastAsia" w:ascii="宋体" w:hAnsi="宋体" w:eastAsia="宋体" w:cs="宋体"/>
                <w:color w:val="000000"/>
                <w:sz w:val="20"/>
                <w:szCs w:val="20"/>
                <w:lang w:val="en-US" w:eastAsia="zh-CN"/>
              </w:rPr>
            </w:pPr>
          </w:p>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0.00</w:t>
            </w:r>
          </w:p>
        </w:tc>
        <w:tc>
          <w:tcPr>
            <w:tcW w:w="1662" w:type="dxa"/>
            <w:shd w:val="clear" w:color="auto" w:fill="FFFFFF"/>
            <w:tcMar>
              <w:top w:w="15" w:type="dxa"/>
              <w:left w:w="15" w:type="dxa"/>
              <w:right w:w="15" w:type="dxa"/>
            </w:tcMar>
            <w:vAlign w:val="bottom"/>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24.00</w:t>
            </w:r>
          </w:p>
        </w:tc>
        <w:tc>
          <w:tcPr>
            <w:tcW w:w="2010" w:type="dxa"/>
            <w:shd w:val="clear" w:color="auto" w:fill="FFFFFF"/>
            <w:tcMar>
              <w:top w:w="15" w:type="dxa"/>
              <w:left w:w="15" w:type="dxa"/>
              <w:right w:w="15" w:type="dxa"/>
            </w:tcMar>
            <w:vAlign w:val="bottom"/>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251" w:type="dxa"/>
            <w:shd w:val="clear" w:color="auto" w:fill="FFFFFF"/>
            <w:tcMar>
              <w:top w:w="15" w:type="dxa"/>
              <w:left w:w="15" w:type="dxa"/>
              <w:right w:w="15" w:type="dxa"/>
            </w:tcMar>
            <w:vAlign w:val="bottom"/>
          </w:tcPr>
          <w:p>
            <w:pPr>
              <w:jc w:val="center"/>
              <w:rPr>
                <w:rFonts w:ascii="宋体" w:hAnsi="宋体" w:cs="宋体"/>
                <w:color w:val="000000"/>
                <w:sz w:val="20"/>
                <w:szCs w:val="20"/>
              </w:rPr>
            </w:pPr>
          </w:p>
        </w:tc>
        <w:tc>
          <w:tcPr>
            <w:tcW w:w="1215" w:type="dxa"/>
            <w:shd w:val="clear" w:color="auto" w:fill="FFFFFF"/>
            <w:tcMar>
              <w:top w:w="15" w:type="dxa"/>
              <w:left w:w="15" w:type="dxa"/>
              <w:right w:w="15" w:type="dxa"/>
            </w:tcMar>
            <w:vAlign w:val="bottom"/>
          </w:tcPr>
          <w:p>
            <w:pPr>
              <w:jc w:val="center"/>
              <w:rPr>
                <w:rFonts w:ascii="宋体" w:hAnsi="宋体" w:cs="宋体"/>
                <w:color w:val="000000"/>
                <w:sz w:val="20"/>
                <w:szCs w:val="20"/>
              </w:rPr>
            </w:pPr>
          </w:p>
        </w:tc>
        <w:tc>
          <w:tcPr>
            <w:tcW w:w="987" w:type="dxa"/>
            <w:shd w:val="clear" w:color="auto" w:fill="FFFFFF"/>
            <w:tcMar>
              <w:top w:w="15" w:type="dxa"/>
              <w:left w:w="15" w:type="dxa"/>
              <w:right w:w="15" w:type="dxa"/>
            </w:tcMar>
            <w:vAlign w:val="bottom"/>
          </w:tcPr>
          <w:p>
            <w:pPr>
              <w:jc w:val="center"/>
              <w:rPr>
                <w:rFonts w:ascii="宋体" w:hAnsi="宋体" w:cs="宋体"/>
                <w:color w:val="000000"/>
                <w:sz w:val="20"/>
                <w:szCs w:val="20"/>
              </w:rPr>
            </w:pPr>
          </w:p>
        </w:tc>
        <w:tc>
          <w:tcPr>
            <w:tcW w:w="1296" w:type="dxa"/>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62" w:type="dxa"/>
            <w:shd w:val="clear" w:color="auto" w:fill="FFFFFF"/>
            <w:tcMar>
              <w:top w:w="15" w:type="dxa"/>
              <w:left w:w="15" w:type="dxa"/>
              <w:right w:w="15" w:type="dxa"/>
            </w:tcMar>
            <w:vAlign w:val="bottom"/>
          </w:tcPr>
          <w:p>
            <w:pPr>
              <w:jc w:val="center"/>
              <w:rPr>
                <w:rFonts w:ascii="宋体" w:hAnsi="宋体" w:cs="宋体"/>
                <w:color w:val="000000"/>
                <w:sz w:val="20"/>
                <w:szCs w:val="20"/>
              </w:rPr>
            </w:pPr>
          </w:p>
        </w:tc>
        <w:tc>
          <w:tcPr>
            <w:tcW w:w="2010" w:type="dxa"/>
            <w:shd w:val="clear" w:color="auto" w:fill="FFFFFF"/>
            <w:tcMar>
              <w:top w:w="15" w:type="dxa"/>
              <w:left w:w="15" w:type="dxa"/>
              <w:right w:w="15" w:type="dxa"/>
            </w:tcMar>
            <w:vAlign w:val="bottom"/>
          </w:tcPr>
          <w:p>
            <w:pPr>
              <w:jc w:val="center"/>
              <w:rPr>
                <w:rFonts w:ascii="宋体" w:hAnsi="宋体" w:cs="宋体"/>
                <w:color w:val="000000"/>
                <w:sz w:val="20"/>
                <w:szCs w:val="20"/>
              </w:rPr>
            </w:pPr>
          </w:p>
        </w:tc>
      </w:tr>
    </w:tbl>
    <w:p>
      <w:pPr>
        <w:rPr>
          <w:rFonts w:ascii="黑体" w:eastAsia="黑体"/>
          <w:b/>
          <w:sz w:val="18"/>
          <w:szCs w:val="18"/>
        </w:rPr>
      </w:pPr>
    </w:p>
    <w:p>
      <w:pPr>
        <w:spacing w:line="284" w:lineRule="auto"/>
        <w:rPr>
          <w:rFonts w:ascii="微软雅黑"/>
          <w:sz w:val="21"/>
        </w:rPr>
      </w:pPr>
    </w:p>
    <w:p>
      <w:pPr>
        <w:spacing w:line="284" w:lineRule="auto"/>
        <w:rPr>
          <w:rFonts w:ascii="微软雅黑"/>
          <w:sz w:val="21"/>
        </w:rPr>
      </w:pPr>
    </w:p>
    <w:p>
      <w:pPr>
        <w:spacing w:line="285" w:lineRule="auto"/>
        <w:rPr>
          <w:rFonts w:ascii="微软雅黑"/>
          <w:sz w:val="21"/>
        </w:rPr>
      </w:pPr>
    </w:p>
    <w:p>
      <w:pPr>
        <w:spacing w:line="285" w:lineRule="auto"/>
        <w:rPr>
          <w:rFonts w:ascii="微软雅黑"/>
          <w:sz w:val="21"/>
        </w:rPr>
      </w:pPr>
    </w:p>
    <w:p>
      <w:pPr>
        <w:spacing w:before="169" w:line="188" w:lineRule="auto"/>
        <w:ind w:firstLine="32"/>
        <w:rPr>
          <w:rFonts w:ascii="黑体" w:hAnsi="黑体" w:eastAsia="黑体" w:cs="黑体"/>
          <w:spacing w:val="-5"/>
          <w:sz w:val="52"/>
          <w:szCs w:val="52"/>
        </w:rPr>
      </w:pPr>
    </w:p>
    <w:p>
      <w:pPr>
        <w:spacing w:before="169" w:line="188" w:lineRule="auto"/>
        <w:ind w:firstLine="32"/>
        <w:rPr>
          <w:rFonts w:ascii="黑体" w:hAnsi="黑体" w:eastAsia="黑体" w:cs="黑体"/>
          <w:spacing w:val="-5"/>
          <w:sz w:val="52"/>
          <w:szCs w:val="52"/>
        </w:rPr>
      </w:pPr>
    </w:p>
    <w:p>
      <w:pPr>
        <w:spacing w:before="169" w:line="188" w:lineRule="auto"/>
        <w:ind w:firstLine="32"/>
        <w:rPr>
          <w:rFonts w:ascii="黑体" w:hAnsi="黑体" w:eastAsia="黑体" w:cs="黑体"/>
          <w:spacing w:val="-5"/>
          <w:sz w:val="52"/>
          <w:szCs w:val="52"/>
        </w:rPr>
      </w:pPr>
    </w:p>
    <w:p>
      <w:pPr>
        <w:spacing w:before="169" w:line="188" w:lineRule="auto"/>
        <w:ind w:firstLine="32"/>
        <w:rPr>
          <w:rFonts w:ascii="黑体" w:hAnsi="黑体" w:eastAsia="黑体" w:cs="黑体"/>
          <w:spacing w:val="-5"/>
          <w:sz w:val="52"/>
          <w:szCs w:val="52"/>
        </w:rPr>
      </w:pPr>
    </w:p>
    <w:p>
      <w:pPr>
        <w:spacing w:before="169" w:line="188" w:lineRule="auto"/>
        <w:ind w:firstLine="32"/>
        <w:rPr>
          <w:rFonts w:ascii="黑体" w:hAnsi="黑体" w:eastAsia="黑体" w:cs="黑体"/>
          <w:spacing w:val="-5"/>
          <w:sz w:val="52"/>
          <w:szCs w:val="52"/>
        </w:rPr>
      </w:pPr>
    </w:p>
    <w:p>
      <w:pPr>
        <w:spacing w:before="169" w:line="188" w:lineRule="auto"/>
        <w:ind w:firstLine="32"/>
        <w:rPr>
          <w:rFonts w:ascii="黑体" w:hAnsi="黑体" w:eastAsia="黑体" w:cs="黑体"/>
          <w:spacing w:val="-5"/>
          <w:sz w:val="52"/>
          <w:szCs w:val="52"/>
        </w:rPr>
      </w:pPr>
    </w:p>
    <w:p>
      <w:pPr>
        <w:spacing w:before="169" w:line="188" w:lineRule="auto"/>
        <w:ind w:firstLine="32"/>
        <w:rPr>
          <w:rFonts w:ascii="黑体" w:hAnsi="黑体" w:eastAsia="黑体" w:cs="黑体"/>
          <w:spacing w:val="-5"/>
          <w:sz w:val="52"/>
          <w:szCs w:val="52"/>
        </w:rPr>
      </w:pPr>
    </w:p>
    <w:p>
      <w:pPr>
        <w:spacing w:before="169" w:line="188" w:lineRule="auto"/>
        <w:ind w:firstLine="32"/>
        <w:rPr>
          <w:rFonts w:ascii="黑体" w:hAnsi="黑体" w:eastAsia="黑体" w:cs="黑体"/>
          <w:spacing w:val="-5"/>
          <w:sz w:val="52"/>
          <w:szCs w:val="52"/>
        </w:rPr>
      </w:pPr>
    </w:p>
    <w:p>
      <w:pPr>
        <w:spacing w:before="169" w:line="188" w:lineRule="auto"/>
        <w:ind w:firstLine="32"/>
        <w:rPr>
          <w:rFonts w:ascii="黑体" w:hAnsi="黑体" w:eastAsia="黑体" w:cs="黑体"/>
          <w:spacing w:val="-5"/>
          <w:sz w:val="52"/>
          <w:szCs w:val="52"/>
        </w:rPr>
      </w:pPr>
    </w:p>
    <w:p>
      <w:pPr>
        <w:spacing w:before="169" w:line="188" w:lineRule="auto"/>
        <w:ind w:firstLine="32"/>
        <w:rPr>
          <w:rFonts w:ascii="黑体" w:hAnsi="黑体" w:eastAsia="黑体" w:cs="黑体"/>
          <w:spacing w:val="-5"/>
          <w:sz w:val="52"/>
          <w:szCs w:val="52"/>
        </w:rPr>
      </w:pPr>
    </w:p>
    <w:p>
      <w:pPr>
        <w:spacing w:before="169" w:line="188" w:lineRule="auto"/>
        <w:ind w:firstLine="32"/>
        <w:rPr>
          <w:rFonts w:ascii="黑体" w:hAnsi="黑体" w:eastAsia="黑体" w:cs="黑体"/>
          <w:sz w:val="52"/>
          <w:szCs w:val="52"/>
        </w:rPr>
      </w:pPr>
      <w:r>
        <w:rPr>
          <w:rFonts w:ascii="黑体" w:hAnsi="黑体" w:eastAsia="黑体" w:cs="黑体"/>
          <w:spacing w:val="-5"/>
          <w:sz w:val="52"/>
          <w:szCs w:val="52"/>
        </w:rPr>
        <w:t>第三部分</w:t>
      </w:r>
    </w:p>
    <w:p>
      <w:pPr>
        <w:spacing w:line="263" w:lineRule="auto"/>
        <w:rPr>
          <w:rFonts w:ascii="微软雅黑"/>
          <w:sz w:val="21"/>
        </w:rPr>
      </w:pPr>
    </w:p>
    <w:p>
      <w:pPr>
        <w:spacing w:line="263" w:lineRule="auto"/>
        <w:rPr>
          <w:rFonts w:ascii="微软雅黑"/>
          <w:sz w:val="21"/>
        </w:rPr>
      </w:pPr>
    </w:p>
    <w:p>
      <w:pPr>
        <w:spacing w:line="263" w:lineRule="auto"/>
        <w:rPr>
          <w:rFonts w:ascii="微软雅黑"/>
          <w:sz w:val="21"/>
        </w:rPr>
      </w:pPr>
    </w:p>
    <w:p>
      <w:pPr>
        <w:spacing w:line="263" w:lineRule="auto"/>
        <w:rPr>
          <w:rFonts w:ascii="微软雅黑"/>
          <w:sz w:val="21"/>
        </w:rPr>
      </w:pPr>
    </w:p>
    <w:p>
      <w:pPr>
        <w:spacing w:line="263" w:lineRule="auto"/>
        <w:rPr>
          <w:rFonts w:ascii="微软雅黑"/>
          <w:sz w:val="21"/>
        </w:rPr>
      </w:pPr>
    </w:p>
    <w:p>
      <w:pPr>
        <w:spacing w:line="264" w:lineRule="auto"/>
        <w:rPr>
          <w:rFonts w:ascii="微软雅黑"/>
          <w:sz w:val="21"/>
        </w:rPr>
      </w:pPr>
    </w:p>
    <w:p>
      <w:pPr>
        <w:spacing w:before="170" w:line="239" w:lineRule="auto"/>
        <w:ind w:left="3675" w:right="462" w:hanging="3202"/>
        <w:rPr>
          <w:rFonts w:ascii="黑体" w:hAnsi="黑体" w:eastAsia="黑体" w:cs="黑体"/>
          <w:sz w:val="52"/>
          <w:szCs w:val="52"/>
        </w:rPr>
      </w:pPr>
      <w:r>
        <w:rPr>
          <w:rFonts w:ascii="Times New Roman" w:hAnsi="Times New Roman" w:eastAsia="Times New Roman" w:cs="Times New Roman"/>
          <w:spacing w:val="-3"/>
          <w:sz w:val="52"/>
          <w:szCs w:val="52"/>
        </w:rPr>
        <w:t>2021</w:t>
      </w:r>
      <w:r>
        <w:rPr>
          <w:rFonts w:ascii="Times New Roman" w:hAnsi="Times New Roman" w:eastAsia="Times New Roman" w:cs="Times New Roman"/>
          <w:spacing w:val="36"/>
          <w:sz w:val="52"/>
          <w:szCs w:val="52"/>
        </w:rPr>
        <w:t xml:space="preserve"> </w:t>
      </w:r>
      <w:r>
        <w:rPr>
          <w:rFonts w:ascii="黑体" w:hAnsi="黑体" w:eastAsia="黑体" w:cs="黑体"/>
          <w:spacing w:val="-3"/>
          <w:sz w:val="52"/>
          <w:szCs w:val="52"/>
        </w:rPr>
        <w:t>年</w:t>
      </w:r>
      <w:r>
        <w:rPr>
          <w:rFonts w:hint="eastAsia" w:ascii="黑体" w:hAnsi="黑体" w:eastAsia="黑体" w:cs="黑体"/>
          <w:spacing w:val="-3"/>
          <w:sz w:val="52"/>
          <w:szCs w:val="52"/>
          <w:lang w:eastAsia="zh-CN"/>
        </w:rPr>
        <w:t>单位</w:t>
      </w:r>
      <w:r>
        <w:rPr>
          <w:rFonts w:ascii="黑体" w:hAnsi="黑体" w:eastAsia="黑体" w:cs="黑体"/>
          <w:spacing w:val="-3"/>
          <w:sz w:val="52"/>
          <w:szCs w:val="52"/>
        </w:rPr>
        <w:t>预算情况和重要事项</w:t>
      </w:r>
      <w:r>
        <w:rPr>
          <w:rFonts w:ascii="黑体" w:hAnsi="黑体" w:eastAsia="黑体" w:cs="黑体"/>
          <w:sz w:val="52"/>
          <w:szCs w:val="52"/>
        </w:rPr>
        <w:t xml:space="preserve"> </w:t>
      </w:r>
      <w:r>
        <w:rPr>
          <w:rFonts w:ascii="黑体" w:hAnsi="黑体" w:eastAsia="黑体" w:cs="黑体"/>
          <w:spacing w:val="-14"/>
          <w:sz w:val="52"/>
          <w:szCs w:val="52"/>
        </w:rPr>
        <w:t>说明</w:t>
      </w:r>
    </w:p>
    <w:p>
      <w:pPr>
        <w:spacing w:before="198" w:line="187" w:lineRule="auto"/>
        <w:ind w:firstLine="667"/>
        <w:rPr>
          <w:rFonts w:ascii="黑体" w:hAnsi="黑体" w:eastAsia="黑体" w:cs="黑体"/>
          <w:spacing w:val="-3"/>
          <w:sz w:val="32"/>
          <w:szCs w:val="32"/>
        </w:rPr>
      </w:pPr>
    </w:p>
    <w:p>
      <w:pPr>
        <w:spacing w:before="198" w:line="187" w:lineRule="auto"/>
        <w:ind w:firstLine="667"/>
        <w:rPr>
          <w:rFonts w:ascii="黑体" w:hAnsi="黑体" w:eastAsia="黑体" w:cs="黑体"/>
          <w:spacing w:val="-3"/>
          <w:sz w:val="32"/>
          <w:szCs w:val="32"/>
        </w:rPr>
      </w:pPr>
    </w:p>
    <w:p>
      <w:pPr>
        <w:spacing w:before="198" w:line="187" w:lineRule="auto"/>
        <w:ind w:firstLine="667"/>
        <w:rPr>
          <w:rFonts w:ascii="黑体" w:hAnsi="黑体" w:eastAsia="黑体" w:cs="黑体"/>
          <w:spacing w:val="-3"/>
          <w:sz w:val="32"/>
          <w:szCs w:val="32"/>
        </w:rPr>
      </w:pPr>
    </w:p>
    <w:p>
      <w:pPr>
        <w:spacing w:before="198" w:line="187" w:lineRule="auto"/>
        <w:ind w:firstLine="667"/>
        <w:rPr>
          <w:rFonts w:ascii="黑体" w:hAnsi="黑体" w:eastAsia="黑体" w:cs="黑体"/>
          <w:spacing w:val="-3"/>
          <w:sz w:val="32"/>
          <w:szCs w:val="32"/>
        </w:rPr>
      </w:pPr>
    </w:p>
    <w:p>
      <w:pPr>
        <w:spacing w:before="198" w:line="187" w:lineRule="auto"/>
        <w:ind w:firstLine="667"/>
        <w:rPr>
          <w:rFonts w:ascii="黑体" w:hAnsi="黑体" w:eastAsia="黑体" w:cs="黑体"/>
          <w:spacing w:val="-3"/>
          <w:sz w:val="32"/>
          <w:szCs w:val="32"/>
        </w:rPr>
      </w:pPr>
    </w:p>
    <w:p>
      <w:pPr>
        <w:spacing w:before="198" w:line="187" w:lineRule="auto"/>
        <w:ind w:firstLine="667"/>
        <w:rPr>
          <w:rFonts w:ascii="黑体" w:hAnsi="黑体" w:eastAsia="黑体" w:cs="黑体"/>
          <w:spacing w:val="-3"/>
          <w:sz w:val="32"/>
          <w:szCs w:val="32"/>
        </w:rPr>
      </w:pPr>
    </w:p>
    <w:p>
      <w:pPr>
        <w:spacing w:before="198" w:line="187" w:lineRule="auto"/>
        <w:ind w:firstLine="667"/>
        <w:rPr>
          <w:rFonts w:ascii="黑体" w:hAnsi="黑体" w:eastAsia="黑体" w:cs="黑体"/>
          <w:spacing w:val="-3"/>
          <w:sz w:val="32"/>
          <w:szCs w:val="32"/>
        </w:rPr>
      </w:pPr>
    </w:p>
    <w:p>
      <w:pPr>
        <w:spacing w:before="198" w:line="187" w:lineRule="auto"/>
        <w:ind w:firstLine="667"/>
        <w:rPr>
          <w:rFonts w:ascii="黑体" w:hAnsi="黑体" w:eastAsia="黑体" w:cs="黑体"/>
          <w:spacing w:val="-3"/>
          <w:sz w:val="32"/>
          <w:szCs w:val="32"/>
        </w:rPr>
      </w:pPr>
    </w:p>
    <w:p>
      <w:pPr>
        <w:spacing w:before="198" w:line="187" w:lineRule="auto"/>
        <w:ind w:firstLine="667"/>
        <w:rPr>
          <w:rFonts w:ascii="黑体" w:hAnsi="黑体" w:eastAsia="黑体" w:cs="黑体"/>
          <w:spacing w:val="-3"/>
          <w:sz w:val="32"/>
          <w:szCs w:val="32"/>
        </w:rPr>
      </w:pPr>
    </w:p>
    <w:p>
      <w:pPr>
        <w:spacing w:before="198" w:line="187" w:lineRule="auto"/>
        <w:ind w:firstLine="667"/>
        <w:rPr>
          <w:rFonts w:ascii="黑体" w:hAnsi="黑体" w:eastAsia="黑体" w:cs="黑体"/>
          <w:spacing w:val="-3"/>
          <w:sz w:val="32"/>
          <w:szCs w:val="32"/>
        </w:rPr>
      </w:pPr>
    </w:p>
    <w:p>
      <w:pPr>
        <w:spacing w:before="198" w:line="187" w:lineRule="auto"/>
        <w:ind w:firstLine="667"/>
        <w:rPr>
          <w:rFonts w:ascii="黑体" w:hAnsi="黑体" w:eastAsia="黑体" w:cs="黑体"/>
          <w:spacing w:val="-3"/>
          <w:sz w:val="32"/>
          <w:szCs w:val="32"/>
        </w:rPr>
      </w:pPr>
    </w:p>
    <w:p>
      <w:pPr>
        <w:spacing w:before="198" w:line="187" w:lineRule="auto"/>
        <w:ind w:firstLine="667"/>
        <w:rPr>
          <w:rFonts w:ascii="黑体" w:hAnsi="黑体" w:eastAsia="黑体" w:cs="黑体"/>
          <w:spacing w:val="-3"/>
          <w:sz w:val="32"/>
          <w:szCs w:val="32"/>
        </w:rPr>
      </w:pPr>
    </w:p>
    <w:p>
      <w:pPr>
        <w:spacing w:before="198" w:line="187" w:lineRule="auto"/>
        <w:ind w:firstLine="667"/>
        <w:rPr>
          <w:rFonts w:ascii="黑体" w:hAnsi="黑体" w:eastAsia="黑体" w:cs="黑体"/>
          <w:spacing w:val="-3"/>
          <w:sz w:val="32"/>
          <w:szCs w:val="32"/>
        </w:rPr>
      </w:pPr>
    </w:p>
    <w:p>
      <w:pPr>
        <w:spacing w:before="198" w:line="187" w:lineRule="auto"/>
        <w:ind w:firstLine="667"/>
        <w:rPr>
          <w:rFonts w:ascii="黑体" w:hAnsi="黑体" w:eastAsia="黑体" w:cs="黑体"/>
          <w:spacing w:val="-3"/>
          <w:sz w:val="32"/>
          <w:szCs w:val="32"/>
        </w:rPr>
      </w:pPr>
    </w:p>
    <w:p>
      <w:pPr>
        <w:spacing w:before="198" w:line="187" w:lineRule="auto"/>
        <w:ind w:firstLine="628" w:firstLineChars="200"/>
        <w:rPr>
          <w:rFonts w:ascii="黑体" w:hAnsi="黑体" w:eastAsia="黑体" w:cs="黑体"/>
          <w:spacing w:val="-3"/>
          <w:sz w:val="32"/>
          <w:szCs w:val="32"/>
        </w:rPr>
      </w:pPr>
    </w:p>
    <w:p>
      <w:pPr>
        <w:spacing w:before="198" w:line="187" w:lineRule="auto"/>
        <w:ind w:firstLine="628" w:firstLineChars="200"/>
        <w:rPr>
          <w:rFonts w:ascii="黑体" w:hAnsi="黑体" w:eastAsia="黑体" w:cs="黑体"/>
          <w:spacing w:val="-3"/>
          <w:sz w:val="32"/>
          <w:szCs w:val="32"/>
        </w:rPr>
      </w:pPr>
    </w:p>
    <w:p>
      <w:pPr>
        <w:spacing w:before="198" w:line="187" w:lineRule="auto"/>
        <w:ind w:firstLine="628" w:firstLineChars="200"/>
        <w:rPr>
          <w:rFonts w:ascii="黑体" w:hAnsi="黑体" w:eastAsia="黑体" w:cs="黑体"/>
          <w:spacing w:val="-3"/>
          <w:sz w:val="32"/>
          <w:szCs w:val="32"/>
        </w:rPr>
      </w:pPr>
    </w:p>
    <w:p>
      <w:pPr>
        <w:spacing w:before="198" w:line="187" w:lineRule="auto"/>
        <w:ind w:firstLine="628" w:firstLineChars="200"/>
        <w:rPr>
          <w:rFonts w:ascii="黑体" w:hAnsi="黑体" w:eastAsia="黑体" w:cs="黑体"/>
          <w:spacing w:val="-3"/>
          <w:sz w:val="32"/>
          <w:szCs w:val="32"/>
        </w:rPr>
      </w:pPr>
    </w:p>
    <w:p>
      <w:pPr>
        <w:spacing w:before="198" w:line="187" w:lineRule="auto"/>
        <w:ind w:firstLine="628" w:firstLineChars="200"/>
        <w:rPr>
          <w:rFonts w:ascii="黑体" w:hAnsi="黑体" w:eastAsia="黑体" w:cs="黑体"/>
          <w:sz w:val="32"/>
          <w:szCs w:val="32"/>
        </w:rPr>
      </w:pPr>
      <w:r>
        <w:rPr>
          <w:rFonts w:ascii="黑体" w:hAnsi="黑体" w:eastAsia="黑体" w:cs="黑体"/>
          <w:spacing w:val="-3"/>
          <w:sz w:val="32"/>
          <w:szCs w:val="32"/>
        </w:rPr>
        <w:t>一、</w:t>
      </w:r>
      <w:r>
        <w:rPr>
          <w:rFonts w:ascii="Times New Roman" w:hAnsi="Times New Roman" w:eastAsia="Times New Roman" w:cs="Times New Roman"/>
          <w:spacing w:val="-3"/>
          <w:sz w:val="32"/>
          <w:szCs w:val="32"/>
        </w:rPr>
        <w:t>2021</w:t>
      </w:r>
      <w:r>
        <w:rPr>
          <w:rFonts w:ascii="Times New Roman" w:hAnsi="Times New Roman" w:eastAsia="Times New Roman" w:cs="Times New Roman"/>
          <w:spacing w:val="27"/>
          <w:w w:val="101"/>
          <w:sz w:val="32"/>
          <w:szCs w:val="32"/>
        </w:rPr>
        <w:t xml:space="preserve"> </w:t>
      </w:r>
      <w:r>
        <w:rPr>
          <w:rFonts w:ascii="黑体" w:hAnsi="黑体" w:eastAsia="黑体" w:cs="黑体"/>
          <w:spacing w:val="-3"/>
          <w:sz w:val="32"/>
          <w:szCs w:val="32"/>
        </w:rPr>
        <w:t>年</w:t>
      </w:r>
      <w:r>
        <w:rPr>
          <w:rFonts w:hint="eastAsia" w:ascii="黑体" w:hAnsi="黑体" w:eastAsia="黑体" w:cs="黑体"/>
          <w:spacing w:val="-3"/>
          <w:sz w:val="32"/>
          <w:szCs w:val="32"/>
          <w:lang w:eastAsia="zh-CN"/>
        </w:rPr>
        <w:t>单位</w:t>
      </w:r>
      <w:r>
        <w:rPr>
          <w:rFonts w:ascii="黑体" w:hAnsi="黑体" w:eastAsia="黑体" w:cs="黑体"/>
          <w:spacing w:val="-3"/>
          <w:sz w:val="32"/>
          <w:szCs w:val="32"/>
        </w:rPr>
        <w:t>预算情况说明</w:t>
      </w:r>
    </w:p>
    <w:p>
      <w:pPr>
        <w:spacing w:before="256" w:line="192" w:lineRule="auto"/>
        <w:ind w:firstLine="683"/>
        <w:rPr>
          <w:rFonts w:ascii="楷体" w:hAnsi="楷体" w:eastAsia="楷体" w:cs="楷体"/>
          <w:sz w:val="32"/>
          <w:szCs w:val="32"/>
        </w:rPr>
      </w:pPr>
      <w:r>
        <w:rPr>
          <w:rFonts w:ascii="楷体" w:hAnsi="楷体" w:eastAsia="楷体" w:cs="楷体"/>
          <w:spacing w:val="-22"/>
          <w:sz w:val="32"/>
          <w:szCs w:val="32"/>
        </w:rPr>
        <w:t>（一）收支预算总体情况</w:t>
      </w:r>
    </w:p>
    <w:p>
      <w:pPr>
        <w:spacing w:line="580" w:lineRule="exact"/>
        <w:ind w:firstLine="640" w:firstLineChars="200"/>
        <w:rPr>
          <w:rFonts w:hint="eastAsia" w:ascii="仿宋_GB2312" w:eastAsia="宋体"/>
          <w:sz w:val="32"/>
          <w:szCs w:val="32"/>
          <w:lang w:eastAsia="zh-CN"/>
        </w:rPr>
      </w:pPr>
      <w:r>
        <w:rPr>
          <w:rFonts w:hint="eastAsia" w:ascii="仿宋_GB2312" w:eastAsia="仿宋_GB2312"/>
          <w:sz w:val="32"/>
          <w:szCs w:val="32"/>
        </w:rPr>
        <w:t>按照综合预算的原则，</w:t>
      </w:r>
      <w:r>
        <w:rPr>
          <w:rFonts w:hint="eastAsia" w:ascii="仿宋_GB2312" w:eastAsia="仿宋_GB2312"/>
          <w:sz w:val="32"/>
          <w:szCs w:val="32"/>
          <w:lang w:val="en-US" w:eastAsia="zh-CN"/>
        </w:rPr>
        <w:t>高青县</w:t>
      </w:r>
      <w:r>
        <w:rPr>
          <w:rFonts w:hint="eastAsia" w:eastAsia="仿宋_GB2312"/>
          <w:sz w:val="32"/>
          <w:szCs w:val="32"/>
          <w:lang w:val="en-US" w:eastAsia="zh-CN"/>
        </w:rPr>
        <w:t>交通运输局</w:t>
      </w:r>
      <w:r>
        <w:rPr>
          <w:rFonts w:hint="eastAsia" w:ascii="仿宋_GB2312" w:eastAsia="仿宋_GB2312"/>
          <w:sz w:val="32"/>
          <w:szCs w:val="32"/>
        </w:rPr>
        <w:t>所有收入和支出均纳入</w:t>
      </w:r>
      <w:r>
        <w:rPr>
          <w:rFonts w:hint="eastAsia" w:ascii="仿宋_GB2312" w:eastAsia="仿宋_GB2312"/>
          <w:sz w:val="32"/>
          <w:szCs w:val="32"/>
          <w:lang w:eastAsia="zh-CN"/>
        </w:rPr>
        <w:t>单位</w:t>
      </w:r>
      <w:r>
        <w:rPr>
          <w:rFonts w:hint="eastAsia" w:ascii="仿宋_GB2312" w:eastAsia="仿宋_GB2312"/>
          <w:sz w:val="32"/>
          <w:szCs w:val="32"/>
        </w:rPr>
        <w:t>预算管理。收入包括：一般公共预算拨款收入；支出包括：社会保障和就业支出</w:t>
      </w:r>
      <w:r>
        <w:rPr>
          <w:rFonts w:hint="eastAsia" w:ascii="仿宋_GB2312" w:eastAsia="仿宋_GB2312"/>
          <w:sz w:val="32"/>
          <w:szCs w:val="32"/>
          <w:lang w:eastAsia="zh-CN"/>
        </w:rPr>
        <w:t>、</w:t>
      </w:r>
      <w:r>
        <w:rPr>
          <w:rFonts w:hint="eastAsia" w:ascii="仿宋_GB2312" w:eastAsia="仿宋_GB2312"/>
          <w:sz w:val="32"/>
          <w:szCs w:val="32"/>
        </w:rPr>
        <w:t>卫生健康支出</w:t>
      </w:r>
      <w:r>
        <w:rPr>
          <w:rFonts w:hint="eastAsia" w:ascii="仿宋_GB2312" w:eastAsia="仿宋_GB2312"/>
          <w:sz w:val="32"/>
          <w:szCs w:val="32"/>
          <w:lang w:eastAsia="zh-CN"/>
        </w:rPr>
        <w:t>、</w:t>
      </w:r>
      <w:r>
        <w:rPr>
          <w:rFonts w:hint="eastAsia" w:ascii="仿宋_GB2312" w:eastAsia="仿宋_GB2312"/>
          <w:sz w:val="32"/>
          <w:szCs w:val="32"/>
        </w:rPr>
        <w:t>交通运输支出</w:t>
      </w:r>
      <w:r>
        <w:rPr>
          <w:rFonts w:hint="eastAsia" w:ascii="仿宋_GB2312" w:eastAsia="仿宋_GB2312"/>
          <w:sz w:val="32"/>
          <w:szCs w:val="32"/>
          <w:lang w:eastAsia="zh-CN"/>
        </w:rPr>
        <w:t>、</w:t>
      </w:r>
      <w:r>
        <w:rPr>
          <w:rFonts w:hint="eastAsia" w:ascii="仿宋_GB2312" w:eastAsia="仿宋_GB2312"/>
          <w:sz w:val="32"/>
          <w:szCs w:val="32"/>
        </w:rPr>
        <w:t>住房保障支出</w:t>
      </w:r>
      <w:r>
        <w:rPr>
          <w:rFonts w:hint="eastAsia" w:ascii="仿宋_GB2312" w:eastAsia="仿宋_GB2312"/>
          <w:sz w:val="32"/>
          <w:szCs w:val="32"/>
          <w:lang w:eastAsia="zh-CN"/>
        </w:rPr>
        <w:t>。</w:t>
      </w:r>
    </w:p>
    <w:p>
      <w:pPr>
        <w:spacing w:before="229" w:line="188" w:lineRule="auto"/>
        <w:ind w:firstLine="656"/>
        <w:rPr>
          <w:rFonts w:hint="eastAsia" w:ascii="仿宋" w:hAnsi="仿宋" w:eastAsia="仿宋" w:cs="仿宋"/>
          <w:sz w:val="32"/>
          <w:szCs w:val="32"/>
        </w:rPr>
      </w:pPr>
      <w:r>
        <w:rPr>
          <w:rFonts w:ascii="仿宋" w:hAnsi="仿宋" w:eastAsia="仿宋" w:cs="仿宋"/>
          <w:spacing w:val="-1"/>
          <w:sz w:val="32"/>
          <w:szCs w:val="32"/>
        </w:rPr>
        <w:t>2021</w:t>
      </w:r>
      <w:r>
        <w:rPr>
          <w:rFonts w:ascii="仿宋" w:hAnsi="仿宋" w:eastAsia="仿宋" w:cs="仿宋"/>
          <w:color w:val="auto"/>
          <w:spacing w:val="-1"/>
          <w:sz w:val="32"/>
          <w:szCs w:val="32"/>
        </w:rPr>
        <w:t>年收入预</w:t>
      </w:r>
      <w:r>
        <w:rPr>
          <w:rFonts w:ascii="仿宋" w:hAnsi="仿宋" w:eastAsia="仿宋" w:cs="仿宋"/>
          <w:spacing w:val="-1"/>
          <w:sz w:val="32"/>
          <w:szCs w:val="32"/>
        </w:rPr>
        <w:t>算为</w:t>
      </w:r>
      <w:r>
        <w:rPr>
          <w:rFonts w:ascii="仿宋" w:hAnsi="仿宋" w:eastAsia="仿宋" w:cs="仿宋"/>
          <w:color w:val="auto"/>
          <w:spacing w:val="-1"/>
          <w:sz w:val="32"/>
          <w:szCs w:val="32"/>
        </w:rPr>
        <w:t xml:space="preserve">1422.43 </w:t>
      </w:r>
      <w:r>
        <w:rPr>
          <w:rFonts w:ascii="仿宋" w:hAnsi="仿宋" w:eastAsia="仿宋" w:cs="仿宋"/>
          <w:spacing w:val="-1"/>
          <w:sz w:val="32"/>
          <w:szCs w:val="32"/>
        </w:rPr>
        <w:t>万元</w:t>
      </w:r>
      <w:r>
        <w:rPr>
          <w:rFonts w:ascii="仿宋" w:hAnsi="仿宋" w:eastAsia="仿宋" w:cs="仿宋"/>
          <w:spacing w:val="-78"/>
          <w:sz w:val="32"/>
          <w:szCs w:val="32"/>
        </w:rPr>
        <w:t xml:space="preserve"> </w:t>
      </w:r>
      <w:r>
        <w:rPr>
          <w:rFonts w:ascii="仿宋" w:hAnsi="仿宋" w:eastAsia="仿宋" w:cs="仿宋"/>
          <w:spacing w:val="-1"/>
          <w:sz w:val="32"/>
          <w:szCs w:val="32"/>
        </w:rPr>
        <w:t>，</w:t>
      </w:r>
      <w:r>
        <w:rPr>
          <w:rFonts w:hint="eastAsia" w:ascii="仿宋" w:hAnsi="仿宋" w:eastAsia="仿宋" w:cs="仿宋"/>
          <w:spacing w:val="-1"/>
          <w:sz w:val="32"/>
          <w:szCs w:val="32"/>
        </w:rPr>
        <w:t>其中：财政拨款</w:t>
      </w:r>
    </w:p>
    <w:p>
      <w:pPr>
        <w:spacing w:before="197" w:line="429" w:lineRule="exact"/>
        <w:ind w:firstLine="49"/>
        <w:rPr>
          <w:rFonts w:hint="eastAsia" w:ascii="仿宋" w:hAnsi="仿宋" w:eastAsia="仿宋" w:cs="仿宋"/>
          <w:sz w:val="32"/>
          <w:szCs w:val="32"/>
        </w:rPr>
      </w:pPr>
      <w:r>
        <w:rPr>
          <w:rFonts w:hint="eastAsia" w:ascii="仿宋" w:hAnsi="仿宋" w:eastAsia="仿宋" w:cs="仿宋"/>
          <w:spacing w:val="-7"/>
          <w:w w:val="97"/>
          <w:position w:val="1"/>
          <w:sz w:val="32"/>
          <w:szCs w:val="32"/>
        </w:rPr>
        <w:t>1422.43万元，占100%。</w:t>
      </w:r>
    </w:p>
    <w:p>
      <w:pPr>
        <w:spacing w:line="308" w:lineRule="auto"/>
        <w:rPr>
          <w:rFonts w:ascii="微软雅黑"/>
          <w:sz w:val="21"/>
        </w:rPr>
      </w:pPr>
    </w:p>
    <w:p>
      <w:pPr>
        <w:spacing w:line="308" w:lineRule="auto"/>
        <w:rPr>
          <w:rFonts w:hint="eastAsia" w:ascii="微软雅黑" w:eastAsia="宋体"/>
          <w:sz w:val="21"/>
          <w:lang w:eastAsia="zh-CN"/>
        </w:rPr>
      </w:pPr>
      <w:r>
        <w:rPr>
          <w:rFonts w:hint="eastAsia" w:ascii="微软雅黑" w:eastAsia="宋体"/>
          <w:sz w:val="21"/>
          <w:lang w:eastAsia="zh-CN"/>
        </w:rPr>
        <w:drawing>
          <wp:inline distT="0" distB="0" distL="114300" distR="114300">
            <wp:extent cx="4794885" cy="3176905"/>
            <wp:effectExtent l="4445" t="4445" r="20320" b="190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spacing w:line="247" w:lineRule="auto"/>
        <w:rPr>
          <w:rFonts w:ascii="微软雅黑"/>
          <w:sz w:val="21"/>
        </w:rPr>
      </w:pPr>
    </w:p>
    <w:p>
      <w:pPr>
        <w:spacing w:before="105" w:line="188" w:lineRule="auto"/>
        <w:ind w:firstLine="632" w:firstLineChars="200"/>
        <w:rPr>
          <w:rFonts w:hint="eastAsia" w:ascii="仿宋" w:hAnsi="仿宋" w:eastAsia="仿宋" w:cs="仿宋"/>
          <w:sz w:val="32"/>
          <w:szCs w:val="32"/>
        </w:rPr>
      </w:pPr>
      <w:r>
        <w:rPr>
          <w:rFonts w:hint="eastAsia" w:ascii="仿宋" w:hAnsi="仿宋" w:eastAsia="仿宋" w:cs="仿宋"/>
          <w:spacing w:val="-2"/>
          <w:sz w:val="32"/>
          <w:szCs w:val="32"/>
        </w:rPr>
        <w:t>2021年支出预算为1422.43</w:t>
      </w:r>
      <w:r>
        <w:rPr>
          <w:rFonts w:hint="eastAsia" w:ascii="仿宋" w:hAnsi="仿宋" w:eastAsia="仿宋" w:cs="仿宋"/>
          <w:spacing w:val="60"/>
          <w:sz w:val="32"/>
          <w:szCs w:val="32"/>
        </w:rPr>
        <w:t xml:space="preserve"> </w:t>
      </w:r>
      <w:r>
        <w:rPr>
          <w:rFonts w:hint="eastAsia" w:ascii="仿宋" w:hAnsi="仿宋" w:eastAsia="仿宋" w:cs="仿宋"/>
          <w:spacing w:val="-2"/>
          <w:sz w:val="32"/>
          <w:szCs w:val="32"/>
        </w:rPr>
        <w:t>万元</w:t>
      </w:r>
      <w:r>
        <w:rPr>
          <w:rFonts w:hint="eastAsia" w:ascii="仿宋" w:hAnsi="仿宋" w:eastAsia="仿宋" w:cs="仿宋"/>
          <w:spacing w:val="-78"/>
          <w:sz w:val="32"/>
          <w:szCs w:val="32"/>
        </w:rPr>
        <w:t xml:space="preserve"> </w:t>
      </w:r>
      <w:r>
        <w:rPr>
          <w:rFonts w:hint="eastAsia" w:ascii="仿宋" w:hAnsi="仿宋" w:eastAsia="仿宋" w:cs="仿宋"/>
          <w:spacing w:val="-2"/>
          <w:sz w:val="32"/>
          <w:szCs w:val="32"/>
        </w:rPr>
        <w:t>，其中：基本支出</w:t>
      </w:r>
    </w:p>
    <w:p>
      <w:pPr>
        <w:spacing w:before="197" w:line="429" w:lineRule="exact"/>
        <w:ind w:firstLine="49"/>
        <w:rPr>
          <w:rFonts w:hint="eastAsia" w:ascii="仿宋" w:hAnsi="仿宋" w:eastAsia="仿宋" w:cs="仿宋"/>
          <w:sz w:val="32"/>
          <w:szCs w:val="32"/>
        </w:rPr>
      </w:pPr>
      <w:r>
        <w:rPr>
          <w:rFonts w:hint="eastAsia" w:ascii="仿宋" w:hAnsi="仿宋" w:eastAsia="仿宋" w:cs="仿宋"/>
          <w:spacing w:val="-8"/>
          <w:w w:val="99"/>
          <w:position w:val="1"/>
          <w:sz w:val="32"/>
          <w:szCs w:val="32"/>
        </w:rPr>
        <w:t>1377.43万元</w:t>
      </w:r>
      <w:r>
        <w:rPr>
          <w:rFonts w:hint="eastAsia" w:ascii="仿宋" w:hAnsi="仿宋" w:eastAsia="仿宋" w:cs="仿宋"/>
          <w:spacing w:val="-8"/>
          <w:w w:val="99"/>
          <w:position w:val="1"/>
          <w:sz w:val="32"/>
          <w:szCs w:val="32"/>
          <w:lang w:eastAsia="zh-CN"/>
        </w:rPr>
        <w:t>，</w:t>
      </w:r>
      <w:r>
        <w:rPr>
          <w:rFonts w:hint="eastAsia" w:ascii="仿宋" w:hAnsi="仿宋" w:eastAsia="仿宋" w:cs="仿宋"/>
          <w:spacing w:val="-8"/>
          <w:w w:val="99"/>
          <w:position w:val="1"/>
          <w:sz w:val="32"/>
          <w:szCs w:val="32"/>
        </w:rPr>
        <w:t>占96.8</w:t>
      </w:r>
      <w:r>
        <w:rPr>
          <w:rFonts w:hint="eastAsia" w:ascii="仿宋" w:hAnsi="仿宋" w:eastAsia="仿宋" w:cs="仿宋"/>
          <w:spacing w:val="-8"/>
          <w:w w:val="99"/>
          <w:position w:val="1"/>
          <w:sz w:val="32"/>
          <w:szCs w:val="32"/>
          <w:lang w:val="en-US" w:eastAsia="zh-CN"/>
        </w:rPr>
        <w:t>4</w:t>
      </w:r>
      <w:r>
        <w:rPr>
          <w:rFonts w:hint="eastAsia" w:ascii="仿宋" w:hAnsi="仿宋" w:eastAsia="仿宋" w:cs="仿宋"/>
          <w:spacing w:val="-8"/>
          <w:w w:val="99"/>
          <w:position w:val="1"/>
          <w:sz w:val="32"/>
          <w:szCs w:val="32"/>
        </w:rPr>
        <w:t>%，项目支出45.00万元，占3.</w:t>
      </w:r>
      <w:r>
        <w:rPr>
          <w:rFonts w:hint="eastAsia" w:ascii="仿宋" w:hAnsi="仿宋" w:eastAsia="仿宋" w:cs="仿宋"/>
          <w:spacing w:val="-8"/>
          <w:w w:val="99"/>
          <w:position w:val="1"/>
          <w:sz w:val="32"/>
          <w:szCs w:val="32"/>
          <w:lang w:val="en-US" w:eastAsia="zh-CN"/>
        </w:rPr>
        <w:t>16</w:t>
      </w:r>
      <w:r>
        <w:rPr>
          <w:rFonts w:hint="eastAsia" w:ascii="仿宋" w:hAnsi="仿宋" w:eastAsia="仿宋" w:cs="仿宋"/>
          <w:spacing w:val="-8"/>
          <w:w w:val="99"/>
          <w:position w:val="1"/>
          <w:sz w:val="32"/>
          <w:szCs w:val="32"/>
        </w:rPr>
        <w:t>%。</w:t>
      </w:r>
    </w:p>
    <w:p>
      <w:pPr>
        <w:rPr>
          <w:rFonts w:hint="eastAsia" w:ascii="微软雅黑" w:eastAsia="宋体"/>
          <w:sz w:val="21"/>
          <w:lang w:eastAsia="zh-CN"/>
        </w:rPr>
      </w:pPr>
      <w:r>
        <w:rPr>
          <w:rFonts w:hint="eastAsia" w:ascii="微软雅黑" w:eastAsia="宋体"/>
          <w:sz w:val="21"/>
          <w:lang w:eastAsia="zh-CN"/>
        </w:rPr>
        <w:drawing>
          <wp:inline distT="0" distB="0" distL="114300" distR="114300">
            <wp:extent cx="4810760" cy="2757170"/>
            <wp:effectExtent l="4445" t="4445" r="23495" b="1968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rPr>
          <w:rFonts w:ascii="楷体" w:hAnsi="楷体" w:eastAsia="楷体" w:cs="楷体"/>
          <w:spacing w:val="-19"/>
          <w:sz w:val="32"/>
          <w:szCs w:val="32"/>
        </w:rPr>
      </w:pPr>
    </w:p>
    <w:p>
      <w:pPr>
        <w:ind w:firstLine="282" w:firstLineChars="100"/>
        <w:rPr>
          <w:rFonts w:ascii="楷体" w:hAnsi="楷体" w:eastAsia="楷体" w:cs="楷体"/>
          <w:sz w:val="32"/>
          <w:szCs w:val="32"/>
        </w:rPr>
      </w:pPr>
      <w:r>
        <w:rPr>
          <w:rFonts w:ascii="楷体" w:hAnsi="楷体" w:eastAsia="楷体" w:cs="楷体"/>
          <w:spacing w:val="-19"/>
          <w:sz w:val="32"/>
          <w:szCs w:val="32"/>
        </w:rPr>
        <w:t>（二）</w:t>
      </w:r>
      <w:r>
        <w:rPr>
          <w:rFonts w:ascii="楷体" w:hAnsi="楷体" w:eastAsia="楷体" w:cs="楷体"/>
          <w:spacing w:val="14"/>
          <w:sz w:val="32"/>
          <w:szCs w:val="32"/>
        </w:rPr>
        <w:t xml:space="preserve"> </w:t>
      </w:r>
      <w:r>
        <w:rPr>
          <w:rFonts w:ascii="楷体" w:hAnsi="楷体" w:eastAsia="楷体" w:cs="楷体"/>
          <w:spacing w:val="-19"/>
          <w:sz w:val="32"/>
          <w:szCs w:val="32"/>
        </w:rPr>
        <w:t>财政拨款收支情况</w:t>
      </w:r>
    </w:p>
    <w:p>
      <w:pPr>
        <w:spacing w:before="247" w:line="334" w:lineRule="auto"/>
        <w:ind w:right="13" w:firstLine="624" w:firstLineChars="200"/>
        <w:rPr>
          <w:rFonts w:hint="eastAsia" w:ascii="仿宋" w:hAnsi="仿宋" w:eastAsia="仿宋" w:cs="仿宋"/>
          <w:sz w:val="32"/>
          <w:szCs w:val="32"/>
          <w:lang w:eastAsia="zh-CN"/>
        </w:rPr>
      </w:pPr>
      <w:r>
        <w:rPr>
          <w:rFonts w:hint="eastAsia" w:ascii="仿宋" w:hAnsi="仿宋" w:eastAsia="仿宋" w:cs="仿宋"/>
          <w:spacing w:val="-4"/>
          <w:sz w:val="32"/>
          <w:szCs w:val="32"/>
        </w:rPr>
        <w:t>2021</w:t>
      </w:r>
      <w:r>
        <w:rPr>
          <w:rFonts w:hint="eastAsia" w:ascii="仿宋" w:hAnsi="仿宋" w:eastAsia="仿宋" w:cs="仿宋"/>
          <w:spacing w:val="-4"/>
          <w:sz w:val="32"/>
          <w:szCs w:val="32"/>
          <w:lang w:val="en-US" w:eastAsia="zh-CN"/>
        </w:rPr>
        <w:t>年财政拨</w:t>
      </w:r>
      <w:r>
        <w:rPr>
          <w:rFonts w:hint="eastAsia" w:ascii="仿宋" w:hAnsi="仿宋" w:eastAsia="仿宋" w:cs="仿宋"/>
          <w:spacing w:val="-4"/>
          <w:sz w:val="32"/>
          <w:szCs w:val="32"/>
        </w:rPr>
        <w:t>款收入预算为</w:t>
      </w:r>
      <w:r>
        <w:rPr>
          <w:rFonts w:hint="eastAsia" w:ascii="仿宋" w:hAnsi="仿宋" w:eastAsia="仿宋" w:cs="仿宋"/>
          <w:spacing w:val="-41"/>
          <w:sz w:val="32"/>
          <w:szCs w:val="32"/>
        </w:rPr>
        <w:t xml:space="preserve"> </w:t>
      </w:r>
      <w:r>
        <w:rPr>
          <w:rFonts w:hint="eastAsia" w:ascii="仿宋" w:hAnsi="仿宋" w:eastAsia="仿宋" w:cs="仿宋"/>
          <w:spacing w:val="-4"/>
          <w:sz w:val="32"/>
          <w:szCs w:val="32"/>
        </w:rPr>
        <w:t>1422.43</w:t>
      </w:r>
      <w:r>
        <w:rPr>
          <w:rFonts w:hint="eastAsia" w:ascii="仿宋" w:hAnsi="仿宋" w:eastAsia="仿宋" w:cs="仿宋"/>
          <w:spacing w:val="24"/>
          <w:sz w:val="32"/>
          <w:szCs w:val="32"/>
        </w:rPr>
        <w:t xml:space="preserve"> </w:t>
      </w:r>
      <w:r>
        <w:rPr>
          <w:rFonts w:hint="eastAsia" w:ascii="仿宋" w:hAnsi="仿宋" w:eastAsia="仿宋" w:cs="仿宋"/>
          <w:spacing w:val="-4"/>
          <w:sz w:val="32"/>
          <w:szCs w:val="32"/>
        </w:rPr>
        <w:t>万元，</w:t>
      </w:r>
      <w:r>
        <w:rPr>
          <w:rFonts w:hint="eastAsia" w:ascii="仿宋" w:hAnsi="仿宋" w:eastAsia="仿宋" w:cs="仿宋"/>
          <w:sz w:val="32"/>
          <w:szCs w:val="32"/>
        </w:rPr>
        <w:t>其中：一般公共预算</w:t>
      </w:r>
      <w:r>
        <w:rPr>
          <w:rFonts w:hint="eastAsia" w:ascii="仿宋" w:hAnsi="仿宋" w:eastAsia="仿宋" w:cs="仿宋"/>
          <w:sz w:val="32"/>
          <w:szCs w:val="32"/>
          <w:lang w:val="en-US" w:eastAsia="zh-CN"/>
        </w:rPr>
        <w:t>1422.43</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p>
    <w:p>
      <w:pPr>
        <w:spacing w:line="260" w:lineRule="auto"/>
        <w:rPr>
          <w:rFonts w:hint="eastAsia" w:ascii="仿宋" w:hAnsi="仿宋" w:eastAsia="仿宋" w:cs="仿宋"/>
          <w:sz w:val="32"/>
          <w:szCs w:val="32"/>
        </w:rPr>
      </w:pPr>
    </w:p>
    <w:p>
      <w:pPr>
        <w:spacing w:line="240" w:lineRule="auto"/>
        <w:rPr>
          <w:rFonts w:hint="eastAsia" w:ascii="仿宋" w:hAnsi="仿宋" w:eastAsia="仿宋" w:cs="仿宋"/>
          <w:sz w:val="32"/>
          <w:szCs w:val="32"/>
        </w:rPr>
      </w:pPr>
      <w:r>
        <w:rPr>
          <w:rFonts w:hint="eastAsia" w:ascii="微软雅黑" w:eastAsia="宋体"/>
          <w:sz w:val="21"/>
          <w:lang w:eastAsia="zh-CN"/>
        </w:rPr>
        <w:drawing>
          <wp:inline distT="0" distB="0" distL="114300" distR="114300">
            <wp:extent cx="4566920" cy="3100705"/>
            <wp:effectExtent l="5080" t="4445" r="19050"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spacing w:line="450" w:lineRule="auto"/>
        <w:rPr>
          <w:rFonts w:ascii="微软雅黑"/>
          <w:sz w:val="21"/>
        </w:rPr>
      </w:pPr>
    </w:p>
    <w:p>
      <w:pPr>
        <w:spacing w:before="104" w:line="188" w:lineRule="auto"/>
        <w:ind w:firstLine="656"/>
        <w:rPr>
          <w:rFonts w:ascii="仿宋" w:hAnsi="仿宋" w:eastAsia="仿宋" w:cs="仿宋"/>
          <w:sz w:val="32"/>
          <w:szCs w:val="32"/>
        </w:rPr>
      </w:pPr>
      <w:r>
        <w:rPr>
          <w:rFonts w:ascii="仿宋" w:hAnsi="仿宋" w:eastAsia="仿宋" w:cs="仿宋"/>
          <w:spacing w:val="-12"/>
          <w:sz w:val="32"/>
          <w:szCs w:val="32"/>
        </w:rPr>
        <w:t>2021年财政拨款支出预算为1422.43万元，其中：交通</w:t>
      </w:r>
    </w:p>
    <w:p>
      <w:pPr>
        <w:spacing w:before="197" w:line="337" w:lineRule="auto"/>
        <w:ind w:left="32" w:right="116" w:firstLine="2"/>
        <w:rPr>
          <w:rFonts w:ascii="仿宋" w:hAnsi="仿宋" w:eastAsia="仿宋" w:cs="仿宋"/>
          <w:sz w:val="32"/>
          <w:szCs w:val="32"/>
        </w:rPr>
      </w:pPr>
      <w:r>
        <w:rPr>
          <w:rFonts w:ascii="仿宋" w:hAnsi="仿宋" w:eastAsia="仿宋" w:cs="仿宋"/>
          <w:spacing w:val="-10"/>
          <w:sz w:val="32"/>
          <w:szCs w:val="32"/>
        </w:rPr>
        <w:t>运输（类）支出1126.43 万元，占79.</w:t>
      </w:r>
      <w:r>
        <w:rPr>
          <w:rFonts w:hint="eastAsia" w:ascii="仿宋" w:hAnsi="仿宋" w:eastAsia="仿宋" w:cs="仿宋"/>
          <w:spacing w:val="-10"/>
          <w:sz w:val="32"/>
          <w:szCs w:val="32"/>
          <w:lang w:val="en-US" w:eastAsia="zh-CN"/>
        </w:rPr>
        <w:t>19</w:t>
      </w:r>
      <w:r>
        <w:rPr>
          <w:rFonts w:ascii="仿宋" w:hAnsi="仿宋" w:eastAsia="仿宋" w:cs="仿宋"/>
          <w:spacing w:val="-10"/>
          <w:sz w:val="32"/>
          <w:szCs w:val="32"/>
        </w:rPr>
        <w:t>% 。社会保障和就业</w:t>
      </w:r>
      <w:r>
        <w:rPr>
          <w:rFonts w:ascii="仿宋" w:hAnsi="仿宋" w:eastAsia="仿宋" w:cs="仿宋"/>
          <w:spacing w:val="-25"/>
          <w:sz w:val="32"/>
          <w:szCs w:val="32"/>
        </w:rPr>
        <w:t>（类）支出125.53万元，占8.8</w:t>
      </w:r>
      <w:r>
        <w:rPr>
          <w:rFonts w:hint="eastAsia" w:ascii="仿宋" w:hAnsi="仿宋" w:eastAsia="仿宋" w:cs="仿宋"/>
          <w:spacing w:val="-25"/>
          <w:sz w:val="32"/>
          <w:szCs w:val="32"/>
          <w:lang w:val="en-US" w:eastAsia="zh-CN"/>
        </w:rPr>
        <w:t>3</w:t>
      </w:r>
      <w:r>
        <w:rPr>
          <w:rFonts w:ascii="仿宋" w:hAnsi="仿宋" w:eastAsia="仿宋" w:cs="仿宋"/>
          <w:spacing w:val="-25"/>
          <w:sz w:val="32"/>
          <w:szCs w:val="32"/>
        </w:rPr>
        <w:t>%；卫生健康（类）支出65.52</w:t>
      </w:r>
      <w:r>
        <w:rPr>
          <w:rFonts w:ascii="仿宋" w:hAnsi="仿宋" w:eastAsia="仿宋" w:cs="仿宋"/>
          <w:spacing w:val="-20"/>
          <w:sz w:val="32"/>
          <w:szCs w:val="32"/>
        </w:rPr>
        <w:t>万元占4.6</w:t>
      </w:r>
      <w:r>
        <w:rPr>
          <w:rFonts w:hint="eastAsia" w:ascii="仿宋" w:hAnsi="仿宋" w:eastAsia="仿宋" w:cs="仿宋"/>
          <w:spacing w:val="-43"/>
          <w:sz w:val="32"/>
          <w:szCs w:val="32"/>
          <w:lang w:val="en-US" w:eastAsia="zh-CN"/>
        </w:rPr>
        <w:t>1</w:t>
      </w:r>
      <w:r>
        <w:rPr>
          <w:rFonts w:ascii="仿宋" w:hAnsi="仿宋" w:eastAsia="仿宋" w:cs="仿宋"/>
          <w:spacing w:val="-20"/>
          <w:sz w:val="32"/>
          <w:szCs w:val="32"/>
        </w:rPr>
        <w:t>%；住房保障（类）支出104.95</w:t>
      </w:r>
      <w:r>
        <w:rPr>
          <w:rFonts w:ascii="仿宋" w:hAnsi="仿宋" w:eastAsia="仿宋" w:cs="仿宋"/>
          <w:spacing w:val="-56"/>
          <w:sz w:val="32"/>
          <w:szCs w:val="32"/>
        </w:rPr>
        <w:t xml:space="preserve"> </w:t>
      </w:r>
      <w:r>
        <w:rPr>
          <w:rFonts w:ascii="仿宋" w:hAnsi="仿宋" w:eastAsia="仿宋" w:cs="仿宋"/>
          <w:spacing w:val="-20"/>
          <w:sz w:val="32"/>
          <w:szCs w:val="32"/>
        </w:rPr>
        <w:t>万元，占</w:t>
      </w:r>
      <w:r>
        <w:rPr>
          <w:rFonts w:ascii="仿宋" w:hAnsi="仿宋" w:eastAsia="仿宋" w:cs="仿宋"/>
          <w:spacing w:val="-62"/>
          <w:sz w:val="32"/>
          <w:szCs w:val="32"/>
        </w:rPr>
        <w:t xml:space="preserve"> </w:t>
      </w:r>
      <w:r>
        <w:rPr>
          <w:rFonts w:ascii="仿宋" w:hAnsi="仿宋" w:eastAsia="仿宋" w:cs="仿宋"/>
          <w:spacing w:val="-20"/>
          <w:sz w:val="32"/>
          <w:szCs w:val="32"/>
        </w:rPr>
        <w:t>7.</w:t>
      </w:r>
      <w:r>
        <w:rPr>
          <w:rFonts w:hint="eastAsia" w:ascii="仿宋" w:hAnsi="仿宋" w:eastAsia="仿宋" w:cs="仿宋"/>
          <w:spacing w:val="-20"/>
          <w:sz w:val="32"/>
          <w:szCs w:val="32"/>
          <w:lang w:val="en-US" w:eastAsia="zh-CN"/>
        </w:rPr>
        <w:t xml:space="preserve">37 </w:t>
      </w:r>
      <w:r>
        <w:rPr>
          <w:rFonts w:ascii="仿宋" w:hAnsi="仿宋" w:eastAsia="仿宋" w:cs="仿宋"/>
          <w:spacing w:val="-20"/>
          <w:sz w:val="32"/>
          <w:szCs w:val="32"/>
        </w:rPr>
        <w:t>%。</w:t>
      </w:r>
    </w:p>
    <w:p>
      <w:pPr>
        <w:spacing w:line="412" w:lineRule="auto"/>
        <w:rPr>
          <w:rFonts w:ascii="微软雅黑"/>
          <w:sz w:val="21"/>
        </w:rPr>
      </w:pPr>
    </w:p>
    <w:p>
      <w:pPr>
        <w:spacing w:line="240" w:lineRule="auto"/>
        <w:ind w:firstLine="0"/>
        <w:textAlignment w:val="center"/>
        <w:rPr>
          <w:rFonts w:hint="eastAsia" w:eastAsia="宋体"/>
          <w:lang w:eastAsia="zh-CN"/>
        </w:rPr>
      </w:pPr>
      <w:r>
        <w:rPr>
          <w:rFonts w:hint="eastAsia" w:ascii="楷体" w:hAnsi="楷体" w:eastAsia="楷体" w:cs="楷体"/>
          <w:spacing w:val="-17"/>
          <w:sz w:val="32"/>
          <w:szCs w:val="32"/>
          <w:lang w:eastAsia="zh-CN"/>
        </w:rPr>
        <w:drawing>
          <wp:inline distT="0" distB="0" distL="114300" distR="114300">
            <wp:extent cx="5108575" cy="2733675"/>
            <wp:effectExtent l="4445" t="4445" r="11430"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spacing w:line="243" w:lineRule="auto"/>
        <w:rPr>
          <w:rFonts w:hint="eastAsia" w:ascii="微软雅黑" w:eastAsia="宋体"/>
          <w:sz w:val="21"/>
          <w:lang w:eastAsia="zh-CN"/>
        </w:rPr>
      </w:pPr>
    </w:p>
    <w:p>
      <w:pPr>
        <w:spacing w:before="104" w:line="192" w:lineRule="auto"/>
        <w:rPr>
          <w:rFonts w:hint="eastAsia" w:ascii="楷体" w:hAnsi="楷体" w:eastAsia="楷体" w:cs="楷体"/>
          <w:spacing w:val="-17"/>
          <w:sz w:val="32"/>
          <w:szCs w:val="32"/>
          <w:lang w:val="en-US" w:eastAsia="zh-CN"/>
        </w:rPr>
      </w:pPr>
    </w:p>
    <w:p>
      <w:pPr>
        <w:spacing w:before="104" w:line="192" w:lineRule="auto"/>
        <w:ind w:firstLine="286" w:firstLineChars="100"/>
        <w:rPr>
          <w:rFonts w:ascii="楷体" w:hAnsi="楷体" w:eastAsia="楷体" w:cs="楷体"/>
          <w:sz w:val="32"/>
          <w:szCs w:val="32"/>
        </w:rPr>
      </w:pPr>
      <w:r>
        <w:rPr>
          <w:rFonts w:ascii="楷体" w:hAnsi="楷体" w:eastAsia="楷体" w:cs="楷体"/>
          <w:spacing w:val="-17"/>
          <w:sz w:val="32"/>
          <w:szCs w:val="32"/>
        </w:rPr>
        <w:t>（三）一般公共预算收支情况</w:t>
      </w:r>
    </w:p>
    <w:p>
      <w:pPr>
        <w:spacing w:before="247" w:line="325" w:lineRule="auto"/>
        <w:ind w:left="32" w:right="116" w:firstLine="624"/>
        <w:rPr>
          <w:rFonts w:ascii="仿宋" w:hAnsi="仿宋" w:eastAsia="仿宋" w:cs="仿宋"/>
          <w:sz w:val="32"/>
          <w:szCs w:val="32"/>
        </w:rPr>
      </w:pPr>
      <w:r>
        <w:rPr>
          <w:rFonts w:ascii="仿宋" w:hAnsi="仿宋" w:eastAsia="仿宋" w:cs="仿宋"/>
          <w:spacing w:val="-7"/>
          <w:sz w:val="32"/>
          <w:szCs w:val="32"/>
        </w:rPr>
        <w:t>2021年一般公共预算当年拨款1422.43万元，比上年增长</w:t>
      </w:r>
      <w:r>
        <w:rPr>
          <w:rFonts w:hint="eastAsia" w:ascii="仿宋" w:hAnsi="仿宋" w:eastAsia="仿宋" w:cs="仿宋"/>
          <w:spacing w:val="-7"/>
          <w:sz w:val="32"/>
          <w:szCs w:val="32"/>
          <w:lang w:val="en-US" w:eastAsia="zh-CN"/>
        </w:rPr>
        <w:t>70.19</w:t>
      </w:r>
      <w:r>
        <w:rPr>
          <w:rFonts w:ascii="仿宋" w:hAnsi="仿宋" w:eastAsia="仿宋" w:cs="仿宋"/>
          <w:spacing w:val="-7"/>
          <w:sz w:val="32"/>
          <w:szCs w:val="32"/>
        </w:rPr>
        <w:t>%，主要是单位机构改革人员增加，人员经费支出相</w:t>
      </w:r>
      <w:r>
        <w:rPr>
          <w:rFonts w:ascii="仿宋" w:hAnsi="仿宋" w:eastAsia="仿宋" w:cs="仿宋"/>
          <w:spacing w:val="-6"/>
          <w:sz w:val="32"/>
          <w:szCs w:val="32"/>
        </w:rPr>
        <w:t>应增加。</w:t>
      </w:r>
    </w:p>
    <w:p>
      <w:pPr>
        <w:sectPr>
          <w:pgSz w:w="11906" w:h="16839"/>
          <w:pgMar w:top="1431" w:right="1680" w:bottom="1435" w:left="1785" w:header="0" w:footer="1267" w:gutter="0"/>
          <w:pgNumType w:fmt="decimal"/>
          <w:cols w:space="720" w:num="1"/>
        </w:sectPr>
      </w:pPr>
    </w:p>
    <w:p>
      <w:pPr>
        <w:spacing w:line="240" w:lineRule="auto"/>
        <w:ind w:firstLine="0"/>
        <w:textAlignment w:val="center"/>
      </w:pPr>
      <w:r>
        <w:rPr>
          <w:rFonts w:hint="eastAsia" w:ascii="仿宋_GB2312" w:eastAsia="仿宋_GB2312"/>
          <w:szCs w:val="32"/>
          <w:lang w:val="en-US" w:eastAsia="zh-CN"/>
        </w:rPr>
        <w:pict>
          <v:shape id="Object 2" o:spid="_x0000_s1026" o:spt="75" type="#_x0000_t75" style="position:absolute;left:0pt;margin-left:7.75pt;margin-top:4.55pt;height:248.75pt;width:387.5pt;mso-wrap-distance-bottom:0pt;mso-wrap-distance-top:0pt;z-index:251660288;mso-width-relative:page;mso-height-relative:page;" o:ole="t" filled="f" o:preferrelative="t" stroked="f" coordsize="21600,21600">
            <v:path/>
            <v:fill on="f" focussize="0,0"/>
            <v:stroke on="f"/>
            <v:imagedata r:id="rId26" o:title=""/>
            <o:lock v:ext="edit" aspectratio="t"/>
            <w10:wrap type="topAndBottom"/>
          </v:shape>
          <o:OLEObject Type="Embed" ProgID="Excel.Chart.8" ShapeID="Object 2" DrawAspect="Content" ObjectID="_1468075725" r:id="rId25">
            <o:LockedField>false</o:LockedField>
          </o:OLEObject>
        </w:pict>
      </w:r>
    </w:p>
    <w:p>
      <w:pPr>
        <w:spacing w:before="188" w:line="331" w:lineRule="auto"/>
        <w:ind w:firstLine="624" w:firstLineChars="200"/>
        <w:rPr>
          <w:rFonts w:ascii="仿宋" w:hAnsi="仿宋" w:eastAsia="仿宋" w:cs="仿宋"/>
          <w:spacing w:val="-1"/>
          <w:sz w:val="32"/>
          <w:szCs w:val="32"/>
          <w:highlight w:val="none"/>
        </w:rPr>
      </w:pPr>
      <w:r>
        <w:rPr>
          <w:rFonts w:ascii="仿宋" w:hAnsi="仿宋" w:eastAsia="仿宋" w:cs="仿宋"/>
          <w:spacing w:val="-4"/>
          <w:sz w:val="32"/>
          <w:szCs w:val="32"/>
          <w:highlight w:val="none"/>
        </w:rPr>
        <w:t>2021年</w:t>
      </w:r>
      <w:r>
        <w:rPr>
          <w:rFonts w:hint="eastAsia" w:ascii="仿宋" w:hAnsi="仿宋" w:eastAsia="仿宋" w:cs="仿宋"/>
          <w:spacing w:val="-4"/>
          <w:sz w:val="32"/>
          <w:szCs w:val="32"/>
          <w:highlight w:val="none"/>
          <w:lang w:val="en-US" w:eastAsia="zh-CN"/>
        </w:rPr>
        <w:t>当年</w:t>
      </w:r>
      <w:r>
        <w:rPr>
          <w:rFonts w:ascii="仿宋" w:hAnsi="仿宋" w:eastAsia="仿宋" w:cs="仿宋"/>
          <w:spacing w:val="-7"/>
          <w:sz w:val="32"/>
          <w:szCs w:val="32"/>
        </w:rPr>
        <w:t>一般公共预算</w:t>
      </w:r>
      <w:r>
        <w:rPr>
          <w:rFonts w:ascii="仿宋" w:hAnsi="仿宋" w:eastAsia="仿宋" w:cs="仿宋"/>
          <w:spacing w:val="-4"/>
          <w:sz w:val="32"/>
          <w:szCs w:val="32"/>
          <w:highlight w:val="none"/>
        </w:rPr>
        <w:t>支出预算为1422.43万元，比上年增长</w:t>
      </w:r>
      <w:r>
        <w:rPr>
          <w:rFonts w:hint="eastAsia" w:ascii="仿宋" w:hAnsi="仿宋" w:eastAsia="仿宋" w:cs="仿宋"/>
          <w:spacing w:val="-4"/>
          <w:sz w:val="32"/>
          <w:szCs w:val="32"/>
          <w:highlight w:val="none"/>
          <w:lang w:val="en-US" w:eastAsia="zh-CN"/>
        </w:rPr>
        <w:t>70.19</w:t>
      </w:r>
      <w:r>
        <w:rPr>
          <w:rFonts w:ascii="仿宋" w:hAnsi="仿宋" w:eastAsia="仿宋" w:cs="仿宋"/>
          <w:spacing w:val="-4"/>
          <w:sz w:val="32"/>
          <w:szCs w:val="32"/>
          <w:highlight w:val="none"/>
        </w:rPr>
        <w:t>%，</w:t>
      </w:r>
      <w:r>
        <w:rPr>
          <w:rFonts w:ascii="仿宋" w:hAnsi="仿宋" w:eastAsia="仿宋" w:cs="仿宋"/>
          <w:spacing w:val="-27"/>
          <w:sz w:val="32"/>
          <w:szCs w:val="32"/>
          <w:highlight w:val="none"/>
        </w:rPr>
        <w:t>其中：交通运输（类）</w:t>
      </w:r>
      <w:r>
        <w:rPr>
          <w:rFonts w:ascii="仿宋" w:hAnsi="仿宋" w:eastAsia="仿宋" w:cs="仿宋"/>
          <w:spacing w:val="-1"/>
          <w:sz w:val="32"/>
          <w:szCs w:val="32"/>
          <w:highlight w:val="none"/>
        </w:rPr>
        <w:t>支出1126.43万元，占79.</w:t>
      </w:r>
      <w:r>
        <w:rPr>
          <w:rFonts w:hint="eastAsia" w:ascii="仿宋" w:hAnsi="仿宋" w:eastAsia="仿宋" w:cs="仿宋"/>
          <w:spacing w:val="-1"/>
          <w:sz w:val="32"/>
          <w:szCs w:val="32"/>
          <w:highlight w:val="none"/>
          <w:lang w:val="en-US" w:eastAsia="zh-CN"/>
        </w:rPr>
        <w:t>19</w:t>
      </w:r>
      <w:r>
        <w:rPr>
          <w:rFonts w:ascii="仿宋" w:hAnsi="仿宋" w:eastAsia="仿宋" w:cs="仿宋"/>
          <w:spacing w:val="-1"/>
          <w:sz w:val="32"/>
          <w:szCs w:val="32"/>
          <w:highlight w:val="none"/>
        </w:rPr>
        <w:t>%。社会保障和就业（类）支出125.53万元，占8.8</w:t>
      </w:r>
      <w:r>
        <w:rPr>
          <w:rFonts w:hint="eastAsia" w:ascii="仿宋" w:hAnsi="仿宋" w:eastAsia="仿宋" w:cs="仿宋"/>
          <w:spacing w:val="-1"/>
          <w:sz w:val="32"/>
          <w:szCs w:val="32"/>
          <w:highlight w:val="none"/>
          <w:lang w:val="en-US" w:eastAsia="zh-CN"/>
        </w:rPr>
        <w:t>3</w:t>
      </w:r>
      <w:r>
        <w:rPr>
          <w:rFonts w:ascii="仿宋" w:hAnsi="仿宋" w:eastAsia="仿宋" w:cs="仿宋"/>
          <w:spacing w:val="-1"/>
          <w:sz w:val="32"/>
          <w:szCs w:val="32"/>
          <w:highlight w:val="none"/>
        </w:rPr>
        <w:t>%；卫生健康（类）支出 65.52 万元</w:t>
      </w:r>
      <w:r>
        <w:rPr>
          <w:rFonts w:hint="eastAsia" w:ascii="仿宋" w:hAnsi="仿宋" w:eastAsia="仿宋" w:cs="仿宋"/>
          <w:spacing w:val="-1"/>
          <w:sz w:val="32"/>
          <w:szCs w:val="32"/>
          <w:highlight w:val="none"/>
          <w:lang w:val="en-US" w:eastAsia="zh-CN"/>
        </w:rPr>
        <w:t>,</w:t>
      </w:r>
      <w:r>
        <w:rPr>
          <w:rFonts w:ascii="仿宋" w:hAnsi="仿宋" w:eastAsia="仿宋" w:cs="仿宋"/>
          <w:spacing w:val="-1"/>
          <w:sz w:val="32"/>
          <w:szCs w:val="32"/>
          <w:highlight w:val="none"/>
        </w:rPr>
        <w:t>占4.6</w:t>
      </w:r>
      <w:r>
        <w:rPr>
          <w:rFonts w:hint="eastAsia" w:ascii="仿宋" w:hAnsi="仿宋" w:eastAsia="仿宋" w:cs="仿宋"/>
          <w:spacing w:val="-1"/>
          <w:sz w:val="32"/>
          <w:szCs w:val="32"/>
          <w:highlight w:val="none"/>
          <w:lang w:val="en-US" w:eastAsia="zh-CN"/>
        </w:rPr>
        <w:t>1</w:t>
      </w:r>
      <w:r>
        <w:rPr>
          <w:rFonts w:ascii="仿宋" w:hAnsi="仿宋" w:eastAsia="仿宋" w:cs="仿宋"/>
          <w:spacing w:val="-1"/>
          <w:sz w:val="32"/>
          <w:szCs w:val="32"/>
          <w:highlight w:val="none"/>
        </w:rPr>
        <w:t xml:space="preserve"> %；住房保障（类）支出 104.95 万元，占 7.</w:t>
      </w:r>
      <w:r>
        <w:rPr>
          <w:rFonts w:hint="eastAsia" w:ascii="仿宋" w:hAnsi="仿宋" w:eastAsia="仿宋" w:cs="仿宋"/>
          <w:spacing w:val="-1"/>
          <w:sz w:val="32"/>
          <w:szCs w:val="32"/>
          <w:highlight w:val="none"/>
          <w:lang w:val="en-US" w:eastAsia="zh-CN"/>
        </w:rPr>
        <w:t>37</w:t>
      </w:r>
      <w:r>
        <w:rPr>
          <w:rFonts w:ascii="仿宋" w:hAnsi="仿宋" w:eastAsia="仿宋" w:cs="仿宋"/>
          <w:spacing w:val="-1"/>
          <w:sz w:val="32"/>
          <w:szCs w:val="32"/>
          <w:highlight w:val="none"/>
        </w:rPr>
        <w:t xml:space="preserve"> %。</w:t>
      </w:r>
    </w:p>
    <w:p>
      <w:pPr>
        <w:spacing w:before="12" w:line="4371" w:lineRule="exact"/>
        <w:ind w:firstLine="777"/>
        <w:textAlignment w:val="center"/>
      </w:pPr>
      <w:r>
        <w:rPr>
          <w:rFonts w:hint="eastAsia" w:ascii="楷体" w:hAnsi="楷体" w:eastAsia="楷体" w:cs="楷体"/>
          <w:spacing w:val="-17"/>
          <w:sz w:val="32"/>
          <w:szCs w:val="32"/>
          <w:lang w:eastAsia="zh-CN"/>
        </w:rPr>
        <w:drawing>
          <wp:inline distT="0" distB="0" distL="114300" distR="114300">
            <wp:extent cx="4780915" cy="2589530"/>
            <wp:effectExtent l="4445" t="4445" r="15240" b="1587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spacing w:before="199" w:line="188" w:lineRule="auto"/>
        <w:rPr>
          <w:rFonts w:ascii="仿宋" w:hAnsi="仿宋" w:eastAsia="仿宋" w:cs="仿宋"/>
          <w:spacing w:val="-4"/>
          <w:sz w:val="32"/>
          <w:szCs w:val="32"/>
        </w:rPr>
      </w:pPr>
    </w:p>
    <w:p>
      <w:pPr>
        <w:spacing w:before="199" w:line="188" w:lineRule="auto"/>
        <w:rPr>
          <w:rFonts w:ascii="仿宋" w:hAnsi="仿宋" w:eastAsia="仿宋" w:cs="仿宋"/>
          <w:spacing w:val="-4"/>
          <w:sz w:val="32"/>
          <w:szCs w:val="32"/>
        </w:rPr>
      </w:pPr>
    </w:p>
    <w:p>
      <w:pPr>
        <w:spacing w:before="199" w:line="188" w:lineRule="auto"/>
        <w:rPr>
          <w:rFonts w:ascii="仿宋" w:hAnsi="仿宋" w:eastAsia="仿宋" w:cs="仿宋"/>
          <w:sz w:val="32"/>
          <w:szCs w:val="32"/>
        </w:rPr>
      </w:pPr>
      <w:r>
        <w:rPr>
          <w:rFonts w:ascii="仿宋" w:hAnsi="仿宋" w:eastAsia="仿宋" w:cs="仿宋"/>
          <w:spacing w:val="-4"/>
          <w:sz w:val="32"/>
          <w:szCs w:val="32"/>
        </w:rPr>
        <w:t>具体情况如下：</w:t>
      </w:r>
    </w:p>
    <w:p>
      <w:pPr>
        <w:spacing w:before="256" w:line="334" w:lineRule="auto"/>
        <w:ind w:left="32" w:right="142" w:firstLine="652"/>
        <w:rPr>
          <w:rFonts w:ascii="仿宋" w:hAnsi="仿宋" w:eastAsia="仿宋" w:cs="仿宋"/>
          <w:sz w:val="32"/>
          <w:szCs w:val="32"/>
        </w:rPr>
      </w:pPr>
      <w:r>
        <w:rPr>
          <w:rFonts w:ascii="仿宋" w:hAnsi="仿宋" w:eastAsia="仿宋" w:cs="仿宋"/>
          <w:spacing w:val="-10"/>
          <w:sz w:val="32"/>
          <w:szCs w:val="32"/>
        </w:rPr>
        <w:t>1、交通运输支出（类）公路水路运输（款）行政运行</w:t>
      </w:r>
      <w:r>
        <w:rPr>
          <w:rFonts w:ascii="仿宋" w:hAnsi="仿宋" w:eastAsia="仿宋" w:cs="仿宋"/>
          <w:sz w:val="32"/>
          <w:szCs w:val="32"/>
        </w:rPr>
        <w:t xml:space="preserve"> </w:t>
      </w:r>
      <w:r>
        <w:rPr>
          <w:rFonts w:ascii="仿宋" w:hAnsi="仿宋" w:eastAsia="仿宋" w:cs="仿宋"/>
          <w:spacing w:val="-9"/>
          <w:sz w:val="32"/>
          <w:szCs w:val="32"/>
        </w:rPr>
        <w:t>（项）</w:t>
      </w:r>
      <w:r>
        <w:rPr>
          <w:rFonts w:ascii="仿宋" w:hAnsi="仿宋" w:eastAsia="仿宋" w:cs="仿宋"/>
          <w:spacing w:val="7"/>
          <w:sz w:val="32"/>
          <w:szCs w:val="32"/>
        </w:rPr>
        <w:t xml:space="preserve"> </w:t>
      </w:r>
      <w:r>
        <w:rPr>
          <w:rFonts w:ascii="仿宋" w:hAnsi="仿宋" w:eastAsia="仿宋" w:cs="仿宋"/>
          <w:spacing w:val="-9"/>
          <w:sz w:val="32"/>
          <w:szCs w:val="32"/>
        </w:rPr>
        <w:t>支出</w:t>
      </w:r>
      <w:r>
        <w:rPr>
          <w:rFonts w:ascii="仿宋" w:hAnsi="仿宋" w:eastAsia="仿宋" w:cs="仿宋"/>
          <w:spacing w:val="-43"/>
          <w:sz w:val="32"/>
          <w:szCs w:val="32"/>
        </w:rPr>
        <w:t xml:space="preserve"> </w:t>
      </w:r>
      <w:r>
        <w:rPr>
          <w:rFonts w:ascii="仿宋" w:hAnsi="仿宋" w:eastAsia="仿宋" w:cs="仿宋"/>
          <w:spacing w:val="-9"/>
          <w:sz w:val="32"/>
          <w:szCs w:val="32"/>
        </w:rPr>
        <w:t>1126.43</w:t>
      </w:r>
      <w:r>
        <w:rPr>
          <w:rFonts w:ascii="仿宋" w:hAnsi="仿宋" w:eastAsia="仿宋" w:cs="仿宋"/>
          <w:spacing w:val="-56"/>
          <w:sz w:val="32"/>
          <w:szCs w:val="32"/>
        </w:rPr>
        <w:t xml:space="preserve"> </w:t>
      </w:r>
      <w:r>
        <w:rPr>
          <w:rFonts w:ascii="仿宋" w:hAnsi="仿宋" w:eastAsia="仿宋" w:cs="仿宋"/>
          <w:spacing w:val="-9"/>
          <w:sz w:val="32"/>
          <w:szCs w:val="32"/>
        </w:rPr>
        <w:t>万元，比上年增加</w:t>
      </w:r>
      <w:r>
        <w:rPr>
          <w:rFonts w:ascii="仿宋" w:hAnsi="仿宋" w:eastAsia="仿宋" w:cs="仿宋"/>
          <w:spacing w:val="-65"/>
          <w:sz w:val="32"/>
          <w:szCs w:val="32"/>
        </w:rPr>
        <w:t xml:space="preserve"> </w:t>
      </w:r>
      <w:r>
        <w:rPr>
          <w:rFonts w:ascii="仿宋" w:hAnsi="仿宋" w:eastAsia="仿宋" w:cs="仿宋"/>
          <w:spacing w:val="-9"/>
          <w:sz w:val="32"/>
          <w:szCs w:val="32"/>
        </w:rPr>
        <w:t>69.4</w:t>
      </w:r>
      <w:r>
        <w:rPr>
          <w:rFonts w:hint="eastAsia" w:ascii="仿宋" w:hAnsi="仿宋" w:eastAsia="仿宋" w:cs="仿宋"/>
          <w:spacing w:val="-9"/>
          <w:sz w:val="32"/>
          <w:szCs w:val="32"/>
          <w:lang w:val="en-US" w:eastAsia="zh-CN"/>
        </w:rPr>
        <w:t>2</w:t>
      </w:r>
      <w:r>
        <w:rPr>
          <w:rFonts w:ascii="仿宋" w:hAnsi="仿宋" w:eastAsia="仿宋" w:cs="仿宋"/>
          <w:spacing w:val="-9"/>
          <w:sz w:val="32"/>
          <w:szCs w:val="32"/>
        </w:rPr>
        <w:t>%，主要是单位</w:t>
      </w:r>
      <w:r>
        <w:rPr>
          <w:rFonts w:ascii="仿宋" w:hAnsi="仿宋" w:eastAsia="仿宋" w:cs="仿宋"/>
          <w:spacing w:val="-3"/>
          <w:sz w:val="32"/>
          <w:szCs w:val="32"/>
        </w:rPr>
        <w:t>机构改革纳入预算人员增加人员经费及工资性支出等增加。</w:t>
      </w:r>
    </w:p>
    <w:p>
      <w:pPr>
        <w:spacing w:before="3" w:line="334" w:lineRule="auto"/>
        <w:ind w:left="34" w:right="140" w:firstLine="631"/>
        <w:rPr>
          <w:rFonts w:ascii="仿宋" w:hAnsi="仿宋" w:eastAsia="仿宋" w:cs="仿宋"/>
          <w:sz w:val="32"/>
          <w:szCs w:val="32"/>
        </w:rPr>
      </w:pPr>
      <w:r>
        <w:rPr>
          <w:rFonts w:ascii="仿宋" w:hAnsi="仿宋" w:eastAsia="仿宋" w:cs="仿宋"/>
          <w:spacing w:val="-9"/>
          <w:sz w:val="32"/>
          <w:szCs w:val="32"/>
        </w:rPr>
        <w:t>2、卫生健康支出（类）行政事业单位医疗（款）事业</w:t>
      </w:r>
      <w:r>
        <w:rPr>
          <w:rFonts w:ascii="仿宋" w:hAnsi="仿宋" w:eastAsia="仿宋" w:cs="仿宋"/>
          <w:sz w:val="32"/>
          <w:szCs w:val="32"/>
        </w:rPr>
        <w:t xml:space="preserve"> </w:t>
      </w:r>
      <w:r>
        <w:rPr>
          <w:rFonts w:ascii="仿宋" w:hAnsi="仿宋" w:eastAsia="仿宋" w:cs="仿宋"/>
          <w:spacing w:val="-6"/>
          <w:sz w:val="32"/>
          <w:szCs w:val="32"/>
        </w:rPr>
        <w:t>单位医疗（项）54.92</w:t>
      </w:r>
      <w:r>
        <w:rPr>
          <w:rFonts w:ascii="仿宋" w:hAnsi="仿宋" w:eastAsia="仿宋" w:cs="仿宋"/>
          <w:spacing w:val="-51"/>
          <w:sz w:val="32"/>
          <w:szCs w:val="32"/>
        </w:rPr>
        <w:t xml:space="preserve"> </w:t>
      </w:r>
      <w:r>
        <w:rPr>
          <w:rFonts w:ascii="仿宋" w:hAnsi="仿宋" w:eastAsia="仿宋" w:cs="仿宋"/>
          <w:spacing w:val="-6"/>
          <w:sz w:val="32"/>
          <w:szCs w:val="32"/>
        </w:rPr>
        <w:t>万元，比上年增加</w:t>
      </w:r>
      <w:r>
        <w:rPr>
          <w:rFonts w:ascii="仿宋" w:hAnsi="仿宋" w:eastAsia="仿宋" w:cs="仿宋"/>
          <w:spacing w:val="-52"/>
          <w:sz w:val="32"/>
          <w:szCs w:val="32"/>
        </w:rPr>
        <w:t xml:space="preserve"> </w:t>
      </w:r>
      <w:r>
        <w:rPr>
          <w:rFonts w:ascii="仿宋" w:hAnsi="仿宋" w:eastAsia="仿宋" w:cs="仿宋"/>
          <w:spacing w:val="-6"/>
          <w:sz w:val="32"/>
          <w:szCs w:val="32"/>
        </w:rPr>
        <w:t>72.4</w:t>
      </w:r>
      <w:r>
        <w:rPr>
          <w:rFonts w:hint="eastAsia" w:ascii="仿宋" w:hAnsi="仿宋" w:eastAsia="仿宋" w:cs="仿宋"/>
          <w:spacing w:val="-6"/>
          <w:sz w:val="32"/>
          <w:szCs w:val="32"/>
          <w:lang w:val="en-US" w:eastAsia="zh-CN"/>
        </w:rPr>
        <w:t>3</w:t>
      </w:r>
      <w:r>
        <w:rPr>
          <w:rFonts w:ascii="仿宋" w:hAnsi="仿宋" w:eastAsia="仿宋" w:cs="仿宋"/>
          <w:spacing w:val="-6"/>
          <w:sz w:val="32"/>
          <w:szCs w:val="32"/>
        </w:rPr>
        <w:t>%，主要是单</w:t>
      </w:r>
      <w:r>
        <w:rPr>
          <w:rFonts w:ascii="仿宋" w:hAnsi="仿宋" w:eastAsia="仿宋" w:cs="仿宋"/>
          <w:spacing w:val="-2"/>
          <w:sz w:val="32"/>
          <w:szCs w:val="32"/>
        </w:rPr>
        <w:t>位机构改革纳入预算人员增加医疗保险缴费相应增加。</w:t>
      </w:r>
    </w:p>
    <w:p>
      <w:pPr>
        <w:spacing w:before="5" w:line="334" w:lineRule="auto"/>
        <w:ind w:left="31" w:right="142" w:firstLine="635"/>
        <w:rPr>
          <w:rFonts w:ascii="仿宋" w:hAnsi="仿宋" w:eastAsia="仿宋" w:cs="仿宋"/>
          <w:sz w:val="32"/>
          <w:szCs w:val="32"/>
        </w:rPr>
      </w:pPr>
      <w:r>
        <w:rPr>
          <w:rFonts w:ascii="仿宋" w:hAnsi="仿宋" w:eastAsia="仿宋" w:cs="仿宋"/>
          <w:spacing w:val="-9"/>
          <w:sz w:val="32"/>
          <w:szCs w:val="32"/>
        </w:rPr>
        <w:t>3、卫生健康支出（类）行政事业单位医疗（款）公务</w:t>
      </w:r>
      <w:r>
        <w:rPr>
          <w:rFonts w:ascii="仿宋" w:hAnsi="仿宋" w:eastAsia="仿宋" w:cs="仿宋"/>
          <w:sz w:val="32"/>
          <w:szCs w:val="32"/>
        </w:rPr>
        <w:t xml:space="preserve"> </w:t>
      </w:r>
      <w:r>
        <w:rPr>
          <w:rFonts w:ascii="仿宋" w:hAnsi="仿宋" w:eastAsia="仿宋" w:cs="仿宋"/>
          <w:spacing w:val="-11"/>
          <w:sz w:val="32"/>
          <w:szCs w:val="32"/>
        </w:rPr>
        <w:t>员医疗补助（项）支出</w:t>
      </w:r>
      <w:r>
        <w:rPr>
          <w:rFonts w:ascii="仿宋" w:hAnsi="仿宋" w:eastAsia="仿宋" w:cs="仿宋"/>
          <w:spacing w:val="-44"/>
          <w:sz w:val="32"/>
          <w:szCs w:val="32"/>
        </w:rPr>
        <w:t xml:space="preserve"> </w:t>
      </w:r>
      <w:r>
        <w:rPr>
          <w:rFonts w:ascii="仿宋" w:hAnsi="仿宋" w:eastAsia="仿宋" w:cs="仿宋"/>
          <w:spacing w:val="-11"/>
          <w:sz w:val="32"/>
          <w:szCs w:val="32"/>
        </w:rPr>
        <w:t>10.6</w:t>
      </w:r>
      <w:r>
        <w:rPr>
          <w:rFonts w:hint="eastAsia" w:ascii="仿宋" w:hAnsi="仿宋" w:eastAsia="仿宋" w:cs="仿宋"/>
          <w:spacing w:val="-11"/>
          <w:sz w:val="32"/>
          <w:szCs w:val="32"/>
          <w:lang w:val="en-US" w:eastAsia="zh-CN"/>
        </w:rPr>
        <w:t>0</w:t>
      </w:r>
      <w:r>
        <w:rPr>
          <w:rFonts w:ascii="仿宋" w:hAnsi="仿宋" w:eastAsia="仿宋" w:cs="仿宋"/>
          <w:spacing w:val="-56"/>
          <w:sz w:val="32"/>
          <w:szCs w:val="32"/>
        </w:rPr>
        <w:t xml:space="preserve"> </w:t>
      </w:r>
      <w:r>
        <w:rPr>
          <w:rFonts w:ascii="仿宋" w:hAnsi="仿宋" w:eastAsia="仿宋" w:cs="仿宋"/>
          <w:spacing w:val="-11"/>
          <w:sz w:val="32"/>
          <w:szCs w:val="32"/>
        </w:rPr>
        <w:t>万元，比上年增加</w:t>
      </w:r>
      <w:r>
        <w:rPr>
          <w:rFonts w:ascii="仿宋" w:hAnsi="仿宋" w:eastAsia="仿宋" w:cs="仿宋"/>
          <w:spacing w:val="-64"/>
          <w:sz w:val="32"/>
          <w:szCs w:val="32"/>
        </w:rPr>
        <w:t xml:space="preserve"> </w:t>
      </w:r>
      <w:r>
        <w:rPr>
          <w:rFonts w:ascii="仿宋" w:hAnsi="仿宋" w:eastAsia="仿宋" w:cs="仿宋"/>
          <w:spacing w:val="-11"/>
          <w:sz w:val="32"/>
          <w:szCs w:val="32"/>
        </w:rPr>
        <w:t>64.3</w:t>
      </w:r>
      <w:r>
        <w:rPr>
          <w:rFonts w:hint="eastAsia" w:ascii="仿宋" w:hAnsi="仿宋" w:eastAsia="仿宋" w:cs="仿宋"/>
          <w:spacing w:val="-11"/>
          <w:sz w:val="32"/>
          <w:szCs w:val="32"/>
          <w:lang w:val="en-US" w:eastAsia="zh-CN"/>
        </w:rPr>
        <w:t>4</w:t>
      </w:r>
      <w:r>
        <w:rPr>
          <w:rFonts w:ascii="仿宋" w:hAnsi="仿宋" w:eastAsia="仿宋" w:cs="仿宋"/>
          <w:spacing w:val="-11"/>
          <w:sz w:val="32"/>
          <w:szCs w:val="32"/>
        </w:rPr>
        <w:t>%，主要</w:t>
      </w:r>
      <w:r>
        <w:rPr>
          <w:rFonts w:ascii="仿宋" w:hAnsi="仿宋" w:eastAsia="仿宋" w:cs="仿宋"/>
          <w:spacing w:val="11"/>
          <w:sz w:val="32"/>
          <w:szCs w:val="32"/>
        </w:rPr>
        <w:t>是因单位机构改革人员增加，公务员医疗保险缴费相应增</w:t>
      </w:r>
      <w:r>
        <w:rPr>
          <w:rFonts w:ascii="仿宋" w:hAnsi="仿宋" w:eastAsia="仿宋" w:cs="仿宋"/>
          <w:spacing w:val="-11"/>
          <w:sz w:val="32"/>
          <w:szCs w:val="32"/>
        </w:rPr>
        <w:t>加。</w:t>
      </w:r>
    </w:p>
    <w:p>
      <w:pPr>
        <w:spacing w:line="580" w:lineRule="exact"/>
        <w:ind w:firstLine="608" w:firstLineChars="200"/>
        <w:jc w:val="both"/>
        <w:rPr>
          <w:rFonts w:ascii="楷体_GB2312" w:eastAsia="楷体_GB2312"/>
          <w:sz w:val="32"/>
          <w:szCs w:val="32"/>
          <w:highlight w:val="none"/>
        </w:rPr>
      </w:pPr>
      <w:r>
        <w:rPr>
          <w:rFonts w:ascii="仿宋" w:hAnsi="仿宋" w:eastAsia="仿宋" w:cs="仿宋"/>
          <w:spacing w:val="-8"/>
          <w:sz w:val="32"/>
          <w:szCs w:val="32"/>
        </w:rPr>
        <w:t>4、住房保障支出（类）住房改革支出（款）住房公积</w:t>
      </w:r>
      <w:r>
        <w:rPr>
          <w:rFonts w:ascii="仿宋" w:hAnsi="仿宋" w:eastAsia="仿宋" w:cs="仿宋"/>
          <w:spacing w:val="-7"/>
          <w:sz w:val="32"/>
          <w:szCs w:val="32"/>
        </w:rPr>
        <w:t>金（项）支出</w:t>
      </w:r>
      <w:r>
        <w:rPr>
          <w:rFonts w:ascii="仿宋" w:hAnsi="仿宋" w:eastAsia="仿宋" w:cs="仿宋"/>
          <w:spacing w:val="-44"/>
          <w:sz w:val="32"/>
          <w:szCs w:val="32"/>
        </w:rPr>
        <w:t xml:space="preserve"> </w:t>
      </w:r>
      <w:r>
        <w:rPr>
          <w:rFonts w:ascii="仿宋" w:hAnsi="仿宋" w:eastAsia="仿宋" w:cs="仿宋"/>
          <w:spacing w:val="-7"/>
          <w:sz w:val="32"/>
          <w:szCs w:val="32"/>
        </w:rPr>
        <w:t>104.95</w:t>
      </w:r>
      <w:r>
        <w:rPr>
          <w:rFonts w:ascii="仿宋" w:hAnsi="仿宋" w:eastAsia="仿宋" w:cs="仿宋"/>
          <w:spacing w:val="-53"/>
          <w:sz w:val="32"/>
          <w:szCs w:val="32"/>
        </w:rPr>
        <w:t xml:space="preserve"> </w:t>
      </w:r>
      <w:r>
        <w:rPr>
          <w:rFonts w:ascii="仿宋" w:hAnsi="仿宋" w:eastAsia="仿宋" w:cs="仿宋"/>
          <w:spacing w:val="-7"/>
          <w:sz w:val="32"/>
          <w:szCs w:val="32"/>
        </w:rPr>
        <w:t>万元，比上年增加</w:t>
      </w:r>
      <w:r>
        <w:rPr>
          <w:rFonts w:ascii="仿宋" w:hAnsi="仿宋" w:eastAsia="仿宋" w:cs="仿宋"/>
          <w:spacing w:val="-57"/>
          <w:sz w:val="32"/>
          <w:szCs w:val="32"/>
        </w:rPr>
        <w:t xml:space="preserve"> </w:t>
      </w:r>
      <w:r>
        <w:rPr>
          <w:rFonts w:ascii="仿宋" w:hAnsi="仿宋" w:eastAsia="仿宋" w:cs="仿宋"/>
          <w:spacing w:val="-7"/>
          <w:sz w:val="32"/>
          <w:szCs w:val="32"/>
        </w:rPr>
        <w:t>75.3</w:t>
      </w:r>
      <w:r>
        <w:rPr>
          <w:rFonts w:hint="eastAsia" w:ascii="仿宋" w:hAnsi="仿宋" w:eastAsia="仿宋" w:cs="仿宋"/>
          <w:spacing w:val="-7"/>
          <w:sz w:val="32"/>
          <w:szCs w:val="32"/>
          <w:lang w:val="en-US" w:eastAsia="zh-CN"/>
        </w:rPr>
        <w:t>0</w:t>
      </w:r>
      <w:r>
        <w:rPr>
          <w:rFonts w:ascii="仿宋" w:hAnsi="仿宋" w:eastAsia="仿宋" w:cs="仿宋"/>
          <w:spacing w:val="4"/>
          <w:sz w:val="32"/>
          <w:szCs w:val="32"/>
        </w:rPr>
        <w:t xml:space="preserve"> </w:t>
      </w:r>
      <w:r>
        <w:rPr>
          <w:rFonts w:ascii="仿宋" w:hAnsi="仿宋" w:eastAsia="仿宋" w:cs="仿宋"/>
          <w:spacing w:val="-7"/>
          <w:sz w:val="32"/>
          <w:szCs w:val="32"/>
        </w:rPr>
        <w:t>%。主要是因</w:t>
      </w:r>
      <w:r>
        <w:rPr>
          <w:rFonts w:ascii="仿宋" w:hAnsi="仿宋" w:eastAsia="仿宋" w:cs="仿宋"/>
          <w:spacing w:val="-8"/>
          <w:sz w:val="32"/>
          <w:szCs w:val="32"/>
        </w:rPr>
        <w:t>单位机构改革人员增加，住房公积金缴费增加。</w:t>
      </w:r>
    </w:p>
    <w:p>
      <w:pPr>
        <w:spacing w:line="580" w:lineRule="exact"/>
        <w:ind w:firstLine="608" w:firstLineChars="200"/>
        <w:jc w:val="both"/>
        <w:rPr>
          <w:rFonts w:ascii="仿宋" w:hAnsi="仿宋" w:eastAsia="仿宋" w:cs="仿宋"/>
          <w:spacing w:val="-8"/>
          <w:sz w:val="32"/>
          <w:szCs w:val="32"/>
        </w:rPr>
      </w:pPr>
      <w:r>
        <w:rPr>
          <w:rFonts w:ascii="仿宋" w:hAnsi="仿宋" w:eastAsia="仿宋" w:cs="仿宋"/>
          <w:spacing w:val="-8"/>
          <w:sz w:val="32"/>
          <w:szCs w:val="32"/>
        </w:rPr>
        <w:t>5、社会保障和就业（类）行政事业单位养老支出（款）机关事业单位基本养老保险缴费支出（项）支出 125.53 万元，比上年增加 72.</w:t>
      </w:r>
      <w:r>
        <w:rPr>
          <w:rFonts w:hint="eastAsia" w:ascii="仿宋" w:hAnsi="仿宋" w:eastAsia="仿宋" w:cs="仿宋"/>
          <w:spacing w:val="-8"/>
          <w:sz w:val="32"/>
          <w:szCs w:val="32"/>
          <w:lang w:val="en-US" w:eastAsia="zh-CN"/>
        </w:rPr>
        <w:t>46</w:t>
      </w:r>
      <w:r>
        <w:rPr>
          <w:rFonts w:ascii="仿宋" w:hAnsi="仿宋" w:eastAsia="仿宋" w:cs="仿宋"/>
          <w:spacing w:val="-8"/>
          <w:sz w:val="32"/>
          <w:szCs w:val="32"/>
        </w:rPr>
        <w:t xml:space="preserve"> %，主要是因单位机构改革人员增加，基本养老保险缴费相应增加。</w:t>
      </w:r>
    </w:p>
    <w:p>
      <w:pPr>
        <w:spacing w:before="256" w:line="192" w:lineRule="auto"/>
        <w:ind w:firstLine="683"/>
        <w:rPr>
          <w:rFonts w:ascii="楷体" w:hAnsi="楷体" w:eastAsia="楷体" w:cs="楷体"/>
          <w:spacing w:val="-22"/>
          <w:sz w:val="32"/>
          <w:szCs w:val="32"/>
        </w:rPr>
      </w:pPr>
      <w:r>
        <w:rPr>
          <w:rFonts w:ascii="楷体" w:hAnsi="楷体" w:eastAsia="楷体" w:cs="楷体"/>
          <w:spacing w:val="-22"/>
          <w:sz w:val="32"/>
          <w:szCs w:val="32"/>
        </w:rPr>
        <w:t>（四）政府性基金预算收支情况</w:t>
      </w:r>
    </w:p>
    <w:p>
      <w:pPr>
        <w:spacing w:line="580" w:lineRule="exact"/>
        <w:ind w:firstLine="608" w:firstLineChars="200"/>
        <w:jc w:val="both"/>
        <w:rPr>
          <w:rFonts w:ascii="仿宋" w:hAnsi="仿宋" w:eastAsia="仿宋" w:cs="仿宋"/>
          <w:spacing w:val="-8"/>
          <w:sz w:val="32"/>
          <w:szCs w:val="32"/>
        </w:rPr>
      </w:pPr>
      <w:r>
        <w:rPr>
          <w:rFonts w:ascii="仿宋" w:hAnsi="仿宋" w:eastAsia="仿宋" w:cs="仿宋"/>
          <w:spacing w:val="-8"/>
          <w:sz w:val="32"/>
          <w:szCs w:val="32"/>
        </w:rPr>
        <w:t>高青县交通运输局 2021 年没有使用政府性基金预算拨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0" w:firstLineChars="0"/>
        <w:jc w:val="both"/>
        <w:textAlignment w:val="baseline"/>
        <w:rPr>
          <w:rFonts w:ascii="仿宋" w:hAnsi="仿宋" w:eastAsia="仿宋" w:cs="仿宋"/>
          <w:spacing w:val="-8"/>
          <w:sz w:val="32"/>
          <w:szCs w:val="32"/>
        </w:rPr>
      </w:pPr>
      <w:r>
        <w:rPr>
          <w:rFonts w:ascii="仿宋" w:hAnsi="仿宋" w:eastAsia="仿宋" w:cs="仿宋"/>
          <w:spacing w:val="-8"/>
          <w:sz w:val="32"/>
          <w:szCs w:val="32"/>
        </w:rPr>
        <w:t>款安排的支出。</w:t>
      </w:r>
    </w:p>
    <w:p>
      <w:pPr>
        <w:spacing w:before="256" w:line="192" w:lineRule="auto"/>
        <w:ind w:firstLine="683"/>
        <w:rPr>
          <w:rFonts w:ascii="楷体" w:hAnsi="楷体" w:eastAsia="楷体" w:cs="楷体"/>
          <w:spacing w:val="-22"/>
          <w:sz w:val="32"/>
          <w:szCs w:val="32"/>
        </w:rPr>
      </w:pPr>
      <w:r>
        <w:rPr>
          <w:rFonts w:hint="eastAsia" w:ascii="楷体" w:hAnsi="楷体" w:eastAsia="楷体" w:cs="楷体"/>
          <w:spacing w:val="-22"/>
          <w:sz w:val="32"/>
          <w:szCs w:val="32"/>
        </w:rPr>
        <w:t>（</w:t>
      </w:r>
      <w:r>
        <w:rPr>
          <w:rFonts w:hint="eastAsia" w:ascii="楷体" w:hAnsi="楷体" w:eastAsia="楷体" w:cs="楷体"/>
          <w:spacing w:val="-22"/>
          <w:sz w:val="32"/>
          <w:szCs w:val="32"/>
          <w:lang w:val="en-US" w:eastAsia="zh-CN"/>
        </w:rPr>
        <w:t>五</w:t>
      </w:r>
      <w:r>
        <w:rPr>
          <w:rFonts w:hint="eastAsia" w:ascii="楷体" w:hAnsi="楷体" w:eastAsia="楷体" w:cs="楷体"/>
          <w:spacing w:val="-22"/>
          <w:sz w:val="32"/>
          <w:szCs w:val="32"/>
        </w:rPr>
        <w:t>）</w:t>
      </w:r>
      <w:r>
        <w:rPr>
          <w:rFonts w:hint="eastAsia" w:ascii="楷体" w:hAnsi="楷体" w:eastAsia="楷体" w:cs="楷体"/>
          <w:spacing w:val="-22"/>
          <w:sz w:val="32"/>
          <w:szCs w:val="32"/>
          <w:lang w:val="en-US" w:eastAsia="zh-CN"/>
        </w:rPr>
        <w:t>国有资本经营</w:t>
      </w:r>
      <w:r>
        <w:rPr>
          <w:rFonts w:hint="eastAsia" w:ascii="楷体" w:hAnsi="楷体" w:eastAsia="楷体" w:cs="楷体"/>
          <w:spacing w:val="-22"/>
          <w:sz w:val="32"/>
          <w:szCs w:val="32"/>
        </w:rPr>
        <w:t>预算收支情况</w:t>
      </w:r>
    </w:p>
    <w:p>
      <w:pPr>
        <w:spacing w:before="249" w:line="335" w:lineRule="auto"/>
        <w:ind w:left="31" w:right="11" w:firstLine="644"/>
        <w:rPr>
          <w:rFonts w:hint="eastAsia" w:ascii="仿宋" w:hAnsi="仿宋" w:eastAsia="仿宋" w:cs="仿宋"/>
          <w:spacing w:val="-2"/>
          <w:sz w:val="32"/>
          <w:szCs w:val="32"/>
          <w:lang w:eastAsia="zh-CN"/>
        </w:rPr>
      </w:pPr>
      <w:r>
        <w:rPr>
          <w:rFonts w:hint="eastAsia" w:ascii="仿宋" w:hAnsi="仿宋" w:eastAsia="仿宋" w:cs="仿宋"/>
          <w:spacing w:val="-2"/>
          <w:sz w:val="32"/>
          <w:szCs w:val="32"/>
          <w:lang w:val="en-US" w:eastAsia="zh-CN"/>
        </w:rPr>
        <w:t>高青县交通运输局</w:t>
      </w:r>
      <w:r>
        <w:rPr>
          <w:rFonts w:hint="eastAsia" w:ascii="仿宋" w:hAnsi="仿宋" w:eastAsia="仿宋" w:cs="仿宋"/>
          <w:spacing w:val="-2"/>
          <w:sz w:val="32"/>
          <w:szCs w:val="32"/>
        </w:rPr>
        <w:t>2021年没有使用</w:t>
      </w:r>
      <w:r>
        <w:rPr>
          <w:rFonts w:hint="eastAsia" w:ascii="仿宋" w:hAnsi="仿宋" w:eastAsia="仿宋" w:cs="仿宋"/>
          <w:spacing w:val="-2"/>
          <w:sz w:val="32"/>
          <w:szCs w:val="32"/>
          <w:lang w:val="en-US" w:eastAsia="zh-CN"/>
        </w:rPr>
        <w:t>国有资本经营</w:t>
      </w:r>
      <w:r>
        <w:rPr>
          <w:rFonts w:hint="eastAsia" w:ascii="仿宋" w:hAnsi="仿宋" w:eastAsia="仿宋" w:cs="仿宋"/>
          <w:spacing w:val="-2"/>
          <w:sz w:val="32"/>
          <w:szCs w:val="32"/>
        </w:rPr>
        <w:t>预算拨款安排的支出</w:t>
      </w:r>
      <w:r>
        <w:rPr>
          <w:rFonts w:hint="eastAsia" w:ascii="仿宋" w:hAnsi="仿宋" w:eastAsia="仿宋" w:cs="仿宋"/>
          <w:spacing w:val="-2"/>
          <w:sz w:val="32"/>
          <w:szCs w:val="32"/>
          <w:lang w:eastAsia="zh-CN"/>
        </w:rPr>
        <w:t>。</w:t>
      </w:r>
    </w:p>
    <w:p>
      <w:pPr>
        <w:spacing w:line="580" w:lineRule="exact"/>
        <w:ind w:firstLine="600"/>
        <w:rPr>
          <w:rFonts w:ascii="楷体_GB2312" w:eastAsia="楷体_GB2312"/>
          <w:sz w:val="32"/>
          <w:szCs w:val="32"/>
          <w:highlight w:val="none"/>
        </w:rPr>
      </w:pPr>
      <w:r>
        <w:rPr>
          <w:rFonts w:hint="eastAsia" w:ascii="楷体_GB2312" w:eastAsia="楷体_GB2312"/>
          <w:sz w:val="32"/>
          <w:szCs w:val="32"/>
          <w:highlight w:val="none"/>
        </w:rPr>
        <w:t>（</w:t>
      </w:r>
      <w:r>
        <w:rPr>
          <w:rFonts w:hint="eastAsia" w:ascii="楷体_GB2312" w:eastAsia="楷体_GB2312"/>
          <w:sz w:val="32"/>
          <w:szCs w:val="32"/>
          <w:highlight w:val="none"/>
          <w:lang w:val="en-US" w:eastAsia="zh-CN"/>
        </w:rPr>
        <w:t>六</w:t>
      </w:r>
      <w:r>
        <w:rPr>
          <w:rFonts w:hint="eastAsia" w:ascii="楷体_GB2312" w:eastAsia="楷体_GB2312"/>
          <w:sz w:val="32"/>
          <w:szCs w:val="32"/>
          <w:highlight w:val="none"/>
        </w:rPr>
        <w:t>）财政拨款安排的基本支出情况</w:t>
      </w:r>
    </w:p>
    <w:p>
      <w:pPr>
        <w:spacing w:before="249" w:line="335" w:lineRule="auto"/>
        <w:ind w:left="31" w:right="11" w:firstLine="644"/>
        <w:rPr>
          <w:rFonts w:ascii="仿宋" w:hAnsi="仿宋" w:eastAsia="仿宋" w:cs="仿宋"/>
          <w:spacing w:val="-4"/>
          <w:sz w:val="32"/>
          <w:szCs w:val="32"/>
        </w:rPr>
      </w:pPr>
      <w:r>
        <w:rPr>
          <w:rFonts w:ascii="仿宋" w:hAnsi="仿宋" w:eastAsia="仿宋" w:cs="仿宋"/>
          <w:spacing w:val="-4"/>
          <w:sz w:val="32"/>
          <w:szCs w:val="32"/>
        </w:rPr>
        <w:t>2021年财政拨款安排的基本支出预算1377.43万元，</w:t>
      </w:r>
      <w:r>
        <w:rPr>
          <w:rFonts w:hint="eastAsia" w:ascii="仿宋" w:hAnsi="仿宋" w:eastAsia="仿宋" w:cs="仿宋"/>
          <w:spacing w:val="-4"/>
          <w:sz w:val="32"/>
          <w:szCs w:val="32"/>
        </w:rPr>
        <w:t>（其中一般公共预算安排</w:t>
      </w:r>
      <w:r>
        <w:rPr>
          <w:rFonts w:hint="eastAsia" w:ascii="仿宋" w:hAnsi="仿宋" w:eastAsia="仿宋" w:cs="仿宋"/>
          <w:spacing w:val="-4"/>
          <w:sz w:val="32"/>
          <w:szCs w:val="32"/>
          <w:lang w:val="en-US" w:eastAsia="zh-CN"/>
        </w:rPr>
        <w:t>1256.72</w:t>
      </w:r>
      <w:r>
        <w:rPr>
          <w:rFonts w:hint="eastAsia" w:ascii="仿宋" w:hAnsi="仿宋" w:eastAsia="仿宋" w:cs="仿宋"/>
          <w:spacing w:val="-4"/>
          <w:sz w:val="32"/>
          <w:szCs w:val="32"/>
        </w:rPr>
        <w:t>万元）</w:t>
      </w:r>
      <w:r>
        <w:rPr>
          <w:rFonts w:hint="eastAsia" w:ascii="仿宋" w:hAnsi="仿宋" w:eastAsia="仿宋" w:cs="仿宋"/>
          <w:spacing w:val="-4"/>
          <w:sz w:val="32"/>
          <w:szCs w:val="32"/>
          <w:lang w:val="en-US" w:eastAsia="zh-CN"/>
        </w:rPr>
        <w:t>包括：</w:t>
      </w:r>
    </w:p>
    <w:p>
      <w:pPr>
        <w:spacing w:before="249" w:line="335" w:lineRule="auto"/>
        <w:ind w:left="31" w:right="11" w:firstLine="644"/>
        <w:rPr>
          <w:rFonts w:ascii="仿宋" w:hAnsi="仿宋" w:eastAsia="仿宋" w:cs="仿宋"/>
          <w:sz w:val="32"/>
          <w:szCs w:val="32"/>
        </w:rPr>
      </w:pPr>
      <w:r>
        <w:rPr>
          <w:rFonts w:ascii="仿宋" w:hAnsi="仿宋" w:eastAsia="仿宋" w:cs="仿宋"/>
          <w:spacing w:val="-4"/>
          <w:sz w:val="32"/>
          <w:szCs w:val="32"/>
        </w:rPr>
        <w:t>人员经费 1256.72 万元</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（其中一般公共预算安排</w:t>
      </w:r>
      <w:r>
        <w:rPr>
          <w:rFonts w:hint="eastAsia" w:ascii="仿宋_GB2312" w:eastAsia="仿宋_GB2312"/>
          <w:sz w:val="32"/>
          <w:szCs w:val="32"/>
          <w:highlight w:val="none"/>
          <w:lang w:val="en-US" w:eastAsia="zh-CN"/>
        </w:rPr>
        <w:t>1256.72</w:t>
      </w:r>
      <w:r>
        <w:rPr>
          <w:rFonts w:hint="eastAsia" w:ascii="仿宋_GB2312" w:eastAsia="仿宋_GB2312"/>
          <w:sz w:val="32"/>
          <w:szCs w:val="32"/>
          <w:highlight w:val="none"/>
        </w:rPr>
        <w:t>万元）</w:t>
      </w:r>
      <w:r>
        <w:rPr>
          <w:rFonts w:ascii="仿宋" w:hAnsi="仿宋" w:eastAsia="仿宋" w:cs="仿宋"/>
          <w:spacing w:val="-4"/>
          <w:sz w:val="32"/>
          <w:szCs w:val="32"/>
        </w:rPr>
        <w:t>按</w:t>
      </w:r>
      <w:r>
        <w:rPr>
          <w:rFonts w:hint="eastAsia" w:ascii="仿宋" w:hAnsi="仿宋" w:eastAsia="仿宋" w:cs="仿宋"/>
          <w:spacing w:val="-4"/>
          <w:sz w:val="32"/>
          <w:szCs w:val="32"/>
          <w:lang w:eastAsia="zh-CN"/>
        </w:rPr>
        <w:t>单位</w:t>
      </w:r>
      <w:r>
        <w:rPr>
          <w:rFonts w:ascii="仿宋" w:hAnsi="仿宋" w:eastAsia="仿宋" w:cs="仿宋"/>
          <w:spacing w:val="-4"/>
          <w:sz w:val="32"/>
          <w:szCs w:val="32"/>
        </w:rPr>
        <w:t>预算支出经济分类主要</w:t>
      </w:r>
      <w:r>
        <w:rPr>
          <w:rFonts w:ascii="仿宋" w:hAnsi="仿宋" w:eastAsia="仿宋" w:cs="仿宋"/>
          <w:spacing w:val="-11"/>
          <w:sz w:val="32"/>
          <w:szCs w:val="32"/>
        </w:rPr>
        <w:t>包括：基本工资、津贴补贴、绩效工资、机关事业单位基本</w:t>
      </w:r>
      <w:r>
        <w:rPr>
          <w:rFonts w:ascii="仿宋" w:hAnsi="仿宋" w:eastAsia="仿宋" w:cs="仿宋"/>
          <w:spacing w:val="-2"/>
          <w:sz w:val="32"/>
          <w:szCs w:val="32"/>
        </w:rPr>
        <w:t>养老保险缴费、职工基本医疗保险缴费、公务员医疗补助缴费、其他社会保障缴费、住房公积金、退休费、退职（役）费、生活补助、奖励金等。按政府预算支出经济分类主要包</w:t>
      </w:r>
      <w:r>
        <w:rPr>
          <w:rFonts w:ascii="仿宋" w:hAnsi="仿宋" w:eastAsia="仿宋" w:cs="仿宋"/>
          <w:spacing w:val="-11"/>
          <w:sz w:val="32"/>
          <w:szCs w:val="32"/>
        </w:rPr>
        <w:t>括：工资奖金津补贴、社会保障缴费、住房公积金、社会福</w:t>
      </w:r>
      <w:r>
        <w:rPr>
          <w:rFonts w:ascii="仿宋" w:hAnsi="仿宋" w:eastAsia="仿宋" w:cs="仿宋"/>
          <w:spacing w:val="-2"/>
          <w:sz w:val="32"/>
          <w:szCs w:val="32"/>
        </w:rPr>
        <w:t>利和救助、离退休费等。</w:t>
      </w:r>
    </w:p>
    <w:p>
      <w:pPr>
        <w:spacing w:before="6" w:line="334" w:lineRule="auto"/>
        <w:ind w:left="31" w:right="6" w:firstLine="650"/>
        <w:rPr>
          <w:rFonts w:ascii="仿宋" w:hAnsi="仿宋" w:eastAsia="仿宋" w:cs="仿宋"/>
          <w:sz w:val="32"/>
          <w:szCs w:val="32"/>
        </w:rPr>
      </w:pPr>
      <w:r>
        <w:rPr>
          <w:rFonts w:ascii="仿宋" w:hAnsi="仿宋" w:eastAsia="仿宋" w:cs="仿宋"/>
          <w:spacing w:val="1"/>
          <w:sz w:val="32"/>
          <w:szCs w:val="32"/>
        </w:rPr>
        <w:t>公用经费</w:t>
      </w:r>
      <w:r>
        <w:rPr>
          <w:rFonts w:ascii="仿宋" w:hAnsi="仿宋" w:eastAsia="仿宋" w:cs="仿宋"/>
          <w:spacing w:val="-18"/>
          <w:sz w:val="32"/>
          <w:szCs w:val="32"/>
        </w:rPr>
        <w:t xml:space="preserve"> </w:t>
      </w:r>
      <w:r>
        <w:rPr>
          <w:rFonts w:ascii="仿宋" w:hAnsi="仿宋" w:eastAsia="仿宋" w:cs="仿宋"/>
          <w:spacing w:val="1"/>
          <w:sz w:val="32"/>
          <w:szCs w:val="32"/>
        </w:rPr>
        <w:t>120.71</w:t>
      </w:r>
      <w:r>
        <w:rPr>
          <w:rFonts w:ascii="仿宋" w:hAnsi="仿宋" w:eastAsia="仿宋" w:cs="仿宋"/>
          <w:spacing w:val="-51"/>
          <w:sz w:val="32"/>
          <w:szCs w:val="32"/>
        </w:rPr>
        <w:t xml:space="preserve"> </w:t>
      </w:r>
      <w:r>
        <w:rPr>
          <w:rFonts w:ascii="仿宋" w:hAnsi="仿宋" w:eastAsia="仿宋" w:cs="仿宋"/>
          <w:spacing w:val="1"/>
          <w:sz w:val="32"/>
          <w:szCs w:val="32"/>
        </w:rPr>
        <w:t>万元，</w:t>
      </w:r>
      <w:r>
        <w:rPr>
          <w:rFonts w:hint="eastAsia" w:ascii="仿宋_GB2312" w:eastAsia="仿宋_GB2312"/>
          <w:sz w:val="32"/>
          <w:szCs w:val="32"/>
          <w:highlight w:val="none"/>
        </w:rPr>
        <w:t>（其中一般公共预算安排</w:t>
      </w:r>
      <w:r>
        <w:rPr>
          <w:rFonts w:hint="eastAsia" w:ascii="仿宋_GB2312" w:eastAsia="仿宋_GB2312"/>
          <w:sz w:val="32"/>
          <w:szCs w:val="32"/>
          <w:highlight w:val="none"/>
          <w:lang w:val="en-US" w:eastAsia="zh-CN"/>
        </w:rPr>
        <w:t>120.71</w:t>
      </w:r>
      <w:r>
        <w:rPr>
          <w:rFonts w:hint="eastAsia" w:ascii="仿宋_GB2312" w:eastAsia="仿宋_GB2312"/>
          <w:sz w:val="32"/>
          <w:szCs w:val="32"/>
          <w:highlight w:val="none"/>
        </w:rPr>
        <w:t>万元）</w:t>
      </w:r>
      <w:r>
        <w:rPr>
          <w:rFonts w:ascii="仿宋" w:hAnsi="仿宋" w:eastAsia="仿宋" w:cs="仿宋"/>
          <w:spacing w:val="1"/>
          <w:sz w:val="32"/>
          <w:szCs w:val="32"/>
        </w:rPr>
        <w:t>按</w:t>
      </w:r>
      <w:r>
        <w:rPr>
          <w:rFonts w:hint="eastAsia" w:ascii="仿宋" w:hAnsi="仿宋" w:eastAsia="仿宋" w:cs="仿宋"/>
          <w:spacing w:val="1"/>
          <w:sz w:val="32"/>
          <w:szCs w:val="32"/>
          <w:lang w:eastAsia="zh-CN"/>
        </w:rPr>
        <w:t>单位</w:t>
      </w:r>
      <w:r>
        <w:rPr>
          <w:rFonts w:ascii="仿宋" w:hAnsi="仿宋" w:eastAsia="仿宋" w:cs="仿宋"/>
          <w:spacing w:val="1"/>
          <w:sz w:val="32"/>
          <w:szCs w:val="32"/>
        </w:rPr>
        <w:t>预算支出经济分类主要</w:t>
      </w:r>
      <w:r>
        <w:rPr>
          <w:rFonts w:ascii="仿宋" w:hAnsi="仿宋" w:eastAsia="仿宋" w:cs="仿宋"/>
          <w:spacing w:val="-11"/>
          <w:sz w:val="32"/>
          <w:szCs w:val="32"/>
        </w:rPr>
        <w:t>包括：办公费、水费、电费、邮电费、取暖费、差旅费、维</w:t>
      </w:r>
      <w:r>
        <w:rPr>
          <w:rFonts w:ascii="仿宋" w:hAnsi="仿宋" w:eastAsia="仿宋" w:cs="仿宋"/>
          <w:spacing w:val="-8"/>
          <w:sz w:val="32"/>
          <w:szCs w:val="32"/>
        </w:rPr>
        <w:t>修（护）费、会议费、培训费、公务接待费、工会经费、福</w:t>
      </w:r>
      <w:r>
        <w:rPr>
          <w:rFonts w:ascii="仿宋" w:hAnsi="仿宋" w:eastAsia="仿宋" w:cs="仿宋"/>
          <w:spacing w:val="-2"/>
          <w:sz w:val="32"/>
          <w:szCs w:val="32"/>
        </w:rPr>
        <w:t>利费、公务用车运行维护费、其他交通费用等。按政府预算</w:t>
      </w:r>
      <w:r>
        <w:rPr>
          <w:rFonts w:ascii="仿宋" w:hAnsi="仿宋" w:eastAsia="仿宋" w:cs="仿宋"/>
          <w:spacing w:val="-11"/>
          <w:sz w:val="32"/>
          <w:szCs w:val="32"/>
        </w:rPr>
        <w:t>支出经济分类主要包括：办公经费、会议费、培训费、公务</w:t>
      </w:r>
      <w:r>
        <w:rPr>
          <w:rFonts w:ascii="仿宋" w:hAnsi="仿宋" w:eastAsia="仿宋" w:cs="仿宋"/>
          <w:spacing w:val="-9"/>
          <w:sz w:val="32"/>
          <w:szCs w:val="32"/>
        </w:rPr>
        <w:t>接待费、公务用车运行维护费、维修（护）费等。</w:t>
      </w:r>
    </w:p>
    <w:p>
      <w:pPr>
        <w:spacing w:before="1" w:line="201" w:lineRule="auto"/>
        <w:ind w:firstLine="629"/>
        <w:rPr>
          <w:rFonts w:ascii="黑体" w:hAnsi="黑体" w:eastAsia="黑体" w:cs="黑体"/>
          <w:sz w:val="32"/>
          <w:szCs w:val="32"/>
        </w:rPr>
      </w:pPr>
      <w:r>
        <w:rPr>
          <w:rFonts w:ascii="黑体" w:hAnsi="黑体" w:eastAsia="黑体" w:cs="黑体"/>
          <w:spacing w:val="-3"/>
          <w:sz w:val="32"/>
          <w:szCs w:val="32"/>
        </w:rPr>
        <w:t>二、重要事项说明</w:t>
      </w:r>
    </w:p>
    <w:p>
      <w:pPr>
        <w:spacing w:before="228" w:line="192" w:lineRule="auto"/>
        <w:ind w:firstLine="644"/>
        <w:rPr>
          <w:rFonts w:ascii="楷体" w:hAnsi="楷体" w:eastAsia="楷体" w:cs="楷体"/>
          <w:sz w:val="32"/>
          <w:szCs w:val="32"/>
        </w:rPr>
      </w:pPr>
      <w:r>
        <w:rPr>
          <w:rFonts w:ascii="楷体" w:hAnsi="楷体" w:eastAsia="楷体" w:cs="楷体"/>
          <w:spacing w:val="-25"/>
          <w:sz w:val="32"/>
          <w:szCs w:val="32"/>
        </w:rPr>
        <w:t>（一）政府采购情况</w:t>
      </w:r>
    </w:p>
    <w:p>
      <w:pPr>
        <w:spacing w:line="580" w:lineRule="exact"/>
        <w:ind w:firstLine="600"/>
        <w:rPr>
          <w:rFonts w:ascii="仿宋_GB2312" w:eastAsia="仿宋_GB2312"/>
          <w:sz w:val="32"/>
          <w:szCs w:val="32"/>
          <w:highlight w:val="none"/>
        </w:rPr>
      </w:pPr>
      <w:r>
        <w:rPr>
          <w:rFonts w:ascii="Times New Roman" w:hAnsi="Times New Roman" w:eastAsia="Times New Roman" w:cs="Times New Roman"/>
          <w:spacing w:val="-11"/>
          <w:sz w:val="32"/>
          <w:szCs w:val="32"/>
        </w:rPr>
        <w:t>2021</w:t>
      </w:r>
      <w:r>
        <w:rPr>
          <w:rFonts w:ascii="Times New Roman" w:hAnsi="Times New Roman" w:eastAsia="Times New Roman" w:cs="Times New Roman"/>
          <w:spacing w:val="30"/>
          <w:w w:val="101"/>
          <w:sz w:val="32"/>
          <w:szCs w:val="32"/>
        </w:rPr>
        <w:t xml:space="preserve"> </w:t>
      </w:r>
      <w:r>
        <w:rPr>
          <w:rFonts w:ascii="仿宋" w:hAnsi="仿宋" w:eastAsia="仿宋" w:cs="仿宋"/>
          <w:spacing w:val="-11"/>
          <w:sz w:val="32"/>
          <w:szCs w:val="32"/>
        </w:rPr>
        <w:t>年政府采购预算</w:t>
      </w:r>
      <w:r>
        <w:rPr>
          <w:rFonts w:ascii="仿宋" w:hAnsi="仿宋" w:eastAsia="仿宋" w:cs="仿宋"/>
          <w:spacing w:val="-41"/>
          <w:sz w:val="32"/>
          <w:szCs w:val="32"/>
        </w:rPr>
        <w:t xml:space="preserve"> </w:t>
      </w:r>
      <w:r>
        <w:rPr>
          <w:rFonts w:ascii="Times New Roman" w:hAnsi="Times New Roman" w:eastAsia="Times New Roman" w:cs="Times New Roman"/>
          <w:spacing w:val="-11"/>
          <w:sz w:val="32"/>
          <w:szCs w:val="32"/>
        </w:rPr>
        <w:t>15.00</w:t>
      </w:r>
      <w:r>
        <w:rPr>
          <w:rFonts w:ascii="Times New Roman" w:hAnsi="Times New Roman" w:eastAsia="Times New Roman" w:cs="Times New Roman"/>
          <w:spacing w:val="26"/>
          <w:w w:val="101"/>
          <w:sz w:val="32"/>
          <w:szCs w:val="32"/>
        </w:rPr>
        <w:t xml:space="preserve"> </w:t>
      </w:r>
      <w:r>
        <w:rPr>
          <w:rFonts w:ascii="仿宋" w:hAnsi="仿宋" w:eastAsia="仿宋" w:cs="仿宋"/>
          <w:spacing w:val="-11"/>
          <w:sz w:val="32"/>
          <w:szCs w:val="32"/>
        </w:rPr>
        <w:t>万元，其中：财政拨款安排</w:t>
      </w:r>
      <w:r>
        <w:rPr>
          <w:rFonts w:ascii="仿宋" w:hAnsi="仿宋" w:eastAsia="仿宋" w:cs="仿宋"/>
          <w:sz w:val="32"/>
          <w:szCs w:val="32"/>
        </w:rPr>
        <w:t xml:space="preserve"> </w:t>
      </w:r>
      <w:r>
        <w:rPr>
          <w:rFonts w:ascii="仿宋" w:hAnsi="仿宋" w:eastAsia="仿宋" w:cs="仿宋"/>
          <w:spacing w:val="-1"/>
          <w:sz w:val="32"/>
          <w:szCs w:val="32"/>
        </w:rPr>
        <w:t>15.00</w:t>
      </w:r>
      <w:r>
        <w:rPr>
          <w:rFonts w:ascii="仿宋" w:hAnsi="仿宋" w:eastAsia="仿宋" w:cs="仿宋"/>
          <w:spacing w:val="-51"/>
          <w:sz w:val="32"/>
          <w:szCs w:val="32"/>
        </w:rPr>
        <w:t xml:space="preserve"> </w:t>
      </w:r>
      <w:r>
        <w:rPr>
          <w:rFonts w:ascii="仿宋" w:hAnsi="仿宋" w:eastAsia="仿宋" w:cs="仿宋"/>
          <w:spacing w:val="-1"/>
          <w:sz w:val="32"/>
          <w:szCs w:val="32"/>
        </w:rPr>
        <w:t>万元，财政专户管理资金安排</w:t>
      </w:r>
      <w:r>
        <w:rPr>
          <w:rFonts w:ascii="仿宋" w:hAnsi="仿宋" w:eastAsia="仿宋" w:cs="仿宋"/>
          <w:spacing w:val="-64"/>
          <w:sz w:val="32"/>
          <w:szCs w:val="32"/>
        </w:rPr>
        <w:t xml:space="preserve"> </w:t>
      </w:r>
      <w:r>
        <w:rPr>
          <w:rFonts w:ascii="仿宋" w:hAnsi="仿宋" w:eastAsia="仿宋" w:cs="仿宋"/>
          <w:spacing w:val="-1"/>
          <w:sz w:val="32"/>
          <w:szCs w:val="32"/>
        </w:rPr>
        <w:t>0</w:t>
      </w:r>
      <w:r>
        <w:rPr>
          <w:rFonts w:ascii="仿宋" w:hAnsi="仿宋" w:eastAsia="仿宋" w:cs="仿宋"/>
          <w:spacing w:val="-54"/>
          <w:sz w:val="32"/>
          <w:szCs w:val="32"/>
        </w:rPr>
        <w:t xml:space="preserve"> </w:t>
      </w:r>
      <w:r>
        <w:rPr>
          <w:rFonts w:ascii="仿宋" w:hAnsi="仿宋" w:eastAsia="仿宋" w:cs="仿宋"/>
          <w:spacing w:val="-1"/>
          <w:sz w:val="32"/>
          <w:szCs w:val="32"/>
        </w:rPr>
        <w:t>万元，</w:t>
      </w:r>
      <w:r>
        <w:rPr>
          <w:rFonts w:hint="eastAsia" w:ascii="仿宋" w:hAnsi="仿宋" w:eastAsia="仿宋" w:cs="仿宋"/>
          <w:spacing w:val="-1"/>
          <w:sz w:val="32"/>
          <w:szCs w:val="32"/>
          <w:lang w:val="en-US" w:eastAsia="zh-CN"/>
        </w:rPr>
        <w:t>单位资金安排0万元，</w:t>
      </w:r>
      <w:r>
        <w:rPr>
          <w:rFonts w:ascii="仿宋" w:hAnsi="仿宋" w:eastAsia="仿宋" w:cs="仿宋"/>
          <w:spacing w:val="-1"/>
          <w:sz w:val="32"/>
          <w:szCs w:val="32"/>
        </w:rPr>
        <w:t>其他自有资金</w:t>
      </w:r>
      <w:r>
        <w:rPr>
          <w:rFonts w:ascii="仿宋" w:hAnsi="仿宋" w:eastAsia="仿宋" w:cs="仿宋"/>
          <w:spacing w:val="-6"/>
          <w:sz w:val="32"/>
          <w:szCs w:val="32"/>
        </w:rPr>
        <w:t>安排</w:t>
      </w:r>
      <w:r>
        <w:rPr>
          <w:rFonts w:ascii="仿宋" w:hAnsi="仿宋" w:eastAsia="仿宋" w:cs="仿宋"/>
          <w:spacing w:val="-60"/>
          <w:sz w:val="32"/>
          <w:szCs w:val="32"/>
        </w:rPr>
        <w:t xml:space="preserve"> </w:t>
      </w:r>
      <w:r>
        <w:rPr>
          <w:rFonts w:ascii="仿宋" w:hAnsi="仿宋" w:eastAsia="仿宋" w:cs="仿宋"/>
          <w:spacing w:val="-6"/>
          <w:sz w:val="32"/>
          <w:szCs w:val="32"/>
        </w:rPr>
        <w:t>0</w:t>
      </w:r>
      <w:r>
        <w:rPr>
          <w:rFonts w:ascii="仿宋" w:hAnsi="仿宋" w:eastAsia="仿宋" w:cs="仿宋"/>
          <w:spacing w:val="-56"/>
          <w:sz w:val="32"/>
          <w:szCs w:val="32"/>
        </w:rPr>
        <w:t xml:space="preserve"> </w:t>
      </w:r>
      <w:r>
        <w:rPr>
          <w:rFonts w:ascii="仿宋" w:hAnsi="仿宋" w:eastAsia="仿宋" w:cs="仿宋"/>
          <w:spacing w:val="-6"/>
          <w:sz w:val="32"/>
          <w:szCs w:val="32"/>
        </w:rPr>
        <w:t>万元，上年结转资金安排</w:t>
      </w:r>
      <w:r>
        <w:rPr>
          <w:rFonts w:ascii="仿宋" w:hAnsi="仿宋" w:eastAsia="仿宋" w:cs="仿宋"/>
          <w:spacing w:val="-65"/>
          <w:sz w:val="32"/>
          <w:szCs w:val="32"/>
        </w:rPr>
        <w:t xml:space="preserve"> </w:t>
      </w:r>
      <w:r>
        <w:rPr>
          <w:rFonts w:ascii="仿宋" w:hAnsi="仿宋" w:eastAsia="仿宋" w:cs="仿宋"/>
          <w:spacing w:val="-6"/>
          <w:sz w:val="32"/>
          <w:szCs w:val="32"/>
        </w:rPr>
        <w:t>0</w:t>
      </w:r>
      <w:r>
        <w:rPr>
          <w:rFonts w:ascii="仿宋" w:hAnsi="仿宋" w:eastAsia="仿宋" w:cs="仿宋"/>
          <w:spacing w:val="-56"/>
          <w:sz w:val="32"/>
          <w:szCs w:val="32"/>
        </w:rPr>
        <w:t xml:space="preserve"> </w:t>
      </w:r>
      <w:r>
        <w:rPr>
          <w:rFonts w:ascii="仿宋" w:hAnsi="仿宋" w:eastAsia="仿宋" w:cs="仿宋"/>
          <w:spacing w:val="-6"/>
          <w:sz w:val="32"/>
          <w:szCs w:val="32"/>
        </w:rPr>
        <w:t>万元。</w:t>
      </w:r>
      <w:r>
        <w:rPr>
          <w:rFonts w:hint="eastAsia" w:ascii="仿宋_GB2312" w:eastAsia="仿宋_GB2312"/>
          <w:sz w:val="32"/>
          <w:szCs w:val="32"/>
          <w:highlight w:val="none"/>
        </w:rPr>
        <w:t>其中：政府采购货物预算</w:t>
      </w:r>
      <w:r>
        <w:rPr>
          <w:rFonts w:hint="eastAsia" w:ascii="仿宋_GB2312" w:eastAsia="仿宋_GB2312"/>
          <w:sz w:val="32"/>
          <w:szCs w:val="32"/>
          <w:highlight w:val="none"/>
          <w:lang w:val="en-US" w:eastAsia="zh-CN"/>
        </w:rPr>
        <w:t>15.00</w:t>
      </w:r>
      <w:r>
        <w:rPr>
          <w:rFonts w:hint="eastAsia" w:ascii="仿宋_GB2312" w:eastAsia="仿宋_GB2312"/>
          <w:sz w:val="32"/>
          <w:szCs w:val="32"/>
          <w:highlight w:val="none"/>
        </w:rPr>
        <w:t>万元，政府采购工程预算</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万元，政府采购服务预算</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p>
    <w:p>
      <w:pPr>
        <w:spacing w:before="228" w:line="192" w:lineRule="auto"/>
        <w:ind w:firstLine="644"/>
        <w:rPr>
          <w:rFonts w:ascii="楷体" w:hAnsi="楷体" w:eastAsia="楷体" w:cs="楷体"/>
          <w:spacing w:val="-25"/>
          <w:sz w:val="32"/>
          <w:szCs w:val="32"/>
        </w:rPr>
      </w:pPr>
      <w:r>
        <w:rPr>
          <w:rFonts w:ascii="楷体" w:hAnsi="楷体" w:eastAsia="楷体" w:cs="楷体"/>
          <w:spacing w:val="-25"/>
          <w:sz w:val="32"/>
          <w:szCs w:val="32"/>
        </w:rPr>
        <w:t>（二）一般公共预算安排的“三公”经费情况</w:t>
      </w:r>
    </w:p>
    <w:p>
      <w:pPr>
        <w:spacing w:line="580" w:lineRule="exact"/>
        <w:ind w:firstLine="600"/>
        <w:rPr>
          <w:rFonts w:ascii="仿宋" w:hAnsi="仿宋" w:eastAsia="仿宋" w:cs="仿宋"/>
          <w:spacing w:val="-1"/>
          <w:sz w:val="32"/>
          <w:szCs w:val="32"/>
        </w:rPr>
      </w:pPr>
      <w:r>
        <w:rPr>
          <w:rFonts w:ascii="仿宋" w:hAnsi="仿宋" w:eastAsia="仿宋" w:cs="仿宋"/>
          <w:spacing w:val="-1"/>
          <w:sz w:val="32"/>
          <w:szCs w:val="32"/>
        </w:rPr>
        <w:t>2021 年，通过一般公共预算财政拨款安排的“三公”经费预算共 24.5</w:t>
      </w:r>
      <w:r>
        <w:rPr>
          <w:rFonts w:hint="eastAsia" w:ascii="仿宋" w:hAnsi="仿宋" w:eastAsia="仿宋" w:cs="仿宋"/>
          <w:spacing w:val="-1"/>
          <w:sz w:val="32"/>
          <w:szCs w:val="32"/>
          <w:lang w:val="en-US" w:eastAsia="zh-CN"/>
        </w:rPr>
        <w:t>0</w:t>
      </w:r>
      <w:r>
        <w:rPr>
          <w:rFonts w:ascii="仿宋" w:hAnsi="仿宋" w:eastAsia="仿宋" w:cs="仿宋"/>
          <w:spacing w:val="-1"/>
          <w:sz w:val="32"/>
          <w:szCs w:val="32"/>
        </w:rPr>
        <w:t>万元，其中：因公出国（境）费 0 万元，公务用车购置</w:t>
      </w:r>
      <w:r>
        <w:rPr>
          <w:rFonts w:hint="eastAsia" w:ascii="仿宋" w:hAnsi="仿宋" w:eastAsia="仿宋" w:cs="仿宋"/>
          <w:spacing w:val="-1"/>
          <w:sz w:val="32"/>
          <w:szCs w:val="32"/>
          <w:lang w:val="en-US" w:eastAsia="zh-CN"/>
        </w:rPr>
        <w:t>费0</w:t>
      </w:r>
      <w:r>
        <w:rPr>
          <w:rFonts w:ascii="仿宋" w:hAnsi="仿宋" w:eastAsia="仿宋" w:cs="仿宋"/>
          <w:spacing w:val="-1"/>
          <w:sz w:val="32"/>
          <w:szCs w:val="32"/>
        </w:rPr>
        <w:t>万元</w:t>
      </w:r>
      <w:r>
        <w:rPr>
          <w:rFonts w:hint="eastAsia" w:ascii="仿宋" w:hAnsi="仿宋" w:eastAsia="仿宋" w:cs="仿宋"/>
          <w:spacing w:val="-1"/>
          <w:sz w:val="32"/>
          <w:szCs w:val="32"/>
          <w:lang w:eastAsia="zh-CN"/>
        </w:rPr>
        <w:t>，</w:t>
      </w:r>
      <w:r>
        <w:rPr>
          <w:rFonts w:ascii="仿宋" w:hAnsi="仿宋" w:eastAsia="仿宋" w:cs="仿宋"/>
          <w:spacing w:val="-1"/>
          <w:sz w:val="32"/>
          <w:szCs w:val="32"/>
        </w:rPr>
        <w:t>公务用车运行费24.00万元，公务接待费 0.50万元。</w:t>
      </w:r>
    </w:p>
    <w:p>
      <w:pPr>
        <w:spacing w:line="580" w:lineRule="exact"/>
        <w:ind w:firstLine="600"/>
        <w:rPr>
          <w:rFonts w:ascii="仿宋" w:hAnsi="仿宋" w:eastAsia="仿宋" w:cs="仿宋"/>
          <w:spacing w:val="-1"/>
          <w:sz w:val="32"/>
          <w:szCs w:val="32"/>
        </w:rPr>
      </w:pPr>
      <w:r>
        <w:rPr>
          <w:rFonts w:ascii="仿宋" w:hAnsi="仿宋" w:eastAsia="仿宋" w:cs="仿宋"/>
          <w:spacing w:val="-1"/>
          <w:sz w:val="32"/>
          <w:szCs w:val="32"/>
        </w:rPr>
        <w:t>2021 年“三公”经费预算与 2020年基本持平，其中：因公出国（境）费与2020年基本持平</w:t>
      </w:r>
      <w:r>
        <w:rPr>
          <w:rFonts w:hint="eastAsia" w:ascii="仿宋" w:hAnsi="仿宋" w:eastAsia="仿宋" w:cs="仿宋"/>
          <w:spacing w:val="-1"/>
          <w:sz w:val="32"/>
          <w:szCs w:val="32"/>
          <w:lang w:val="en-US" w:eastAsia="zh-CN"/>
        </w:rPr>
        <w:t>0万元</w:t>
      </w:r>
      <w:r>
        <w:rPr>
          <w:rFonts w:ascii="仿宋" w:hAnsi="仿宋" w:eastAsia="仿宋" w:cs="仿宋"/>
          <w:spacing w:val="-1"/>
          <w:sz w:val="32"/>
          <w:szCs w:val="32"/>
        </w:rPr>
        <w:t>、</w:t>
      </w:r>
      <w:r>
        <w:rPr>
          <w:rFonts w:hint="eastAsia" w:ascii="仿宋_GB2312" w:eastAsia="仿宋_GB2312"/>
          <w:sz w:val="32"/>
          <w:szCs w:val="32"/>
          <w:highlight w:val="none"/>
        </w:rPr>
        <w:t>公务用车购置</w:t>
      </w:r>
      <w:r>
        <w:rPr>
          <w:rFonts w:hint="eastAsia" w:ascii="仿宋_GB2312" w:eastAsia="仿宋_GB2312"/>
          <w:sz w:val="32"/>
          <w:szCs w:val="32"/>
          <w:highlight w:val="none"/>
          <w:lang w:val="en-US" w:eastAsia="zh-CN"/>
        </w:rPr>
        <w:t>费与</w:t>
      </w:r>
      <w:r>
        <w:rPr>
          <w:rFonts w:hint="eastAsia" w:ascii="仿宋_GB2312" w:eastAsia="仿宋_GB2312"/>
          <w:sz w:val="32"/>
          <w:szCs w:val="32"/>
          <w:highlight w:val="none"/>
        </w:rPr>
        <w:t>2020年基本持平</w:t>
      </w:r>
      <w:r>
        <w:rPr>
          <w:rFonts w:hint="eastAsia" w:ascii="仿宋_GB2312" w:eastAsia="仿宋_GB2312"/>
          <w:sz w:val="32"/>
          <w:szCs w:val="32"/>
          <w:highlight w:val="none"/>
          <w:lang w:val="en-US" w:eastAsia="zh-CN"/>
        </w:rPr>
        <w:t>0万元</w:t>
      </w:r>
      <w:r>
        <w:rPr>
          <w:rFonts w:hint="eastAsia" w:ascii="仿宋_GB2312" w:eastAsia="仿宋_GB2312"/>
          <w:sz w:val="32"/>
          <w:szCs w:val="32"/>
          <w:highlight w:val="none"/>
        </w:rPr>
        <w:t>、</w:t>
      </w:r>
      <w:r>
        <w:rPr>
          <w:rFonts w:hint="eastAsia" w:eastAsia="仿宋_GB2312"/>
          <w:sz w:val="32"/>
          <w:szCs w:val="32"/>
          <w:highlight w:val="none"/>
        </w:rPr>
        <w:t>公务用车运行维护费</w:t>
      </w:r>
      <w:r>
        <w:rPr>
          <w:rFonts w:hint="eastAsia" w:ascii="仿宋_GB2312" w:eastAsia="仿宋_GB2312"/>
          <w:sz w:val="32"/>
          <w:szCs w:val="32"/>
          <w:highlight w:val="none"/>
        </w:rPr>
        <w:t>与2020年基本持平</w:t>
      </w:r>
      <w:r>
        <w:rPr>
          <w:rFonts w:hint="eastAsia" w:ascii="仿宋_GB2312" w:eastAsia="仿宋_GB2312"/>
          <w:sz w:val="32"/>
          <w:szCs w:val="32"/>
          <w:highlight w:val="none"/>
          <w:lang w:val="en-US" w:eastAsia="zh-CN"/>
        </w:rPr>
        <w:t>24.00万元</w:t>
      </w:r>
      <w:r>
        <w:rPr>
          <w:rFonts w:ascii="仿宋" w:hAnsi="仿宋" w:eastAsia="仿宋" w:cs="仿宋"/>
          <w:spacing w:val="-1"/>
          <w:sz w:val="32"/>
          <w:szCs w:val="32"/>
          <w:highlight w:val="none"/>
        </w:rPr>
        <w:t>、公务接待费与2020年基本持平</w:t>
      </w:r>
      <w:r>
        <w:rPr>
          <w:rFonts w:hint="eastAsia" w:ascii="仿宋" w:hAnsi="仿宋" w:eastAsia="仿宋" w:cs="仿宋"/>
          <w:spacing w:val="-1"/>
          <w:sz w:val="32"/>
          <w:szCs w:val="32"/>
          <w:highlight w:val="none"/>
          <w:lang w:val="en-US" w:eastAsia="zh-CN"/>
        </w:rPr>
        <w:t>0.50</w:t>
      </w:r>
      <w:bookmarkStart w:id="1" w:name="_GoBack"/>
      <w:bookmarkEnd w:id="1"/>
      <w:r>
        <w:rPr>
          <w:rFonts w:hint="eastAsia" w:ascii="仿宋" w:hAnsi="仿宋" w:eastAsia="仿宋" w:cs="仿宋"/>
          <w:spacing w:val="-1"/>
          <w:sz w:val="32"/>
          <w:szCs w:val="32"/>
          <w:highlight w:val="none"/>
          <w:lang w:val="en-US" w:eastAsia="zh-CN"/>
        </w:rPr>
        <w:t>万元</w:t>
      </w:r>
      <w:r>
        <w:rPr>
          <w:rFonts w:ascii="仿宋" w:hAnsi="仿宋" w:eastAsia="仿宋" w:cs="仿宋"/>
          <w:spacing w:val="-1"/>
          <w:sz w:val="32"/>
          <w:szCs w:val="32"/>
          <w:highlight w:val="none"/>
        </w:rPr>
        <w:t>。</w:t>
      </w:r>
    </w:p>
    <w:p>
      <w:pPr>
        <w:spacing w:before="228" w:line="192" w:lineRule="auto"/>
        <w:ind w:firstLine="644"/>
        <w:rPr>
          <w:rFonts w:ascii="楷体" w:hAnsi="楷体" w:eastAsia="楷体" w:cs="楷体"/>
          <w:spacing w:val="-25"/>
          <w:sz w:val="32"/>
          <w:szCs w:val="32"/>
        </w:rPr>
      </w:pPr>
      <w:r>
        <w:rPr>
          <w:rFonts w:ascii="楷体" w:hAnsi="楷体" w:eastAsia="楷体" w:cs="楷体"/>
          <w:spacing w:val="-25"/>
          <w:sz w:val="32"/>
          <w:szCs w:val="32"/>
        </w:rPr>
        <w:t>（三）机关运行经费情况</w:t>
      </w:r>
    </w:p>
    <w:p>
      <w:pPr>
        <w:spacing w:line="580" w:lineRule="exact"/>
        <w:ind w:firstLine="600"/>
        <w:rPr>
          <w:rFonts w:ascii="仿宋" w:hAnsi="仿宋" w:eastAsia="仿宋" w:cs="仿宋"/>
          <w:sz w:val="32"/>
          <w:szCs w:val="32"/>
        </w:rPr>
      </w:pPr>
      <w:r>
        <w:rPr>
          <w:rFonts w:hint="eastAsia" w:ascii="仿宋_GB2312" w:eastAsia="仿宋_GB2312"/>
          <w:sz w:val="32"/>
          <w:szCs w:val="32"/>
        </w:rPr>
        <w:t>2021年</w:t>
      </w:r>
      <w:r>
        <w:rPr>
          <w:rFonts w:ascii="仿宋" w:hAnsi="仿宋" w:eastAsia="仿宋" w:cs="仿宋"/>
          <w:spacing w:val="-1"/>
          <w:sz w:val="32"/>
          <w:szCs w:val="32"/>
        </w:rPr>
        <w:t>高青县交通运输局机关</w:t>
      </w:r>
      <w:r>
        <w:rPr>
          <w:rFonts w:hint="eastAsia" w:ascii="仿宋" w:hAnsi="仿宋" w:eastAsia="仿宋" w:cs="仿宋"/>
          <w:spacing w:val="-1"/>
          <w:sz w:val="32"/>
          <w:szCs w:val="32"/>
          <w:lang w:val="en-US" w:eastAsia="zh-CN"/>
        </w:rPr>
        <w:t>1</w:t>
      </w:r>
      <w:r>
        <w:rPr>
          <w:rFonts w:hint="eastAsia" w:ascii="仿宋_GB2312" w:eastAsia="仿宋_GB2312"/>
          <w:sz w:val="32"/>
          <w:szCs w:val="32"/>
        </w:rPr>
        <w:t>家行政单位的机关运行经费财政拨款预算为</w:t>
      </w:r>
      <w:r>
        <w:rPr>
          <w:rFonts w:ascii="仿宋" w:hAnsi="仿宋" w:eastAsia="仿宋" w:cs="仿宋"/>
          <w:spacing w:val="-1"/>
          <w:sz w:val="32"/>
          <w:szCs w:val="32"/>
        </w:rPr>
        <w:t xml:space="preserve"> 120.71 </w:t>
      </w:r>
      <w:r>
        <w:rPr>
          <w:rFonts w:hint="eastAsia" w:ascii="仿宋_GB2312" w:eastAsia="仿宋_GB2312"/>
          <w:sz w:val="32"/>
          <w:szCs w:val="32"/>
        </w:rPr>
        <w:t>万元。</w:t>
      </w:r>
      <w:r>
        <w:rPr>
          <w:rFonts w:ascii="仿宋" w:hAnsi="仿宋" w:eastAsia="仿宋" w:cs="仿宋"/>
          <w:spacing w:val="-1"/>
          <w:sz w:val="32"/>
          <w:szCs w:val="32"/>
        </w:rPr>
        <w:t>较 2020 年预算增加 44.58 万元，</w:t>
      </w:r>
      <w:r>
        <w:rPr>
          <w:rFonts w:ascii="仿宋" w:hAnsi="仿宋" w:eastAsia="仿宋" w:cs="仿宋"/>
          <w:spacing w:val="-11"/>
          <w:sz w:val="32"/>
          <w:szCs w:val="32"/>
        </w:rPr>
        <w:t>增长</w:t>
      </w:r>
      <w:r>
        <w:rPr>
          <w:rFonts w:ascii="仿宋" w:hAnsi="仿宋" w:eastAsia="仿宋" w:cs="仿宋"/>
          <w:spacing w:val="-36"/>
          <w:sz w:val="32"/>
          <w:szCs w:val="32"/>
        </w:rPr>
        <w:t xml:space="preserve"> </w:t>
      </w:r>
      <w:r>
        <w:rPr>
          <w:rFonts w:ascii="仿宋" w:hAnsi="仿宋" w:eastAsia="仿宋" w:cs="仿宋"/>
          <w:spacing w:val="-11"/>
          <w:sz w:val="32"/>
          <w:szCs w:val="32"/>
        </w:rPr>
        <w:t>58.</w:t>
      </w:r>
      <w:r>
        <w:rPr>
          <w:rFonts w:hint="eastAsia" w:ascii="仿宋" w:hAnsi="仿宋" w:eastAsia="仿宋" w:cs="仿宋"/>
          <w:spacing w:val="-11"/>
          <w:sz w:val="32"/>
          <w:szCs w:val="32"/>
          <w:lang w:val="en-US" w:eastAsia="zh-CN"/>
        </w:rPr>
        <w:t>56</w:t>
      </w:r>
      <w:r>
        <w:rPr>
          <w:rFonts w:ascii="仿宋" w:hAnsi="仿宋" w:eastAsia="仿宋" w:cs="仿宋"/>
          <w:spacing w:val="-77"/>
          <w:sz w:val="32"/>
          <w:szCs w:val="32"/>
        </w:rPr>
        <w:t xml:space="preserve"> </w:t>
      </w:r>
      <w:r>
        <w:rPr>
          <w:rFonts w:ascii="仿宋" w:hAnsi="仿宋" w:eastAsia="仿宋" w:cs="仿宋"/>
          <w:spacing w:val="-11"/>
          <w:sz w:val="32"/>
          <w:szCs w:val="32"/>
        </w:rPr>
        <w:t>%。主要原因是：单位机构改革人员增加，机关运</w:t>
      </w:r>
      <w:r>
        <w:rPr>
          <w:rFonts w:ascii="仿宋" w:hAnsi="仿宋" w:eastAsia="仿宋" w:cs="仿宋"/>
          <w:spacing w:val="-3"/>
          <w:sz w:val="32"/>
          <w:szCs w:val="32"/>
        </w:rPr>
        <w:t>行经费相应增加。</w:t>
      </w:r>
    </w:p>
    <w:p>
      <w:pPr>
        <w:spacing w:before="228" w:line="192" w:lineRule="auto"/>
        <w:ind w:firstLine="644"/>
        <w:rPr>
          <w:rFonts w:ascii="楷体" w:hAnsi="楷体" w:eastAsia="楷体" w:cs="楷体"/>
          <w:spacing w:val="-25"/>
          <w:sz w:val="32"/>
          <w:szCs w:val="32"/>
        </w:rPr>
      </w:pPr>
      <w:r>
        <w:rPr>
          <w:rFonts w:ascii="楷体" w:hAnsi="楷体" w:eastAsia="楷体" w:cs="楷体"/>
          <w:spacing w:val="-25"/>
          <w:sz w:val="32"/>
          <w:szCs w:val="32"/>
        </w:rPr>
        <w:t>（四）国有资产占有使用情况</w:t>
      </w:r>
    </w:p>
    <w:p>
      <w:pPr>
        <w:spacing w:before="252" w:line="305" w:lineRule="auto"/>
        <w:ind w:left="25" w:right="11" w:firstLine="607"/>
        <w:rPr>
          <w:rFonts w:ascii="仿宋" w:hAnsi="仿宋" w:eastAsia="仿宋" w:cs="仿宋"/>
          <w:spacing w:val="-6"/>
          <w:sz w:val="32"/>
          <w:szCs w:val="32"/>
        </w:rPr>
      </w:pPr>
      <w:r>
        <w:rPr>
          <w:rFonts w:ascii="仿宋" w:hAnsi="仿宋" w:eastAsia="仿宋" w:cs="仿宋"/>
          <w:spacing w:val="-6"/>
          <w:sz w:val="32"/>
          <w:szCs w:val="32"/>
        </w:rPr>
        <w:t>截至 2020 年 12 月 31 日，高青县交通运输局所属各预算单位共有车辆 15 辆，其中，</w:t>
      </w:r>
      <w:r>
        <w:rPr>
          <w:rFonts w:hint="eastAsia" w:ascii="仿宋" w:hAnsi="仿宋" w:eastAsia="仿宋" w:cs="仿宋"/>
          <w:spacing w:val="-6"/>
          <w:sz w:val="32"/>
          <w:szCs w:val="32"/>
        </w:rPr>
        <w:t>实物保障用车</w:t>
      </w:r>
      <w:r>
        <w:rPr>
          <w:rFonts w:hint="eastAsia" w:ascii="仿宋" w:hAnsi="仿宋" w:eastAsia="仿宋" w:cs="仿宋"/>
          <w:spacing w:val="-6"/>
          <w:sz w:val="32"/>
          <w:szCs w:val="32"/>
          <w:lang w:val="en-US" w:eastAsia="zh-CN"/>
        </w:rPr>
        <w:t xml:space="preserve"> 0 </w:t>
      </w:r>
      <w:r>
        <w:rPr>
          <w:rFonts w:hint="eastAsia" w:ascii="仿宋" w:hAnsi="仿宋" w:eastAsia="仿宋" w:cs="仿宋"/>
          <w:spacing w:val="-6"/>
          <w:sz w:val="32"/>
          <w:szCs w:val="32"/>
        </w:rPr>
        <w:t>辆、机要通信用车</w:t>
      </w:r>
      <w:r>
        <w:rPr>
          <w:rFonts w:hint="eastAsia" w:ascii="仿宋" w:hAnsi="仿宋" w:eastAsia="仿宋" w:cs="仿宋"/>
          <w:spacing w:val="-6"/>
          <w:sz w:val="32"/>
          <w:szCs w:val="32"/>
          <w:lang w:val="en-US" w:eastAsia="zh-CN"/>
        </w:rPr>
        <w:t xml:space="preserve"> 0 </w:t>
      </w:r>
      <w:r>
        <w:rPr>
          <w:rFonts w:hint="eastAsia" w:ascii="仿宋" w:hAnsi="仿宋" w:eastAsia="仿宋" w:cs="仿宋"/>
          <w:spacing w:val="-6"/>
          <w:sz w:val="32"/>
          <w:szCs w:val="32"/>
        </w:rPr>
        <w:t>辆、应急保障用车</w:t>
      </w:r>
      <w:r>
        <w:rPr>
          <w:rFonts w:hint="eastAsia" w:ascii="仿宋" w:hAnsi="仿宋" w:eastAsia="仿宋" w:cs="仿宋"/>
          <w:spacing w:val="-6"/>
          <w:sz w:val="32"/>
          <w:szCs w:val="32"/>
          <w:lang w:val="en-US" w:eastAsia="zh-CN"/>
        </w:rPr>
        <w:t xml:space="preserve"> 0 </w:t>
      </w:r>
      <w:r>
        <w:rPr>
          <w:rFonts w:hint="eastAsia" w:ascii="仿宋" w:hAnsi="仿宋" w:eastAsia="仿宋" w:cs="仿宋"/>
          <w:spacing w:val="-6"/>
          <w:sz w:val="32"/>
          <w:szCs w:val="32"/>
        </w:rPr>
        <w:t>辆、行政执法用车</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辆，执法执勤用车</w:t>
      </w:r>
      <w:r>
        <w:rPr>
          <w:rFonts w:hint="eastAsia" w:ascii="仿宋" w:hAnsi="仿宋" w:eastAsia="仿宋" w:cs="仿宋"/>
          <w:spacing w:val="-6"/>
          <w:sz w:val="32"/>
          <w:szCs w:val="32"/>
          <w:lang w:val="en-US" w:eastAsia="zh-CN"/>
        </w:rPr>
        <w:t>15</w:t>
      </w:r>
      <w:r>
        <w:rPr>
          <w:rFonts w:hint="eastAsia" w:ascii="仿宋" w:hAnsi="仿宋" w:eastAsia="仿宋" w:cs="仿宋"/>
          <w:spacing w:val="-6"/>
          <w:sz w:val="32"/>
          <w:szCs w:val="32"/>
        </w:rPr>
        <w:t>辆，特种专业技术用车</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辆，离退休干部用车</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辆，事业单位业务用车</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辆，其他用车</w:t>
      </w:r>
      <w:r>
        <w:rPr>
          <w:rFonts w:hint="eastAsia" w:ascii="仿宋" w:hAnsi="仿宋" w:eastAsia="仿宋" w:cs="仿宋"/>
          <w:spacing w:val="-6"/>
          <w:sz w:val="32"/>
          <w:szCs w:val="32"/>
          <w:lang w:val="en-US" w:eastAsia="zh-CN"/>
        </w:rPr>
        <w:t>0</w:t>
      </w:r>
      <w:r>
        <w:rPr>
          <w:rFonts w:hint="eastAsia" w:ascii="仿宋" w:hAnsi="仿宋" w:eastAsia="仿宋" w:cs="仿宋"/>
          <w:spacing w:val="-6"/>
          <w:sz w:val="32"/>
          <w:szCs w:val="32"/>
        </w:rPr>
        <w:t>辆。</w:t>
      </w:r>
    </w:p>
    <w:p>
      <w:pPr>
        <w:spacing w:before="252" w:line="305" w:lineRule="auto"/>
        <w:ind w:left="25" w:right="11" w:firstLine="607"/>
        <w:rPr>
          <w:rFonts w:ascii="仿宋" w:hAnsi="仿宋" w:eastAsia="仿宋" w:cs="仿宋"/>
          <w:sz w:val="32"/>
          <w:szCs w:val="32"/>
        </w:rPr>
      </w:pPr>
      <w:r>
        <w:rPr>
          <w:rFonts w:ascii="仿宋" w:hAnsi="仿宋" w:eastAsia="仿宋" w:cs="仿宋"/>
          <w:spacing w:val="-6"/>
          <w:sz w:val="32"/>
          <w:szCs w:val="32"/>
        </w:rPr>
        <w:t>单位价值</w:t>
      </w:r>
      <w:r>
        <w:rPr>
          <w:rFonts w:ascii="仿宋" w:hAnsi="仿宋" w:eastAsia="仿宋" w:cs="仿宋"/>
          <w:spacing w:val="-60"/>
          <w:sz w:val="32"/>
          <w:szCs w:val="32"/>
        </w:rPr>
        <w:t xml:space="preserve"> </w:t>
      </w:r>
      <w:r>
        <w:rPr>
          <w:rFonts w:ascii="仿宋" w:hAnsi="仿宋" w:eastAsia="仿宋" w:cs="仿宋"/>
          <w:spacing w:val="-6"/>
          <w:sz w:val="32"/>
          <w:szCs w:val="32"/>
        </w:rPr>
        <w:t>50</w:t>
      </w:r>
      <w:r>
        <w:rPr>
          <w:rFonts w:ascii="仿宋" w:hAnsi="仿宋" w:eastAsia="仿宋" w:cs="仿宋"/>
          <w:spacing w:val="-59"/>
          <w:sz w:val="32"/>
          <w:szCs w:val="32"/>
        </w:rPr>
        <w:t xml:space="preserve"> </w:t>
      </w:r>
      <w:r>
        <w:rPr>
          <w:rFonts w:ascii="仿宋" w:hAnsi="仿宋" w:eastAsia="仿宋" w:cs="仿宋"/>
          <w:spacing w:val="-6"/>
          <w:sz w:val="32"/>
          <w:szCs w:val="32"/>
        </w:rPr>
        <w:t>万元</w:t>
      </w:r>
      <w:r>
        <w:rPr>
          <w:rFonts w:ascii="仿宋" w:hAnsi="仿宋" w:eastAsia="仿宋" w:cs="仿宋"/>
          <w:spacing w:val="-5"/>
          <w:sz w:val="32"/>
          <w:szCs w:val="32"/>
        </w:rPr>
        <w:t>以上通用设备</w:t>
      </w:r>
      <w:r>
        <w:rPr>
          <w:rFonts w:ascii="仿宋" w:hAnsi="仿宋" w:eastAsia="仿宋" w:cs="仿宋"/>
          <w:spacing w:val="-66"/>
          <w:sz w:val="32"/>
          <w:szCs w:val="32"/>
        </w:rPr>
        <w:t xml:space="preserve"> </w:t>
      </w:r>
      <w:r>
        <w:rPr>
          <w:rFonts w:ascii="仿宋" w:hAnsi="仿宋" w:eastAsia="仿宋" w:cs="仿宋"/>
          <w:spacing w:val="-5"/>
          <w:sz w:val="32"/>
          <w:szCs w:val="32"/>
        </w:rPr>
        <w:t>0</w:t>
      </w:r>
      <w:r>
        <w:rPr>
          <w:rFonts w:ascii="仿宋" w:hAnsi="仿宋" w:eastAsia="仿宋" w:cs="仿宋"/>
          <w:spacing w:val="-28"/>
          <w:sz w:val="32"/>
          <w:szCs w:val="32"/>
        </w:rPr>
        <w:t xml:space="preserve"> </w:t>
      </w:r>
      <w:r>
        <w:rPr>
          <w:rFonts w:ascii="仿宋" w:hAnsi="仿宋" w:eastAsia="仿宋" w:cs="仿宋"/>
          <w:spacing w:val="-5"/>
          <w:sz w:val="32"/>
          <w:szCs w:val="32"/>
        </w:rPr>
        <w:t>台（</w:t>
      </w:r>
      <w:r>
        <w:rPr>
          <w:rFonts w:hint="eastAsia" w:ascii="仿宋" w:hAnsi="仿宋" w:eastAsia="仿宋" w:cs="仿宋"/>
          <w:spacing w:val="-5"/>
          <w:sz w:val="32"/>
          <w:szCs w:val="32"/>
          <w:lang w:val="en-US" w:eastAsia="zh-CN"/>
        </w:rPr>
        <w:t>件、</w:t>
      </w:r>
      <w:r>
        <w:rPr>
          <w:rFonts w:ascii="仿宋" w:hAnsi="仿宋" w:eastAsia="仿宋" w:cs="仿宋"/>
          <w:spacing w:val="-5"/>
          <w:sz w:val="32"/>
          <w:szCs w:val="32"/>
        </w:rPr>
        <w:t>套</w:t>
      </w:r>
      <w:r>
        <w:rPr>
          <w:rFonts w:ascii="仿宋" w:hAnsi="仿宋" w:eastAsia="仿宋" w:cs="仿宋"/>
          <w:spacing w:val="-99"/>
          <w:sz w:val="32"/>
          <w:szCs w:val="32"/>
        </w:rPr>
        <w:t>）</w:t>
      </w:r>
      <w:r>
        <w:rPr>
          <w:rFonts w:ascii="仿宋" w:hAnsi="仿宋" w:eastAsia="仿宋" w:cs="仿宋"/>
          <w:spacing w:val="15"/>
          <w:sz w:val="32"/>
          <w:szCs w:val="32"/>
        </w:rPr>
        <w:t xml:space="preserve"> </w:t>
      </w:r>
      <w:r>
        <w:rPr>
          <w:rFonts w:ascii="仿宋" w:hAnsi="仿宋" w:eastAsia="仿宋" w:cs="仿宋"/>
          <w:spacing w:val="-99"/>
          <w:sz w:val="32"/>
          <w:szCs w:val="32"/>
        </w:rPr>
        <w:t>，</w:t>
      </w:r>
      <w:r>
        <w:rPr>
          <w:rFonts w:ascii="仿宋" w:hAnsi="仿宋" w:eastAsia="仿宋" w:cs="仿宋"/>
          <w:spacing w:val="-5"/>
          <w:sz w:val="32"/>
          <w:szCs w:val="32"/>
        </w:rPr>
        <w:t>单位价值</w:t>
      </w:r>
      <w:r>
        <w:rPr>
          <w:rFonts w:ascii="仿宋" w:hAnsi="仿宋" w:eastAsia="仿宋" w:cs="仿宋"/>
          <w:spacing w:val="-43"/>
          <w:sz w:val="32"/>
          <w:szCs w:val="32"/>
        </w:rPr>
        <w:t xml:space="preserve"> </w:t>
      </w:r>
      <w:r>
        <w:rPr>
          <w:rFonts w:ascii="仿宋" w:hAnsi="仿宋" w:eastAsia="仿宋" w:cs="仿宋"/>
          <w:spacing w:val="-5"/>
          <w:sz w:val="32"/>
          <w:szCs w:val="32"/>
        </w:rPr>
        <w:t>100</w:t>
      </w:r>
      <w:r>
        <w:rPr>
          <w:rFonts w:ascii="仿宋" w:hAnsi="仿宋" w:eastAsia="仿宋" w:cs="仿宋"/>
          <w:spacing w:val="-58"/>
          <w:sz w:val="32"/>
          <w:szCs w:val="32"/>
        </w:rPr>
        <w:t xml:space="preserve"> </w:t>
      </w:r>
      <w:r>
        <w:rPr>
          <w:rFonts w:ascii="仿宋" w:hAnsi="仿宋" w:eastAsia="仿宋" w:cs="仿宋"/>
          <w:spacing w:val="-5"/>
          <w:sz w:val="32"/>
          <w:szCs w:val="32"/>
        </w:rPr>
        <w:t>万元以上大型设备</w:t>
      </w:r>
      <w:r>
        <w:rPr>
          <w:rFonts w:ascii="仿宋" w:hAnsi="仿宋" w:eastAsia="仿宋" w:cs="仿宋"/>
          <w:sz w:val="32"/>
          <w:szCs w:val="32"/>
        </w:rPr>
        <w:t xml:space="preserve"> </w:t>
      </w:r>
      <w:r>
        <w:rPr>
          <w:rFonts w:ascii="仿宋" w:hAnsi="仿宋" w:eastAsia="仿宋" w:cs="仿宋"/>
          <w:spacing w:val="-15"/>
          <w:w w:val="98"/>
          <w:sz w:val="32"/>
          <w:szCs w:val="32"/>
        </w:rPr>
        <w:t>0台</w:t>
      </w:r>
      <w:r>
        <w:rPr>
          <w:rFonts w:hint="eastAsia" w:ascii="仿宋" w:hAnsi="仿宋" w:eastAsia="仿宋" w:cs="仿宋"/>
          <w:spacing w:val="-15"/>
          <w:w w:val="98"/>
          <w:sz w:val="32"/>
          <w:szCs w:val="32"/>
          <w:lang w:eastAsia="zh-CN"/>
        </w:rPr>
        <w:t>（</w:t>
      </w:r>
      <w:r>
        <w:rPr>
          <w:rFonts w:ascii="仿宋" w:hAnsi="仿宋" w:eastAsia="仿宋" w:cs="仿宋"/>
          <w:spacing w:val="-15"/>
          <w:w w:val="98"/>
          <w:sz w:val="32"/>
          <w:szCs w:val="32"/>
        </w:rPr>
        <w:t>件、套）</w:t>
      </w:r>
      <w:r>
        <w:rPr>
          <w:rFonts w:ascii="仿宋" w:hAnsi="仿宋" w:eastAsia="仿宋" w:cs="仿宋"/>
          <w:spacing w:val="13"/>
          <w:sz w:val="32"/>
          <w:szCs w:val="32"/>
        </w:rPr>
        <w:t xml:space="preserve"> </w:t>
      </w:r>
      <w:r>
        <w:rPr>
          <w:rFonts w:ascii="仿宋" w:hAnsi="仿宋" w:eastAsia="仿宋" w:cs="仿宋"/>
          <w:spacing w:val="-15"/>
          <w:w w:val="98"/>
          <w:sz w:val="32"/>
          <w:szCs w:val="32"/>
        </w:rPr>
        <w:t>。</w:t>
      </w:r>
    </w:p>
    <w:p>
      <w:pPr>
        <w:spacing w:before="252" w:line="305" w:lineRule="auto"/>
        <w:ind w:left="25" w:right="11" w:firstLine="607"/>
        <w:rPr>
          <w:rFonts w:ascii="仿宋" w:hAnsi="仿宋" w:eastAsia="仿宋" w:cs="仿宋"/>
          <w:spacing w:val="-6"/>
          <w:sz w:val="32"/>
          <w:szCs w:val="32"/>
        </w:rPr>
      </w:pPr>
      <w:r>
        <w:rPr>
          <w:rFonts w:hint="eastAsia" w:ascii="仿宋" w:hAnsi="仿宋" w:eastAsia="仿宋" w:cs="仿宋"/>
          <w:spacing w:val="-6"/>
          <w:sz w:val="32"/>
          <w:szCs w:val="32"/>
        </w:rPr>
        <w:t>2021年</w:t>
      </w:r>
      <w:r>
        <w:rPr>
          <w:rFonts w:hint="eastAsia" w:ascii="仿宋" w:hAnsi="仿宋" w:eastAsia="仿宋" w:cs="仿宋"/>
          <w:spacing w:val="-6"/>
          <w:sz w:val="32"/>
          <w:szCs w:val="32"/>
          <w:lang w:eastAsia="zh-CN"/>
        </w:rPr>
        <w:t>单位</w:t>
      </w:r>
      <w:r>
        <w:rPr>
          <w:rFonts w:hint="eastAsia" w:ascii="仿宋" w:hAnsi="仿宋" w:eastAsia="仿宋" w:cs="仿宋"/>
          <w:spacing w:val="-6"/>
          <w:sz w:val="32"/>
          <w:szCs w:val="32"/>
        </w:rPr>
        <w:t>预算未安排购置单位价值</w:t>
      </w:r>
      <w:r>
        <w:rPr>
          <w:rFonts w:ascii="仿宋" w:hAnsi="仿宋" w:eastAsia="仿宋" w:cs="仿宋"/>
          <w:spacing w:val="-6"/>
          <w:sz w:val="32"/>
          <w:szCs w:val="32"/>
        </w:rPr>
        <w:t>5</w:t>
      </w:r>
      <w:r>
        <w:rPr>
          <w:rFonts w:hint="eastAsia" w:ascii="仿宋" w:hAnsi="仿宋" w:eastAsia="仿宋" w:cs="仿宋"/>
          <w:spacing w:val="-6"/>
          <w:sz w:val="32"/>
          <w:szCs w:val="32"/>
        </w:rPr>
        <w:t>0万元以上通用设备或者单位价值</w:t>
      </w:r>
      <w:r>
        <w:rPr>
          <w:rFonts w:ascii="仿宋" w:hAnsi="仿宋" w:eastAsia="仿宋" w:cs="仿宋"/>
          <w:spacing w:val="-6"/>
          <w:sz w:val="32"/>
          <w:szCs w:val="32"/>
        </w:rPr>
        <w:t>100</w:t>
      </w:r>
      <w:r>
        <w:rPr>
          <w:rFonts w:hint="eastAsia" w:ascii="仿宋" w:hAnsi="仿宋" w:eastAsia="仿宋" w:cs="仿宋"/>
          <w:spacing w:val="-6"/>
          <w:sz w:val="32"/>
          <w:szCs w:val="32"/>
        </w:rPr>
        <w:t>万元以上专用设备。</w:t>
      </w:r>
    </w:p>
    <w:p>
      <w:pPr>
        <w:spacing w:before="228" w:line="192" w:lineRule="auto"/>
        <w:ind w:firstLine="644"/>
        <w:rPr>
          <w:rFonts w:ascii="楷体" w:hAnsi="楷体" w:eastAsia="楷体" w:cs="楷体"/>
          <w:spacing w:val="-25"/>
          <w:sz w:val="32"/>
          <w:szCs w:val="32"/>
        </w:rPr>
      </w:pPr>
      <w:r>
        <w:rPr>
          <w:rFonts w:ascii="楷体" w:hAnsi="楷体" w:eastAsia="楷体" w:cs="楷体"/>
          <w:spacing w:val="-25"/>
          <w:sz w:val="32"/>
          <w:szCs w:val="32"/>
        </w:rPr>
        <w:t>（五）绩效目标设置情况</w:t>
      </w:r>
    </w:p>
    <w:p>
      <w:pPr>
        <w:spacing w:before="269" w:line="262" w:lineRule="auto"/>
        <w:ind w:left="40" w:right="14" w:firstLine="624"/>
        <w:rPr>
          <w:rFonts w:hint="eastAsia" w:ascii="仿宋" w:hAnsi="仿宋" w:eastAsia="仿宋" w:cs="仿宋"/>
          <w:spacing w:val="-6"/>
          <w:sz w:val="32"/>
          <w:szCs w:val="32"/>
          <w:lang w:eastAsia="zh-CN"/>
        </w:rPr>
      </w:pPr>
      <w:r>
        <w:rPr>
          <w:rFonts w:hint="eastAsia" w:ascii="仿宋" w:hAnsi="仿宋" w:eastAsia="仿宋" w:cs="仿宋"/>
          <w:spacing w:val="-6"/>
          <w:sz w:val="32"/>
          <w:szCs w:val="32"/>
        </w:rPr>
        <w:t>高青县交通运输局2021年项目支出均设置了绩效目标，涉及财政拨款 45.00 万元。编制了2021年</w:t>
      </w:r>
      <w:r>
        <w:rPr>
          <w:rFonts w:hint="eastAsia" w:ascii="仿宋" w:hAnsi="仿宋" w:eastAsia="仿宋" w:cs="仿宋"/>
          <w:spacing w:val="-6"/>
          <w:sz w:val="32"/>
          <w:szCs w:val="32"/>
          <w:lang w:eastAsia="zh-CN"/>
        </w:rPr>
        <w:t>单位</w:t>
      </w:r>
      <w:r>
        <w:rPr>
          <w:rFonts w:hint="eastAsia" w:ascii="仿宋" w:hAnsi="仿宋" w:eastAsia="仿宋" w:cs="仿宋"/>
          <w:spacing w:val="-6"/>
          <w:sz w:val="32"/>
          <w:szCs w:val="32"/>
        </w:rPr>
        <w:t>整体绩效目标</w:t>
      </w:r>
      <w:r>
        <w:rPr>
          <w:rFonts w:hint="eastAsia" w:ascii="仿宋" w:hAnsi="仿宋" w:eastAsia="仿宋" w:cs="仿宋"/>
          <w:spacing w:val="-6"/>
          <w:sz w:val="32"/>
          <w:szCs w:val="32"/>
          <w:lang w:eastAsia="zh-CN"/>
        </w:rPr>
        <w:t>。</w:t>
      </w:r>
    </w:p>
    <w:p>
      <w:pPr>
        <w:spacing w:before="252" w:line="188" w:lineRule="auto"/>
        <w:ind w:firstLine="676"/>
        <w:rPr>
          <w:rFonts w:hint="default" w:eastAsia="仿宋"/>
          <w:lang w:val="en-US" w:eastAsia="zh-CN"/>
        </w:rPr>
        <w:sectPr>
          <w:footerReference r:id="rId16" w:type="default"/>
          <w:pgSz w:w="11906" w:h="16839"/>
          <w:pgMar w:top="1431" w:right="1785" w:bottom="1435" w:left="1785" w:header="0" w:footer="1267" w:gutter="0"/>
          <w:pgNumType w:fmt="decimal"/>
          <w:cols w:space="720" w:num="1"/>
        </w:sectPr>
      </w:pPr>
      <w:r>
        <w:rPr>
          <w:rFonts w:hint="eastAsia" w:ascii="仿宋_GB2312" w:eastAsia="仿宋_GB2312"/>
          <w:b/>
          <w:bCs/>
          <w:kern w:val="0"/>
          <w:sz w:val="32"/>
          <w:szCs w:val="32"/>
        </w:rPr>
        <w:t>本</w:t>
      </w:r>
      <w:r>
        <w:rPr>
          <w:rFonts w:hint="eastAsia" w:ascii="仿宋_GB2312" w:eastAsia="仿宋_GB2312"/>
          <w:b/>
          <w:bCs/>
          <w:kern w:val="0"/>
          <w:sz w:val="32"/>
          <w:szCs w:val="32"/>
          <w:lang w:eastAsia="zh-CN"/>
        </w:rPr>
        <w:t>单位</w:t>
      </w:r>
      <w:r>
        <w:rPr>
          <w:rFonts w:hint="eastAsia" w:ascii="仿宋_GB2312" w:eastAsia="仿宋_GB2312"/>
          <w:b/>
          <w:bCs/>
          <w:kern w:val="0"/>
          <w:sz w:val="32"/>
          <w:szCs w:val="32"/>
        </w:rPr>
        <w:t>所主管专项资金的绩效目标表如下：</w:t>
      </w:r>
    </w:p>
    <w:tbl>
      <w:tblPr>
        <w:tblStyle w:val="5"/>
        <w:tblW w:w="9836" w:type="dxa"/>
        <w:jc w:val="center"/>
        <w:tblLayout w:type="fixed"/>
        <w:tblCellMar>
          <w:top w:w="0" w:type="dxa"/>
          <w:left w:w="108" w:type="dxa"/>
          <w:bottom w:w="0" w:type="dxa"/>
          <w:right w:w="108" w:type="dxa"/>
        </w:tblCellMar>
      </w:tblPr>
      <w:tblGrid>
        <w:gridCol w:w="1041"/>
        <w:gridCol w:w="1095"/>
        <w:gridCol w:w="1050"/>
        <w:gridCol w:w="526"/>
        <w:gridCol w:w="1140"/>
        <w:gridCol w:w="892"/>
        <w:gridCol w:w="1357"/>
        <w:gridCol w:w="1635"/>
        <w:gridCol w:w="1100"/>
      </w:tblGrid>
      <w:tr>
        <w:tblPrEx>
          <w:tblCellMar>
            <w:top w:w="0" w:type="dxa"/>
            <w:left w:w="108" w:type="dxa"/>
            <w:bottom w:w="0" w:type="dxa"/>
            <w:right w:w="108" w:type="dxa"/>
          </w:tblCellMar>
        </w:tblPrEx>
        <w:trPr>
          <w:trHeight w:val="817" w:hRule="atLeast"/>
          <w:jc w:val="center"/>
        </w:trPr>
        <w:tc>
          <w:tcPr>
            <w:tcW w:w="9836" w:type="dxa"/>
            <w:gridSpan w:val="9"/>
            <w:tcBorders>
              <w:top w:val="nil"/>
              <w:left w:val="nil"/>
              <w:bottom w:val="single" w:color="000000" w:sz="4" w:space="0"/>
              <w:right w:val="nil"/>
            </w:tcBorders>
            <w:vAlign w:val="center"/>
          </w:tcPr>
          <w:p>
            <w:pPr>
              <w:widowControl/>
              <w:jc w:val="center"/>
              <w:rPr>
                <w:rFonts w:ascii="方正小标宋简体" w:eastAsia="方正小标宋简体"/>
                <w:kern w:val="0"/>
                <w:sz w:val="40"/>
                <w:szCs w:val="40"/>
              </w:rPr>
            </w:pPr>
            <w:r>
              <w:rPr>
                <w:rFonts w:hint="eastAsia" w:ascii="方正小标宋简体" w:hAnsi="方正小标宋简体" w:eastAsia="方正小标宋简体" w:cs="方正小标宋简体"/>
                <w:kern w:val="0"/>
                <w:sz w:val="36"/>
                <w:szCs w:val="36"/>
                <w:lang w:val="en-US" w:eastAsia="zh-CN"/>
              </w:rPr>
              <w:t>2021年预算</w:t>
            </w:r>
            <w:r>
              <w:rPr>
                <w:rFonts w:hint="eastAsia" w:ascii="方正小标宋简体" w:hAnsi="方正小标宋简体" w:eastAsia="方正小标宋简体" w:cs="方正小标宋简体"/>
                <w:kern w:val="0"/>
                <w:sz w:val="36"/>
                <w:szCs w:val="36"/>
              </w:rPr>
              <w:t>项目支出绩效目标表</w:t>
            </w:r>
          </w:p>
        </w:tc>
      </w:tr>
      <w:tr>
        <w:tblPrEx>
          <w:tblCellMar>
            <w:top w:w="0" w:type="dxa"/>
            <w:left w:w="108" w:type="dxa"/>
            <w:bottom w:w="0" w:type="dxa"/>
            <w:right w:w="108" w:type="dxa"/>
          </w:tblCellMar>
        </w:tblPrEx>
        <w:trPr>
          <w:cantSplit/>
          <w:trHeight w:val="567" w:hRule="atLeast"/>
          <w:jc w:val="center"/>
        </w:trPr>
        <w:tc>
          <w:tcPr>
            <w:tcW w:w="1041" w:type="dxa"/>
            <w:tcBorders>
              <w:top w:val="nil"/>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8795" w:type="dxa"/>
            <w:gridSpan w:val="8"/>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kern w:val="0"/>
                <w:sz w:val="20"/>
                <w:szCs w:val="20"/>
              </w:rPr>
            </w:pPr>
            <w:r>
              <w:rPr>
                <w:rFonts w:ascii="宋体" w:hAnsi="宋体" w:eastAsia="宋体" w:cs="宋体"/>
                <w:spacing w:val="-2"/>
                <w:sz w:val="20"/>
                <w:szCs w:val="20"/>
              </w:rPr>
              <w:t>安全生产和教育培训经费</w:t>
            </w:r>
          </w:p>
        </w:tc>
      </w:tr>
      <w:tr>
        <w:tblPrEx>
          <w:tblCellMar>
            <w:top w:w="0" w:type="dxa"/>
            <w:left w:w="108" w:type="dxa"/>
            <w:bottom w:w="0" w:type="dxa"/>
            <w:right w:w="108" w:type="dxa"/>
          </w:tblCellMar>
        </w:tblPrEx>
        <w:trPr>
          <w:cantSplit/>
          <w:trHeight w:val="567" w:hRule="atLeast"/>
          <w:jc w:val="center"/>
        </w:trPr>
        <w:tc>
          <w:tcPr>
            <w:tcW w:w="1041" w:type="dxa"/>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kern w:val="0"/>
                <w:sz w:val="20"/>
                <w:szCs w:val="20"/>
                <w:lang w:eastAsia="zh-CN"/>
              </w:rPr>
            </w:pPr>
            <w:r>
              <w:rPr>
                <w:rFonts w:hint="eastAsia" w:ascii="宋体" w:hAnsi="宋体"/>
                <w:kern w:val="0"/>
                <w:sz w:val="20"/>
                <w:szCs w:val="20"/>
              </w:rPr>
              <w:t>主管</w:t>
            </w:r>
            <w:r>
              <w:rPr>
                <w:rFonts w:hint="eastAsia" w:ascii="宋体" w:hAnsi="宋体" w:eastAsia="宋体"/>
                <w:kern w:val="0"/>
                <w:sz w:val="20"/>
                <w:szCs w:val="20"/>
                <w:lang w:eastAsia="zh-CN"/>
              </w:rPr>
              <w:t>单位</w:t>
            </w:r>
          </w:p>
        </w:tc>
        <w:tc>
          <w:tcPr>
            <w:tcW w:w="8795" w:type="dxa"/>
            <w:gridSpan w:val="8"/>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kern w:val="0"/>
                <w:sz w:val="20"/>
                <w:szCs w:val="20"/>
                <w:lang w:eastAsia="zh-CN"/>
              </w:rPr>
            </w:pPr>
            <w:r>
              <w:rPr>
                <w:rFonts w:hint="eastAsia" w:ascii="宋体" w:hAnsi="宋体"/>
                <w:kern w:val="0"/>
                <w:sz w:val="20"/>
                <w:szCs w:val="20"/>
                <w:lang w:eastAsia="zh-CN"/>
              </w:rPr>
              <w:t>高青县交通运输局</w:t>
            </w:r>
          </w:p>
        </w:tc>
      </w:tr>
      <w:tr>
        <w:tblPrEx>
          <w:tblCellMar>
            <w:top w:w="0" w:type="dxa"/>
            <w:left w:w="108" w:type="dxa"/>
            <w:bottom w:w="0" w:type="dxa"/>
            <w:right w:w="108" w:type="dxa"/>
          </w:tblCellMar>
        </w:tblPrEx>
        <w:trPr>
          <w:cantSplit/>
          <w:trHeight w:val="567" w:hRule="atLeast"/>
          <w:jc w:val="center"/>
        </w:trPr>
        <w:tc>
          <w:tcPr>
            <w:tcW w:w="1041" w:type="dxa"/>
            <w:tcBorders>
              <w:top w:val="nil"/>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资金情况</w:t>
            </w:r>
          </w:p>
        </w:tc>
        <w:tc>
          <w:tcPr>
            <w:tcW w:w="2671" w:type="dxa"/>
            <w:gridSpan w:val="3"/>
            <w:tcBorders>
              <w:top w:val="nil"/>
              <w:left w:val="nil"/>
              <w:bottom w:val="single" w:color="000000" w:sz="4" w:space="0"/>
              <w:right w:val="single" w:color="000000" w:sz="4" w:space="0"/>
            </w:tcBorders>
            <w:vAlign w:val="center"/>
          </w:tcPr>
          <w:p>
            <w:pPr>
              <w:widowControl/>
              <w:jc w:val="left"/>
              <w:rPr>
                <w:rFonts w:hint="eastAsia" w:ascii="宋体" w:hAnsi="宋体" w:eastAsia="宋体"/>
                <w:kern w:val="0"/>
                <w:sz w:val="20"/>
                <w:szCs w:val="20"/>
                <w:lang w:eastAsia="zh-CN"/>
              </w:rPr>
            </w:pPr>
            <w:r>
              <w:rPr>
                <w:rFonts w:hint="eastAsia" w:ascii="宋体" w:hAnsi="宋体"/>
                <w:kern w:val="0"/>
                <w:sz w:val="20"/>
                <w:szCs w:val="20"/>
                <w:lang w:eastAsia="zh-CN"/>
              </w:rPr>
              <w:t>财政拨款年度金额：</w:t>
            </w:r>
          </w:p>
        </w:tc>
        <w:tc>
          <w:tcPr>
            <w:tcW w:w="6124" w:type="dxa"/>
            <w:gridSpan w:val="5"/>
            <w:tcBorders>
              <w:top w:val="nil"/>
              <w:left w:val="nil"/>
              <w:bottom w:val="single" w:color="000000" w:sz="4" w:space="0"/>
              <w:right w:val="single" w:color="000000" w:sz="4" w:space="0"/>
            </w:tcBorders>
            <w:vAlign w:val="center"/>
          </w:tcPr>
          <w:p>
            <w:pPr>
              <w:widowControl/>
              <w:jc w:val="left"/>
              <w:rPr>
                <w:rFonts w:hint="default" w:ascii="宋体" w:hAnsi="宋体" w:eastAsia="宋体"/>
                <w:kern w:val="0"/>
                <w:sz w:val="20"/>
                <w:szCs w:val="20"/>
                <w:lang w:val="en-US" w:eastAsia="zh-CN"/>
              </w:rPr>
            </w:pPr>
            <w:r>
              <w:rPr>
                <w:rFonts w:hint="eastAsia" w:ascii="宋体" w:hAnsi="宋体"/>
                <w:kern w:val="0"/>
                <w:sz w:val="20"/>
                <w:szCs w:val="20"/>
                <w:lang w:val="en-US" w:eastAsia="zh-CN"/>
              </w:rPr>
              <w:t>10万元</w:t>
            </w:r>
          </w:p>
        </w:tc>
      </w:tr>
      <w:tr>
        <w:tblPrEx>
          <w:tblCellMar>
            <w:top w:w="0" w:type="dxa"/>
            <w:left w:w="108" w:type="dxa"/>
            <w:bottom w:w="0" w:type="dxa"/>
            <w:right w:w="108" w:type="dxa"/>
          </w:tblCellMar>
        </w:tblPrEx>
        <w:trPr>
          <w:trHeight w:val="397" w:hRule="atLeast"/>
          <w:jc w:val="center"/>
        </w:trPr>
        <w:tc>
          <w:tcPr>
            <w:tcW w:w="1041" w:type="dxa"/>
            <w:vMerge w:val="restart"/>
            <w:tcBorders>
              <w:top w:val="nil"/>
              <w:left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总体目标</w:t>
            </w:r>
          </w:p>
        </w:tc>
        <w:tc>
          <w:tcPr>
            <w:tcW w:w="4703"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 w:val="20"/>
                <w:szCs w:val="20"/>
              </w:rPr>
            </w:pPr>
            <w:r>
              <w:rPr>
                <w:rFonts w:hint="eastAsia" w:ascii="宋体" w:hAnsi="宋体"/>
                <w:b/>
                <w:bCs/>
                <w:kern w:val="0"/>
                <w:sz w:val="20"/>
                <w:szCs w:val="20"/>
              </w:rPr>
              <w:t>长期目标（</w:t>
            </w:r>
            <w:r>
              <w:rPr>
                <w:rFonts w:hint="eastAsia" w:ascii="宋体" w:hAnsi="宋体"/>
                <w:b/>
                <w:bCs/>
                <w:kern w:val="0"/>
                <w:sz w:val="20"/>
                <w:szCs w:val="20"/>
                <w:lang w:val="en-US" w:eastAsia="zh-CN"/>
              </w:rPr>
              <w:t>2021</w:t>
            </w:r>
            <w:r>
              <w:rPr>
                <w:rFonts w:hint="eastAsia" w:ascii="宋体" w:hAnsi="宋体"/>
                <w:b/>
                <w:bCs/>
                <w:kern w:val="0"/>
                <w:sz w:val="20"/>
                <w:szCs w:val="20"/>
              </w:rPr>
              <w:t>年-</w:t>
            </w:r>
            <w:r>
              <w:rPr>
                <w:rFonts w:hint="eastAsia" w:ascii="宋体" w:hAnsi="宋体"/>
                <w:b/>
                <w:bCs/>
                <w:kern w:val="0"/>
                <w:sz w:val="20"/>
                <w:szCs w:val="20"/>
                <w:lang w:val="en-US" w:eastAsia="zh-CN"/>
              </w:rPr>
              <w:t>2021</w:t>
            </w:r>
            <w:r>
              <w:rPr>
                <w:rFonts w:hint="eastAsia" w:ascii="宋体" w:hAnsi="宋体"/>
                <w:b/>
                <w:bCs/>
                <w:kern w:val="0"/>
                <w:sz w:val="20"/>
                <w:szCs w:val="20"/>
              </w:rPr>
              <w:t>年)</w:t>
            </w:r>
          </w:p>
        </w:tc>
        <w:tc>
          <w:tcPr>
            <w:tcW w:w="4092"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 w:val="20"/>
                <w:szCs w:val="20"/>
              </w:rPr>
            </w:pPr>
            <w:r>
              <w:rPr>
                <w:rFonts w:hint="eastAsia" w:ascii="宋体" w:hAnsi="宋体"/>
                <w:b/>
                <w:bCs/>
                <w:kern w:val="0"/>
                <w:sz w:val="20"/>
                <w:szCs w:val="20"/>
              </w:rPr>
              <w:t>年度目标（202</w:t>
            </w:r>
            <w:r>
              <w:rPr>
                <w:rFonts w:hint="eastAsia" w:ascii="宋体" w:hAnsi="宋体"/>
                <w:b/>
                <w:bCs/>
                <w:kern w:val="0"/>
                <w:sz w:val="20"/>
                <w:szCs w:val="20"/>
                <w:lang w:val="en-US" w:eastAsia="zh-CN"/>
              </w:rPr>
              <w:t>1</w:t>
            </w:r>
            <w:r>
              <w:rPr>
                <w:rFonts w:hint="eastAsia" w:ascii="宋体" w:hAnsi="宋体"/>
                <w:b/>
                <w:bCs/>
                <w:kern w:val="0"/>
                <w:sz w:val="20"/>
                <w:szCs w:val="20"/>
              </w:rPr>
              <w:t>年）</w:t>
            </w:r>
          </w:p>
        </w:tc>
      </w:tr>
      <w:tr>
        <w:tblPrEx>
          <w:tblCellMar>
            <w:top w:w="0" w:type="dxa"/>
            <w:left w:w="108" w:type="dxa"/>
            <w:bottom w:w="0" w:type="dxa"/>
            <w:right w:w="108" w:type="dxa"/>
          </w:tblCellMar>
        </w:tblPrEx>
        <w:trPr>
          <w:trHeight w:val="1247" w:hRule="atLeast"/>
          <w:jc w:val="center"/>
        </w:trPr>
        <w:tc>
          <w:tcPr>
            <w:tcW w:w="1041"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kern w:val="0"/>
                <w:sz w:val="20"/>
                <w:szCs w:val="20"/>
              </w:rPr>
            </w:pPr>
          </w:p>
        </w:tc>
        <w:tc>
          <w:tcPr>
            <w:tcW w:w="4703" w:type="dxa"/>
            <w:gridSpan w:val="5"/>
            <w:tcBorders>
              <w:top w:val="single" w:color="000000" w:sz="4" w:space="0"/>
              <w:left w:val="nil"/>
              <w:bottom w:val="single" w:color="000000" w:sz="4" w:space="0"/>
              <w:right w:val="single" w:color="000000" w:sz="4" w:space="0"/>
            </w:tcBorders>
            <w:vAlign w:val="center"/>
          </w:tcPr>
          <w:p>
            <w:pPr>
              <w:widowControl/>
              <w:ind w:firstLine="396" w:firstLineChars="200"/>
              <w:jc w:val="left"/>
              <w:rPr>
                <w:rFonts w:hint="eastAsia" w:ascii="宋体" w:hAnsi="宋体" w:eastAsia="宋体"/>
                <w:color w:val="000000"/>
                <w:kern w:val="0"/>
                <w:sz w:val="20"/>
                <w:szCs w:val="20"/>
                <w:lang w:eastAsia="zh-CN"/>
              </w:rPr>
            </w:pPr>
            <w:r>
              <w:rPr>
                <w:rFonts w:ascii="宋体" w:hAnsi="宋体" w:eastAsia="宋体" w:cs="宋体"/>
                <w:spacing w:val="-1"/>
                <w:sz w:val="20"/>
                <w:szCs w:val="20"/>
              </w:rPr>
              <w:t>聘请安全生产专家对全县交通运输行业开展安全生产教育培训工作，确保交通运输行业安全稳定</w:t>
            </w:r>
            <w:r>
              <w:rPr>
                <w:rFonts w:hint="eastAsia" w:ascii="宋体" w:hAnsi="宋体"/>
                <w:kern w:val="0"/>
                <w:sz w:val="20"/>
                <w:szCs w:val="20"/>
                <w:lang w:eastAsia="zh-CN"/>
              </w:rPr>
              <w:t>。</w:t>
            </w:r>
          </w:p>
        </w:tc>
        <w:tc>
          <w:tcPr>
            <w:tcW w:w="4092" w:type="dxa"/>
            <w:gridSpan w:val="3"/>
            <w:tcBorders>
              <w:top w:val="single" w:color="000000" w:sz="4" w:space="0"/>
              <w:left w:val="nil"/>
              <w:bottom w:val="single" w:color="000000" w:sz="4" w:space="0"/>
              <w:right w:val="single" w:color="000000" w:sz="4" w:space="0"/>
            </w:tcBorders>
            <w:vAlign w:val="center"/>
          </w:tcPr>
          <w:p>
            <w:pPr>
              <w:widowControl/>
              <w:ind w:firstLine="396" w:firstLineChars="200"/>
              <w:jc w:val="left"/>
              <w:rPr>
                <w:rFonts w:ascii="宋体" w:hAnsi="宋体"/>
                <w:kern w:val="0"/>
                <w:sz w:val="20"/>
                <w:szCs w:val="20"/>
              </w:rPr>
            </w:pPr>
            <w:r>
              <w:rPr>
                <w:rFonts w:ascii="宋体" w:hAnsi="宋体" w:eastAsia="宋体" w:cs="宋体"/>
                <w:spacing w:val="-1"/>
                <w:sz w:val="20"/>
                <w:szCs w:val="20"/>
              </w:rPr>
              <w:t>每季度聘请相关安全生产专家对全县交通运输行业开展两次安全生产教育培训工作，确保交通运输行业安全稳定</w:t>
            </w:r>
            <w:r>
              <w:rPr>
                <w:rFonts w:hint="eastAsia" w:ascii="宋体" w:hAnsi="宋体"/>
                <w:kern w:val="0"/>
                <w:sz w:val="20"/>
                <w:szCs w:val="20"/>
                <w:lang w:eastAsia="zh-CN"/>
              </w:rPr>
              <w:t>。</w:t>
            </w:r>
          </w:p>
        </w:tc>
      </w:tr>
      <w:tr>
        <w:tblPrEx>
          <w:tblCellMar>
            <w:top w:w="0" w:type="dxa"/>
            <w:left w:w="108" w:type="dxa"/>
            <w:bottom w:w="0" w:type="dxa"/>
            <w:right w:w="108" w:type="dxa"/>
          </w:tblCellMar>
        </w:tblPrEx>
        <w:trPr>
          <w:trHeight w:val="510" w:hRule="atLeast"/>
          <w:jc w:val="center"/>
        </w:trPr>
        <w:tc>
          <w:tcPr>
            <w:tcW w:w="1041" w:type="dxa"/>
            <w:tcBorders>
              <w:top w:val="nil"/>
              <w:left w:val="single" w:color="000000" w:sz="4" w:space="0"/>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绩效指标</w:t>
            </w:r>
          </w:p>
        </w:tc>
        <w:tc>
          <w:tcPr>
            <w:tcW w:w="1095"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一级指标</w:t>
            </w:r>
          </w:p>
        </w:tc>
        <w:tc>
          <w:tcPr>
            <w:tcW w:w="1050"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二级指标</w:t>
            </w:r>
          </w:p>
        </w:tc>
        <w:tc>
          <w:tcPr>
            <w:tcW w:w="1666" w:type="dxa"/>
            <w:gridSpan w:val="2"/>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三级指标</w:t>
            </w:r>
          </w:p>
        </w:tc>
        <w:tc>
          <w:tcPr>
            <w:tcW w:w="892"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指标值</w:t>
            </w:r>
          </w:p>
        </w:tc>
        <w:tc>
          <w:tcPr>
            <w:tcW w:w="1357"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二级指标</w:t>
            </w:r>
          </w:p>
        </w:tc>
        <w:tc>
          <w:tcPr>
            <w:tcW w:w="1635"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三级指标</w:t>
            </w:r>
          </w:p>
        </w:tc>
        <w:tc>
          <w:tcPr>
            <w:tcW w:w="1100"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指标值</w:t>
            </w:r>
          </w:p>
        </w:tc>
      </w:tr>
      <w:tr>
        <w:tblPrEx>
          <w:tblCellMar>
            <w:top w:w="0" w:type="dxa"/>
            <w:left w:w="108" w:type="dxa"/>
            <w:bottom w:w="0" w:type="dxa"/>
            <w:right w:w="108" w:type="dxa"/>
          </w:tblCellMar>
        </w:tblPrEx>
        <w:trPr>
          <w:trHeight w:val="454" w:hRule="atLeast"/>
          <w:jc w:val="center"/>
        </w:trPr>
        <w:tc>
          <w:tcPr>
            <w:tcW w:w="104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绩效指标</w:t>
            </w:r>
          </w:p>
        </w:tc>
        <w:tc>
          <w:tcPr>
            <w:tcW w:w="1095" w:type="dxa"/>
            <w:vMerge w:val="restart"/>
            <w:tcBorders>
              <w:top w:val="single" w:color="auto" w:sz="4" w:space="0"/>
              <w:left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产出指标</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数量指标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74" w:line="184" w:lineRule="auto"/>
              <w:jc w:val="center"/>
              <w:rPr>
                <w:rFonts w:ascii="宋体" w:hAnsi="宋体"/>
                <w:kern w:val="0"/>
                <w:sz w:val="20"/>
                <w:szCs w:val="20"/>
              </w:rPr>
            </w:pPr>
            <w:r>
              <w:rPr>
                <w:rFonts w:ascii="宋体" w:hAnsi="宋体" w:eastAsia="宋体" w:cs="宋体"/>
                <w:spacing w:val="-3"/>
                <w:sz w:val="20"/>
                <w:szCs w:val="20"/>
              </w:rPr>
              <w:t>培训班次</w:t>
            </w:r>
          </w:p>
        </w:tc>
        <w:tc>
          <w:tcPr>
            <w:tcW w:w="892" w:type="dxa"/>
            <w:tcBorders>
              <w:top w:val="single" w:color="auto" w:sz="4" w:space="0"/>
              <w:left w:val="single" w:color="auto" w:sz="4" w:space="0"/>
              <w:bottom w:val="single" w:color="auto" w:sz="4" w:space="0"/>
              <w:right w:val="single" w:color="auto" w:sz="4" w:space="0"/>
            </w:tcBorders>
            <w:vAlign w:val="top"/>
          </w:tcPr>
          <w:p>
            <w:pPr>
              <w:spacing w:before="174" w:line="184" w:lineRule="auto"/>
              <w:jc w:val="center"/>
              <w:rPr>
                <w:rFonts w:hint="default" w:ascii="宋体" w:hAnsi="宋体" w:eastAsia="宋体"/>
                <w:kern w:val="0"/>
                <w:sz w:val="20"/>
                <w:szCs w:val="20"/>
                <w:lang w:val="en-US" w:eastAsia="zh-CN"/>
              </w:rPr>
            </w:pPr>
            <w:r>
              <w:rPr>
                <w:rFonts w:hint="eastAsia" w:ascii="宋体" w:hAnsi="宋体" w:eastAsia="宋体" w:cs="宋体"/>
                <w:spacing w:val="-5"/>
                <w:sz w:val="20"/>
                <w:szCs w:val="20"/>
                <w:lang w:val="en-US" w:eastAsia="zh-CN"/>
              </w:rPr>
              <w:t>=</w:t>
            </w:r>
            <w:r>
              <w:rPr>
                <w:rFonts w:ascii="宋体" w:hAnsi="宋体" w:eastAsia="宋体" w:cs="宋体"/>
                <w:spacing w:val="-5"/>
                <w:sz w:val="20"/>
                <w:szCs w:val="20"/>
              </w:rPr>
              <w:t>8</w:t>
            </w:r>
            <w:r>
              <w:rPr>
                <w:rFonts w:ascii="宋体" w:hAnsi="宋体" w:eastAsia="宋体" w:cs="宋体"/>
                <w:spacing w:val="-35"/>
                <w:sz w:val="20"/>
                <w:szCs w:val="20"/>
              </w:rPr>
              <w:t xml:space="preserve"> </w:t>
            </w:r>
            <w:r>
              <w:rPr>
                <w:rFonts w:ascii="宋体" w:hAnsi="宋体" w:eastAsia="宋体" w:cs="宋体"/>
                <w:spacing w:val="-5"/>
                <w:sz w:val="20"/>
                <w:szCs w:val="20"/>
              </w:rPr>
              <w:t>次</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0"/>
                <w:szCs w:val="20"/>
                <w:lang w:val="en-US" w:eastAsia="zh-CN" w:bidi="ar-SA"/>
              </w:rPr>
            </w:pPr>
            <w:r>
              <w:rPr>
                <w:rFonts w:hint="eastAsia" w:ascii="宋体" w:hAnsi="宋体"/>
                <w:kern w:val="0"/>
                <w:sz w:val="20"/>
                <w:szCs w:val="20"/>
              </w:rPr>
              <w:t>数量指标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174" w:line="184" w:lineRule="auto"/>
              <w:jc w:val="center"/>
              <w:rPr>
                <w:rFonts w:ascii="宋体" w:hAnsi="宋体" w:eastAsia="宋体" w:cs="Times New Roman"/>
                <w:kern w:val="0"/>
                <w:sz w:val="20"/>
                <w:szCs w:val="20"/>
                <w:lang w:val="en-US" w:eastAsia="zh-CN" w:bidi="ar-SA"/>
              </w:rPr>
            </w:pPr>
            <w:r>
              <w:rPr>
                <w:rFonts w:ascii="宋体" w:hAnsi="宋体" w:eastAsia="宋体" w:cs="宋体"/>
                <w:spacing w:val="-3"/>
                <w:sz w:val="20"/>
                <w:szCs w:val="20"/>
              </w:rPr>
              <w:t>培训班次</w:t>
            </w:r>
          </w:p>
        </w:tc>
        <w:tc>
          <w:tcPr>
            <w:tcW w:w="1100" w:type="dxa"/>
            <w:tcBorders>
              <w:top w:val="single" w:color="auto" w:sz="4" w:space="0"/>
              <w:left w:val="single" w:color="auto" w:sz="4" w:space="0"/>
              <w:bottom w:val="single" w:color="auto" w:sz="4" w:space="0"/>
              <w:right w:val="single" w:color="auto" w:sz="4" w:space="0"/>
            </w:tcBorders>
            <w:vAlign w:val="top"/>
          </w:tcPr>
          <w:p>
            <w:pPr>
              <w:spacing w:before="174" w:line="184" w:lineRule="auto"/>
              <w:ind w:firstLine="370" w:firstLineChars="0"/>
              <w:jc w:val="center"/>
              <w:rPr>
                <w:rFonts w:hint="default" w:ascii="宋体" w:hAnsi="宋体" w:eastAsia="宋体"/>
                <w:kern w:val="0"/>
                <w:sz w:val="20"/>
                <w:szCs w:val="20"/>
                <w:lang w:val="en-US" w:eastAsia="zh-CN"/>
              </w:rPr>
            </w:pPr>
            <w:r>
              <w:rPr>
                <w:rFonts w:hint="eastAsia" w:ascii="宋体" w:hAnsi="宋体" w:eastAsia="宋体" w:cs="宋体"/>
                <w:spacing w:val="-5"/>
                <w:sz w:val="20"/>
                <w:szCs w:val="20"/>
                <w:lang w:val="en-US" w:eastAsia="zh-CN"/>
              </w:rPr>
              <w:t>=</w:t>
            </w:r>
            <w:r>
              <w:rPr>
                <w:rFonts w:ascii="宋体" w:hAnsi="宋体" w:eastAsia="宋体" w:cs="宋体"/>
                <w:spacing w:val="-5"/>
                <w:sz w:val="20"/>
                <w:szCs w:val="20"/>
              </w:rPr>
              <w:t>8</w:t>
            </w:r>
            <w:r>
              <w:rPr>
                <w:rFonts w:ascii="宋体" w:hAnsi="宋体" w:eastAsia="宋体" w:cs="宋体"/>
                <w:spacing w:val="-35"/>
                <w:sz w:val="20"/>
                <w:szCs w:val="20"/>
              </w:rPr>
              <w:t xml:space="preserve"> </w:t>
            </w:r>
            <w:r>
              <w:rPr>
                <w:rFonts w:ascii="宋体" w:hAnsi="宋体" w:eastAsia="宋体" w:cs="宋体"/>
                <w:spacing w:val="-5"/>
                <w:sz w:val="20"/>
                <w:szCs w:val="20"/>
              </w:rPr>
              <w:t>次</w:t>
            </w:r>
          </w:p>
        </w:tc>
      </w:tr>
      <w:tr>
        <w:tblPrEx>
          <w:tblCellMar>
            <w:top w:w="0" w:type="dxa"/>
            <w:left w:w="108" w:type="dxa"/>
            <w:bottom w:w="0" w:type="dxa"/>
            <w:right w:w="108" w:type="dxa"/>
          </w:tblCellMar>
        </w:tblPrEx>
        <w:trPr>
          <w:trHeight w:val="454"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left w:val="single" w:color="auto" w:sz="4" w:space="0"/>
              <w:right w:val="single" w:color="auto" w:sz="4" w:space="0"/>
            </w:tcBorders>
            <w:vAlign w:val="center"/>
          </w:tcPr>
          <w:p>
            <w:pPr>
              <w:widowControl/>
              <w:jc w:val="left"/>
              <w:rPr>
                <w:rFonts w:ascii="宋体" w:hAnsi="宋体"/>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eastAsia="zh-CN"/>
              </w:rPr>
              <w:t>数</w:t>
            </w:r>
            <w:r>
              <w:rPr>
                <w:rFonts w:hint="eastAsia" w:ascii="宋体" w:hAnsi="宋体"/>
                <w:kern w:val="0"/>
                <w:sz w:val="20"/>
                <w:szCs w:val="20"/>
              </w:rPr>
              <w:t>量指标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95" w:line="184" w:lineRule="auto"/>
              <w:jc w:val="center"/>
              <w:rPr>
                <w:rFonts w:ascii="宋体" w:hAnsi="宋体"/>
                <w:kern w:val="0"/>
                <w:sz w:val="20"/>
                <w:szCs w:val="20"/>
              </w:rPr>
            </w:pPr>
            <w:r>
              <w:rPr>
                <w:rFonts w:ascii="宋体" w:hAnsi="宋体" w:eastAsia="宋体" w:cs="宋体"/>
                <w:spacing w:val="-3"/>
                <w:sz w:val="20"/>
                <w:szCs w:val="20"/>
              </w:rPr>
              <w:t>培训人数</w:t>
            </w:r>
          </w:p>
        </w:tc>
        <w:tc>
          <w:tcPr>
            <w:tcW w:w="892" w:type="dxa"/>
            <w:tcBorders>
              <w:top w:val="single" w:color="auto" w:sz="4" w:space="0"/>
              <w:left w:val="single" w:color="auto" w:sz="4" w:space="0"/>
              <w:bottom w:val="single" w:color="auto" w:sz="4" w:space="0"/>
              <w:right w:val="single" w:color="auto" w:sz="4" w:space="0"/>
            </w:tcBorders>
            <w:vAlign w:val="top"/>
          </w:tcPr>
          <w:p>
            <w:pPr>
              <w:spacing w:before="195" w:line="184" w:lineRule="auto"/>
              <w:jc w:val="center"/>
              <w:rPr>
                <w:rFonts w:ascii="宋体" w:hAnsi="宋体"/>
                <w:kern w:val="0"/>
                <w:sz w:val="20"/>
                <w:szCs w:val="20"/>
              </w:rPr>
            </w:pPr>
            <w:r>
              <w:rPr>
                <w:rFonts w:hint="eastAsia" w:ascii="宋体" w:hAnsi="宋体" w:eastAsia="宋体" w:cs="宋体"/>
                <w:spacing w:val="-6"/>
                <w:sz w:val="20"/>
                <w:szCs w:val="20"/>
                <w:lang w:val="en-US" w:eastAsia="zh-CN"/>
              </w:rPr>
              <w:t>=</w:t>
            </w:r>
            <w:r>
              <w:rPr>
                <w:rFonts w:ascii="宋体" w:hAnsi="宋体" w:eastAsia="宋体" w:cs="宋体"/>
                <w:spacing w:val="-6"/>
                <w:sz w:val="20"/>
                <w:szCs w:val="20"/>
              </w:rPr>
              <w:t>100</w:t>
            </w:r>
            <w:r>
              <w:rPr>
                <w:rFonts w:ascii="宋体" w:hAnsi="宋体" w:eastAsia="宋体" w:cs="宋体"/>
                <w:spacing w:val="-39"/>
                <w:sz w:val="20"/>
                <w:szCs w:val="20"/>
              </w:rPr>
              <w:t xml:space="preserve"> </w:t>
            </w:r>
            <w:r>
              <w:rPr>
                <w:rFonts w:ascii="宋体" w:hAnsi="宋体" w:eastAsia="宋体" w:cs="宋体"/>
                <w:spacing w:val="-6"/>
                <w:sz w:val="20"/>
                <w:szCs w:val="20"/>
              </w:rPr>
              <w:t>人</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0"/>
                <w:szCs w:val="20"/>
                <w:lang w:val="en-US" w:eastAsia="zh-CN" w:bidi="ar-SA"/>
              </w:rPr>
            </w:pPr>
            <w:r>
              <w:rPr>
                <w:rFonts w:hint="eastAsia" w:ascii="宋体" w:hAnsi="宋体"/>
                <w:kern w:val="0"/>
                <w:sz w:val="20"/>
                <w:szCs w:val="20"/>
                <w:lang w:eastAsia="zh-CN"/>
              </w:rPr>
              <w:t>数</w:t>
            </w:r>
            <w:r>
              <w:rPr>
                <w:rFonts w:hint="eastAsia" w:ascii="宋体" w:hAnsi="宋体"/>
                <w:kern w:val="0"/>
                <w:sz w:val="20"/>
                <w:szCs w:val="20"/>
              </w:rPr>
              <w:t>量指标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195" w:line="184" w:lineRule="auto"/>
              <w:jc w:val="center"/>
              <w:rPr>
                <w:rFonts w:ascii="宋体" w:hAnsi="宋体" w:eastAsia="宋体" w:cs="Times New Roman"/>
                <w:kern w:val="0"/>
                <w:sz w:val="20"/>
                <w:szCs w:val="20"/>
                <w:lang w:val="en-US" w:eastAsia="zh-CN" w:bidi="ar-SA"/>
              </w:rPr>
            </w:pPr>
            <w:r>
              <w:rPr>
                <w:rFonts w:ascii="宋体" w:hAnsi="宋体" w:eastAsia="宋体" w:cs="宋体"/>
                <w:spacing w:val="-3"/>
                <w:sz w:val="20"/>
                <w:szCs w:val="20"/>
              </w:rPr>
              <w:t>培训人数</w:t>
            </w:r>
          </w:p>
        </w:tc>
        <w:tc>
          <w:tcPr>
            <w:tcW w:w="1100" w:type="dxa"/>
            <w:tcBorders>
              <w:top w:val="single" w:color="auto" w:sz="4" w:space="0"/>
              <w:left w:val="single" w:color="auto" w:sz="4" w:space="0"/>
              <w:bottom w:val="single" w:color="auto" w:sz="4" w:space="0"/>
              <w:right w:val="single" w:color="auto" w:sz="4" w:space="0"/>
            </w:tcBorders>
            <w:vAlign w:val="top"/>
          </w:tcPr>
          <w:p>
            <w:pPr>
              <w:spacing w:before="195" w:line="184" w:lineRule="auto"/>
              <w:jc w:val="right"/>
              <w:rPr>
                <w:rFonts w:ascii="宋体" w:hAnsi="宋体" w:eastAsia="宋体" w:cs="Times New Roman"/>
                <w:kern w:val="0"/>
                <w:sz w:val="20"/>
                <w:szCs w:val="20"/>
                <w:lang w:val="en-US" w:eastAsia="zh-CN" w:bidi="ar-SA"/>
              </w:rPr>
            </w:pPr>
            <w:r>
              <w:rPr>
                <w:rFonts w:hint="eastAsia" w:ascii="宋体" w:hAnsi="宋体" w:eastAsia="宋体" w:cs="宋体"/>
                <w:spacing w:val="-6"/>
                <w:sz w:val="20"/>
                <w:szCs w:val="20"/>
                <w:lang w:val="en-US" w:eastAsia="zh-CN"/>
              </w:rPr>
              <w:t>=</w:t>
            </w:r>
            <w:r>
              <w:rPr>
                <w:rFonts w:ascii="宋体" w:hAnsi="宋体" w:eastAsia="宋体" w:cs="宋体"/>
                <w:spacing w:val="-6"/>
                <w:sz w:val="20"/>
                <w:szCs w:val="20"/>
              </w:rPr>
              <w:t>100</w:t>
            </w:r>
            <w:r>
              <w:rPr>
                <w:rFonts w:ascii="宋体" w:hAnsi="宋体" w:eastAsia="宋体" w:cs="宋体"/>
                <w:spacing w:val="-39"/>
                <w:sz w:val="20"/>
                <w:szCs w:val="20"/>
              </w:rPr>
              <w:t xml:space="preserve"> </w:t>
            </w:r>
            <w:r>
              <w:rPr>
                <w:rFonts w:ascii="宋体" w:hAnsi="宋体" w:eastAsia="宋体" w:cs="宋体"/>
                <w:spacing w:val="-6"/>
                <w:sz w:val="20"/>
                <w:szCs w:val="20"/>
              </w:rPr>
              <w:t>人</w:t>
            </w:r>
          </w:p>
        </w:tc>
      </w:tr>
      <w:tr>
        <w:tblPrEx>
          <w:tblCellMar>
            <w:top w:w="0" w:type="dxa"/>
            <w:left w:w="108" w:type="dxa"/>
            <w:bottom w:w="0" w:type="dxa"/>
            <w:right w:w="108" w:type="dxa"/>
          </w:tblCellMar>
        </w:tblPrEx>
        <w:trPr>
          <w:trHeight w:val="454"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left w:val="single" w:color="auto" w:sz="4" w:space="0"/>
              <w:right w:val="single" w:color="auto" w:sz="4" w:space="0"/>
            </w:tcBorders>
            <w:vAlign w:val="center"/>
          </w:tcPr>
          <w:p>
            <w:pPr>
              <w:widowControl/>
              <w:jc w:val="left"/>
              <w:rPr>
                <w:rFonts w:ascii="宋体" w:hAnsi="宋体"/>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eastAsia="zh-CN"/>
              </w:rPr>
              <w:t>数量</w:t>
            </w:r>
            <w:r>
              <w:rPr>
                <w:rFonts w:hint="eastAsia" w:ascii="宋体" w:hAnsi="宋体"/>
                <w:kern w:val="0"/>
                <w:sz w:val="20"/>
                <w:szCs w:val="20"/>
              </w:rPr>
              <w:t>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12" w:line="184" w:lineRule="auto"/>
              <w:jc w:val="center"/>
              <w:rPr>
                <w:rFonts w:ascii="宋体" w:hAnsi="宋体" w:eastAsia="宋体" w:cs="Times New Roman"/>
                <w:kern w:val="0"/>
                <w:sz w:val="20"/>
                <w:szCs w:val="20"/>
                <w:lang w:val="en-US" w:eastAsia="zh-CN" w:bidi="ar-SA"/>
              </w:rPr>
            </w:pPr>
            <w:r>
              <w:rPr>
                <w:rFonts w:ascii="宋体" w:hAnsi="宋体" w:eastAsia="宋体" w:cs="宋体"/>
                <w:spacing w:val="-3"/>
                <w:sz w:val="20"/>
                <w:szCs w:val="20"/>
              </w:rPr>
              <w:t>培训天数</w:t>
            </w:r>
          </w:p>
        </w:tc>
        <w:tc>
          <w:tcPr>
            <w:tcW w:w="892" w:type="dxa"/>
            <w:tcBorders>
              <w:top w:val="single" w:color="auto" w:sz="4" w:space="0"/>
              <w:left w:val="single" w:color="auto" w:sz="4" w:space="0"/>
              <w:bottom w:val="single" w:color="auto" w:sz="4" w:space="0"/>
              <w:right w:val="single" w:color="auto" w:sz="4" w:space="0"/>
            </w:tcBorders>
            <w:vAlign w:val="top"/>
          </w:tcPr>
          <w:p>
            <w:pPr>
              <w:spacing w:before="112" w:line="184" w:lineRule="auto"/>
              <w:jc w:val="center"/>
              <w:rPr>
                <w:rFonts w:hint="default" w:ascii="宋体" w:hAnsi="宋体" w:eastAsia="宋体" w:cs="Times New Roman"/>
                <w:kern w:val="0"/>
                <w:sz w:val="20"/>
                <w:szCs w:val="20"/>
                <w:lang w:val="en-US" w:eastAsia="zh-CN" w:bidi="ar-SA"/>
              </w:rPr>
            </w:pPr>
            <w:r>
              <w:rPr>
                <w:rFonts w:hint="eastAsia" w:ascii="宋体" w:hAnsi="宋体" w:eastAsia="宋体" w:cs="宋体"/>
                <w:spacing w:val="-5"/>
                <w:sz w:val="20"/>
                <w:szCs w:val="20"/>
                <w:lang w:val="en-US" w:eastAsia="zh-CN"/>
              </w:rPr>
              <w:t>=</w:t>
            </w:r>
            <w:r>
              <w:rPr>
                <w:rFonts w:ascii="宋体" w:hAnsi="宋体" w:eastAsia="宋体" w:cs="宋体"/>
                <w:spacing w:val="-5"/>
                <w:sz w:val="20"/>
                <w:szCs w:val="20"/>
              </w:rPr>
              <w:t>8</w:t>
            </w:r>
            <w:r>
              <w:rPr>
                <w:rFonts w:ascii="宋体" w:hAnsi="宋体" w:eastAsia="宋体" w:cs="宋体"/>
                <w:spacing w:val="-36"/>
                <w:sz w:val="20"/>
                <w:szCs w:val="20"/>
              </w:rPr>
              <w:t xml:space="preserve"> </w:t>
            </w:r>
            <w:r>
              <w:rPr>
                <w:rFonts w:ascii="宋体" w:hAnsi="宋体" w:eastAsia="宋体" w:cs="宋体"/>
                <w:spacing w:val="-5"/>
                <w:sz w:val="20"/>
                <w:szCs w:val="20"/>
              </w:rPr>
              <w:t>天</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0"/>
                <w:szCs w:val="20"/>
                <w:lang w:val="en-US" w:eastAsia="zh-CN" w:bidi="ar-SA"/>
              </w:rPr>
            </w:pPr>
            <w:r>
              <w:rPr>
                <w:rFonts w:hint="eastAsia" w:ascii="宋体" w:hAnsi="宋体"/>
                <w:kern w:val="0"/>
                <w:sz w:val="20"/>
                <w:szCs w:val="20"/>
                <w:lang w:eastAsia="zh-CN"/>
              </w:rPr>
              <w:t>数量</w:t>
            </w:r>
            <w:r>
              <w:rPr>
                <w:rFonts w:hint="eastAsia" w:ascii="宋体" w:hAnsi="宋体"/>
                <w:kern w:val="0"/>
                <w:sz w:val="20"/>
                <w:szCs w:val="20"/>
              </w:rPr>
              <w:t>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112" w:line="184" w:lineRule="auto"/>
              <w:jc w:val="center"/>
              <w:rPr>
                <w:rFonts w:ascii="宋体" w:hAnsi="宋体" w:eastAsia="宋体" w:cs="Times New Roman"/>
                <w:kern w:val="0"/>
                <w:sz w:val="20"/>
                <w:szCs w:val="20"/>
                <w:lang w:val="en-US" w:eastAsia="zh-CN" w:bidi="ar-SA"/>
              </w:rPr>
            </w:pPr>
            <w:r>
              <w:rPr>
                <w:rFonts w:ascii="宋体" w:hAnsi="宋体" w:eastAsia="宋体" w:cs="宋体"/>
                <w:spacing w:val="-3"/>
                <w:sz w:val="20"/>
                <w:szCs w:val="20"/>
              </w:rPr>
              <w:t>培训天数</w:t>
            </w:r>
          </w:p>
        </w:tc>
        <w:tc>
          <w:tcPr>
            <w:tcW w:w="1100" w:type="dxa"/>
            <w:tcBorders>
              <w:top w:val="single" w:color="auto" w:sz="4" w:space="0"/>
              <w:left w:val="single" w:color="auto" w:sz="4" w:space="0"/>
              <w:bottom w:val="single" w:color="auto" w:sz="4" w:space="0"/>
              <w:right w:val="single" w:color="auto" w:sz="4" w:space="0"/>
            </w:tcBorders>
            <w:vAlign w:val="top"/>
          </w:tcPr>
          <w:p>
            <w:pPr>
              <w:spacing w:before="112" w:line="184" w:lineRule="auto"/>
              <w:ind w:firstLine="370" w:firstLineChars="0"/>
              <w:jc w:val="center"/>
              <w:rPr>
                <w:rFonts w:hint="default" w:ascii="宋体" w:hAnsi="宋体" w:eastAsia="宋体" w:cs="Times New Roman"/>
                <w:kern w:val="0"/>
                <w:sz w:val="20"/>
                <w:szCs w:val="20"/>
                <w:lang w:val="en-US" w:eastAsia="zh-CN" w:bidi="ar-SA"/>
              </w:rPr>
            </w:pPr>
            <w:r>
              <w:rPr>
                <w:rFonts w:hint="eastAsia" w:ascii="宋体" w:hAnsi="宋体" w:eastAsia="宋体" w:cs="宋体"/>
                <w:spacing w:val="-5"/>
                <w:sz w:val="20"/>
                <w:szCs w:val="20"/>
                <w:lang w:val="en-US" w:eastAsia="zh-CN"/>
              </w:rPr>
              <w:t>=</w:t>
            </w:r>
            <w:r>
              <w:rPr>
                <w:rFonts w:ascii="宋体" w:hAnsi="宋体" w:eastAsia="宋体" w:cs="宋体"/>
                <w:spacing w:val="-5"/>
                <w:sz w:val="20"/>
                <w:szCs w:val="20"/>
              </w:rPr>
              <w:t>8</w:t>
            </w:r>
            <w:r>
              <w:rPr>
                <w:rFonts w:ascii="宋体" w:hAnsi="宋体" w:eastAsia="宋体" w:cs="宋体"/>
                <w:spacing w:val="-36"/>
                <w:sz w:val="20"/>
                <w:szCs w:val="20"/>
              </w:rPr>
              <w:t xml:space="preserve"> </w:t>
            </w:r>
            <w:r>
              <w:rPr>
                <w:rFonts w:ascii="宋体" w:hAnsi="宋体" w:eastAsia="宋体" w:cs="宋体"/>
                <w:spacing w:val="-5"/>
                <w:sz w:val="20"/>
                <w:szCs w:val="20"/>
              </w:rPr>
              <w:t>天</w:t>
            </w:r>
          </w:p>
        </w:tc>
      </w:tr>
      <w:tr>
        <w:tblPrEx>
          <w:tblCellMar>
            <w:top w:w="0" w:type="dxa"/>
            <w:left w:w="108" w:type="dxa"/>
            <w:bottom w:w="0" w:type="dxa"/>
            <w:right w:w="108" w:type="dxa"/>
          </w:tblCellMar>
        </w:tblPrEx>
        <w:trPr>
          <w:trHeight w:val="463"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left w:val="single" w:color="auto" w:sz="4" w:space="0"/>
              <w:right w:val="single" w:color="auto" w:sz="4" w:space="0"/>
            </w:tcBorders>
            <w:vAlign w:val="center"/>
          </w:tcPr>
          <w:p>
            <w:pPr>
              <w:widowControl/>
              <w:jc w:val="left"/>
              <w:rPr>
                <w:rFonts w:ascii="宋体" w:hAnsi="宋体"/>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kern w:val="0"/>
                <w:sz w:val="20"/>
                <w:szCs w:val="20"/>
              </w:rPr>
            </w:pPr>
            <w:r>
              <w:rPr>
                <w:rFonts w:hint="eastAsia" w:ascii="宋体" w:hAnsi="宋体"/>
                <w:kern w:val="0"/>
                <w:sz w:val="20"/>
                <w:szCs w:val="20"/>
                <w:lang w:eastAsia="zh-CN"/>
              </w:rPr>
              <w:t>质量</w:t>
            </w:r>
            <w:r>
              <w:rPr>
                <w:rFonts w:hint="eastAsia" w:ascii="宋体" w:hAnsi="宋体"/>
                <w:kern w:val="0"/>
                <w:sz w:val="20"/>
                <w:szCs w:val="20"/>
              </w:rPr>
              <w:t>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65" w:line="184" w:lineRule="auto"/>
              <w:jc w:val="center"/>
              <w:rPr>
                <w:rFonts w:hint="eastAsia" w:ascii="宋体" w:hAnsi="宋体"/>
                <w:kern w:val="0"/>
                <w:sz w:val="20"/>
                <w:szCs w:val="20"/>
              </w:rPr>
            </w:pPr>
            <w:r>
              <w:rPr>
                <w:rFonts w:ascii="宋体" w:hAnsi="宋体" w:eastAsia="宋体" w:cs="宋体"/>
                <w:spacing w:val="-2"/>
                <w:sz w:val="20"/>
                <w:szCs w:val="20"/>
              </w:rPr>
              <w:t>培训企业参与度</w:t>
            </w:r>
          </w:p>
        </w:tc>
        <w:tc>
          <w:tcPr>
            <w:tcW w:w="892" w:type="dxa"/>
            <w:tcBorders>
              <w:top w:val="single" w:color="auto" w:sz="4" w:space="0"/>
              <w:left w:val="single" w:color="auto" w:sz="4" w:space="0"/>
              <w:bottom w:val="single" w:color="auto" w:sz="4" w:space="0"/>
              <w:right w:val="single" w:color="auto" w:sz="4" w:space="0"/>
            </w:tcBorders>
            <w:vAlign w:val="top"/>
          </w:tcPr>
          <w:p>
            <w:pPr>
              <w:spacing w:before="165" w:line="184" w:lineRule="auto"/>
              <w:jc w:val="center"/>
              <w:rPr>
                <w:rFonts w:ascii="宋体" w:hAnsi="宋体"/>
                <w:kern w:val="0"/>
                <w:sz w:val="20"/>
                <w:szCs w:val="20"/>
              </w:rPr>
            </w:pPr>
            <w:r>
              <w:rPr>
                <w:rFonts w:ascii="宋体" w:hAnsi="宋体" w:eastAsia="宋体" w:cs="宋体"/>
                <w:spacing w:val="-7"/>
                <w:sz w:val="20"/>
                <w:szCs w:val="20"/>
              </w:rPr>
              <w:t>≥98%</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Times New Roman"/>
                <w:kern w:val="0"/>
                <w:sz w:val="20"/>
                <w:szCs w:val="20"/>
                <w:lang w:val="en-US" w:eastAsia="zh-CN" w:bidi="ar-SA"/>
              </w:rPr>
            </w:pPr>
            <w:r>
              <w:rPr>
                <w:rFonts w:hint="eastAsia" w:ascii="宋体" w:hAnsi="宋体"/>
                <w:kern w:val="0"/>
                <w:sz w:val="20"/>
                <w:szCs w:val="20"/>
                <w:lang w:eastAsia="zh-CN"/>
              </w:rPr>
              <w:t>质量</w:t>
            </w:r>
            <w:r>
              <w:rPr>
                <w:rFonts w:hint="eastAsia" w:ascii="宋体" w:hAnsi="宋体"/>
                <w:kern w:val="0"/>
                <w:sz w:val="20"/>
                <w:szCs w:val="20"/>
              </w:rPr>
              <w:t>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165" w:line="184" w:lineRule="auto"/>
              <w:jc w:val="center"/>
              <w:rPr>
                <w:rFonts w:hint="eastAsia" w:ascii="宋体" w:hAnsi="宋体" w:eastAsia="宋体" w:cs="Times New Roman"/>
                <w:kern w:val="0"/>
                <w:sz w:val="20"/>
                <w:szCs w:val="20"/>
                <w:lang w:val="en-US" w:eastAsia="zh-CN" w:bidi="ar-SA"/>
              </w:rPr>
            </w:pPr>
            <w:r>
              <w:rPr>
                <w:rFonts w:ascii="宋体" w:hAnsi="宋体" w:eastAsia="宋体" w:cs="宋体"/>
                <w:spacing w:val="-2"/>
                <w:sz w:val="20"/>
                <w:szCs w:val="20"/>
              </w:rPr>
              <w:t>培训企业参与度</w:t>
            </w:r>
          </w:p>
        </w:tc>
        <w:tc>
          <w:tcPr>
            <w:tcW w:w="1100" w:type="dxa"/>
            <w:tcBorders>
              <w:top w:val="single" w:color="auto" w:sz="4" w:space="0"/>
              <w:left w:val="single" w:color="auto" w:sz="4" w:space="0"/>
              <w:bottom w:val="single" w:color="auto" w:sz="4" w:space="0"/>
              <w:right w:val="single" w:color="auto" w:sz="4" w:space="0"/>
            </w:tcBorders>
            <w:vAlign w:val="top"/>
          </w:tcPr>
          <w:p>
            <w:pPr>
              <w:spacing w:before="165" w:line="184" w:lineRule="auto"/>
              <w:ind w:firstLine="314" w:firstLineChars="0"/>
              <w:jc w:val="center"/>
              <w:rPr>
                <w:rFonts w:ascii="宋体" w:hAnsi="宋体" w:eastAsia="宋体" w:cs="Times New Roman"/>
                <w:kern w:val="0"/>
                <w:sz w:val="20"/>
                <w:szCs w:val="20"/>
                <w:lang w:val="en-US" w:eastAsia="zh-CN" w:bidi="ar-SA"/>
              </w:rPr>
            </w:pPr>
            <w:r>
              <w:rPr>
                <w:rFonts w:ascii="宋体" w:hAnsi="宋体" w:eastAsia="宋体" w:cs="宋体"/>
                <w:spacing w:val="-7"/>
                <w:sz w:val="20"/>
                <w:szCs w:val="20"/>
              </w:rPr>
              <w:t>≥98%</w:t>
            </w:r>
          </w:p>
        </w:tc>
      </w:tr>
      <w:tr>
        <w:tblPrEx>
          <w:tblCellMar>
            <w:top w:w="0" w:type="dxa"/>
            <w:left w:w="108" w:type="dxa"/>
            <w:bottom w:w="0" w:type="dxa"/>
            <w:right w:w="108" w:type="dxa"/>
          </w:tblCellMar>
        </w:tblPrEx>
        <w:trPr>
          <w:trHeight w:val="454"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left w:val="single" w:color="auto" w:sz="4" w:space="0"/>
              <w:right w:val="single" w:color="auto" w:sz="4" w:space="0"/>
            </w:tcBorders>
            <w:vAlign w:val="center"/>
          </w:tcPr>
          <w:p>
            <w:pPr>
              <w:widowControl/>
              <w:jc w:val="left"/>
              <w:rPr>
                <w:rFonts w:ascii="宋体" w:hAnsi="宋体"/>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lang w:eastAsia="zh-CN"/>
              </w:rPr>
              <w:t>质量</w:t>
            </w:r>
            <w:r>
              <w:rPr>
                <w:rFonts w:hint="eastAsia" w:ascii="宋体" w:hAnsi="宋体"/>
                <w:kern w:val="0"/>
                <w:sz w:val="20"/>
                <w:szCs w:val="20"/>
              </w:rPr>
              <w:t>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27" w:line="184" w:lineRule="auto"/>
              <w:jc w:val="center"/>
              <w:rPr>
                <w:rFonts w:ascii="宋体" w:hAnsi="宋体"/>
                <w:kern w:val="0"/>
                <w:sz w:val="20"/>
                <w:szCs w:val="20"/>
              </w:rPr>
            </w:pPr>
            <w:r>
              <w:rPr>
                <w:rFonts w:ascii="宋体" w:hAnsi="宋体" w:eastAsia="宋体" w:cs="宋体"/>
                <w:spacing w:val="-2"/>
                <w:sz w:val="20"/>
                <w:szCs w:val="20"/>
              </w:rPr>
              <w:t>培训合格率</w:t>
            </w:r>
          </w:p>
        </w:tc>
        <w:tc>
          <w:tcPr>
            <w:tcW w:w="892" w:type="dxa"/>
            <w:tcBorders>
              <w:top w:val="single" w:color="auto" w:sz="4" w:space="0"/>
              <w:left w:val="single" w:color="auto" w:sz="4" w:space="0"/>
              <w:bottom w:val="single" w:color="auto" w:sz="4" w:space="0"/>
              <w:right w:val="single" w:color="auto" w:sz="4" w:space="0"/>
            </w:tcBorders>
            <w:vAlign w:val="top"/>
          </w:tcPr>
          <w:p>
            <w:pPr>
              <w:spacing w:before="127" w:line="184" w:lineRule="auto"/>
              <w:jc w:val="center"/>
              <w:rPr>
                <w:rFonts w:ascii="宋体" w:hAnsi="宋体"/>
                <w:kern w:val="0"/>
                <w:sz w:val="20"/>
                <w:szCs w:val="20"/>
              </w:rPr>
            </w:pPr>
            <w:r>
              <w:rPr>
                <w:rFonts w:ascii="宋体" w:hAnsi="宋体" w:eastAsia="宋体" w:cs="宋体"/>
                <w:spacing w:val="-7"/>
                <w:sz w:val="20"/>
                <w:szCs w:val="20"/>
              </w:rPr>
              <w:t>≥98%</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0"/>
                <w:szCs w:val="20"/>
                <w:lang w:val="en-US" w:eastAsia="zh-CN" w:bidi="ar-SA"/>
              </w:rPr>
            </w:pPr>
            <w:r>
              <w:rPr>
                <w:rFonts w:hint="eastAsia" w:ascii="宋体" w:hAnsi="宋体"/>
                <w:kern w:val="0"/>
                <w:sz w:val="20"/>
                <w:szCs w:val="20"/>
                <w:lang w:eastAsia="zh-CN"/>
              </w:rPr>
              <w:t>质量</w:t>
            </w:r>
            <w:r>
              <w:rPr>
                <w:rFonts w:hint="eastAsia" w:ascii="宋体" w:hAnsi="宋体"/>
                <w:kern w:val="0"/>
                <w:sz w:val="20"/>
                <w:szCs w:val="20"/>
              </w:rPr>
              <w:t>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127" w:line="184" w:lineRule="auto"/>
              <w:jc w:val="center"/>
              <w:rPr>
                <w:rFonts w:ascii="宋体" w:hAnsi="宋体" w:eastAsia="宋体" w:cs="Times New Roman"/>
                <w:kern w:val="0"/>
                <w:sz w:val="20"/>
                <w:szCs w:val="20"/>
                <w:lang w:val="en-US" w:eastAsia="zh-CN" w:bidi="ar-SA"/>
              </w:rPr>
            </w:pPr>
            <w:r>
              <w:rPr>
                <w:rFonts w:ascii="宋体" w:hAnsi="宋体" w:eastAsia="宋体" w:cs="宋体"/>
                <w:spacing w:val="-2"/>
                <w:sz w:val="20"/>
                <w:szCs w:val="20"/>
              </w:rPr>
              <w:t>培训合格率</w:t>
            </w:r>
          </w:p>
        </w:tc>
        <w:tc>
          <w:tcPr>
            <w:tcW w:w="1100" w:type="dxa"/>
            <w:tcBorders>
              <w:top w:val="single" w:color="auto" w:sz="4" w:space="0"/>
              <w:left w:val="single" w:color="auto" w:sz="4" w:space="0"/>
              <w:bottom w:val="single" w:color="auto" w:sz="4" w:space="0"/>
              <w:right w:val="single" w:color="auto" w:sz="4" w:space="0"/>
            </w:tcBorders>
            <w:vAlign w:val="top"/>
          </w:tcPr>
          <w:p>
            <w:pPr>
              <w:spacing w:before="127" w:line="184" w:lineRule="auto"/>
              <w:ind w:firstLine="314" w:firstLineChars="0"/>
              <w:jc w:val="center"/>
              <w:rPr>
                <w:rFonts w:ascii="宋体" w:hAnsi="宋体" w:eastAsia="宋体" w:cs="Times New Roman"/>
                <w:kern w:val="0"/>
                <w:sz w:val="20"/>
                <w:szCs w:val="20"/>
                <w:lang w:val="en-US" w:eastAsia="zh-CN" w:bidi="ar-SA"/>
              </w:rPr>
            </w:pPr>
            <w:r>
              <w:rPr>
                <w:rFonts w:ascii="宋体" w:hAnsi="宋体" w:eastAsia="宋体" w:cs="宋体"/>
                <w:spacing w:val="-7"/>
                <w:sz w:val="20"/>
                <w:szCs w:val="20"/>
              </w:rPr>
              <w:t>≥98%</w:t>
            </w:r>
          </w:p>
        </w:tc>
      </w:tr>
      <w:tr>
        <w:tblPrEx>
          <w:tblCellMar>
            <w:top w:w="0" w:type="dxa"/>
            <w:left w:w="108" w:type="dxa"/>
            <w:bottom w:w="0" w:type="dxa"/>
            <w:right w:w="108" w:type="dxa"/>
          </w:tblCellMar>
        </w:tblPrEx>
        <w:trPr>
          <w:trHeight w:val="454"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left w:val="single" w:color="auto" w:sz="4" w:space="0"/>
              <w:right w:val="single" w:color="auto" w:sz="4" w:space="0"/>
            </w:tcBorders>
            <w:vAlign w:val="center"/>
          </w:tcPr>
          <w:p>
            <w:pPr>
              <w:widowControl/>
              <w:jc w:val="left"/>
              <w:rPr>
                <w:rFonts w:ascii="宋体" w:hAnsi="宋体"/>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top"/>
          </w:tcPr>
          <w:p>
            <w:pPr>
              <w:spacing w:before="154" w:line="184" w:lineRule="auto"/>
              <w:jc w:val="center"/>
              <w:rPr>
                <w:rFonts w:hint="eastAsia" w:ascii="宋体" w:hAnsi="宋体" w:eastAsia="宋体" w:cs="宋体"/>
                <w:kern w:val="2"/>
                <w:sz w:val="20"/>
                <w:szCs w:val="20"/>
                <w:lang w:val="en-US" w:eastAsia="zh-CN" w:bidi="ar-SA"/>
              </w:rPr>
            </w:pPr>
            <w:r>
              <w:rPr>
                <w:rFonts w:ascii="宋体" w:hAnsi="宋体" w:eastAsia="宋体" w:cs="宋体"/>
                <w:spacing w:val="-5"/>
                <w:sz w:val="20"/>
                <w:szCs w:val="20"/>
              </w:rPr>
              <w:t>时效指标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54" w:line="184" w:lineRule="auto"/>
              <w:jc w:val="center"/>
              <w:rPr>
                <w:rFonts w:ascii="宋体" w:hAnsi="宋体" w:eastAsia="宋体" w:cs="宋体"/>
                <w:kern w:val="2"/>
                <w:sz w:val="20"/>
                <w:szCs w:val="20"/>
                <w:lang w:val="en-US" w:eastAsia="zh-CN" w:bidi="ar-SA"/>
              </w:rPr>
            </w:pPr>
            <w:r>
              <w:rPr>
                <w:rFonts w:ascii="宋体" w:hAnsi="宋体" w:eastAsia="宋体" w:cs="宋体"/>
                <w:spacing w:val="-1"/>
                <w:sz w:val="20"/>
                <w:szCs w:val="20"/>
              </w:rPr>
              <w:t>培训计划完成及时率</w:t>
            </w:r>
          </w:p>
        </w:tc>
        <w:tc>
          <w:tcPr>
            <w:tcW w:w="892" w:type="dxa"/>
            <w:tcBorders>
              <w:top w:val="single" w:color="auto" w:sz="4" w:space="0"/>
              <w:left w:val="single" w:color="auto" w:sz="4" w:space="0"/>
              <w:bottom w:val="single" w:color="auto" w:sz="4" w:space="0"/>
              <w:right w:val="single" w:color="auto" w:sz="4" w:space="0"/>
            </w:tcBorders>
            <w:vAlign w:val="top"/>
          </w:tcPr>
          <w:p>
            <w:pPr>
              <w:spacing w:before="154" w:line="184" w:lineRule="auto"/>
              <w:jc w:val="center"/>
              <w:rPr>
                <w:rFonts w:hint="eastAsia" w:ascii="宋体" w:hAnsi="宋体"/>
                <w:kern w:val="0"/>
                <w:sz w:val="20"/>
                <w:szCs w:val="20"/>
                <w:lang w:val="en-US" w:eastAsia="zh-CN"/>
              </w:rPr>
            </w:pPr>
            <w:r>
              <w:rPr>
                <w:rFonts w:ascii="宋体" w:hAnsi="宋体" w:eastAsia="宋体" w:cs="宋体"/>
                <w:spacing w:val="-7"/>
                <w:sz w:val="20"/>
                <w:szCs w:val="20"/>
              </w:rPr>
              <w:t>≥98%</w:t>
            </w:r>
          </w:p>
        </w:tc>
        <w:tc>
          <w:tcPr>
            <w:tcW w:w="1357" w:type="dxa"/>
            <w:tcBorders>
              <w:top w:val="single" w:color="auto" w:sz="4" w:space="0"/>
              <w:left w:val="single" w:color="auto" w:sz="4" w:space="0"/>
              <w:bottom w:val="single" w:color="auto" w:sz="4" w:space="0"/>
              <w:right w:val="single" w:color="auto" w:sz="4" w:space="0"/>
            </w:tcBorders>
            <w:vAlign w:val="top"/>
          </w:tcPr>
          <w:p>
            <w:pPr>
              <w:spacing w:before="154" w:line="184" w:lineRule="auto"/>
              <w:jc w:val="center"/>
              <w:rPr>
                <w:rFonts w:hint="eastAsia" w:ascii="宋体" w:hAnsi="宋体" w:eastAsia="宋体" w:cs="宋体"/>
                <w:kern w:val="2"/>
                <w:sz w:val="20"/>
                <w:szCs w:val="20"/>
                <w:lang w:val="en-US" w:eastAsia="zh-CN" w:bidi="ar-SA"/>
              </w:rPr>
            </w:pPr>
            <w:r>
              <w:rPr>
                <w:rFonts w:ascii="宋体" w:hAnsi="宋体" w:eastAsia="宋体" w:cs="宋体"/>
                <w:spacing w:val="-5"/>
                <w:sz w:val="20"/>
                <w:szCs w:val="20"/>
              </w:rPr>
              <w:t>时效指标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154" w:line="184" w:lineRule="auto"/>
              <w:jc w:val="center"/>
              <w:rPr>
                <w:rFonts w:hint="eastAsia" w:ascii="宋体" w:hAnsi="宋体" w:eastAsia="宋体" w:cs="宋体"/>
                <w:kern w:val="2"/>
                <w:sz w:val="20"/>
                <w:szCs w:val="20"/>
                <w:lang w:val="en-US" w:eastAsia="zh-CN" w:bidi="ar-SA"/>
              </w:rPr>
            </w:pPr>
            <w:r>
              <w:rPr>
                <w:rFonts w:ascii="宋体" w:hAnsi="宋体" w:eastAsia="宋体" w:cs="宋体"/>
                <w:spacing w:val="-1"/>
                <w:sz w:val="20"/>
                <w:szCs w:val="20"/>
              </w:rPr>
              <w:t>培训计划完成及时率</w:t>
            </w:r>
          </w:p>
        </w:tc>
        <w:tc>
          <w:tcPr>
            <w:tcW w:w="1100" w:type="dxa"/>
            <w:tcBorders>
              <w:top w:val="single" w:color="auto" w:sz="4" w:space="0"/>
              <w:left w:val="single" w:color="auto" w:sz="4" w:space="0"/>
              <w:bottom w:val="single" w:color="auto" w:sz="4" w:space="0"/>
              <w:right w:val="single" w:color="auto" w:sz="4" w:space="0"/>
            </w:tcBorders>
            <w:vAlign w:val="top"/>
          </w:tcPr>
          <w:p>
            <w:pPr>
              <w:spacing w:before="154" w:line="184" w:lineRule="auto"/>
              <w:ind w:firstLine="314" w:firstLineChars="0"/>
              <w:jc w:val="center"/>
              <w:rPr>
                <w:rFonts w:hint="eastAsia" w:ascii="宋体" w:hAnsi="宋体"/>
                <w:kern w:val="0"/>
                <w:sz w:val="20"/>
                <w:szCs w:val="20"/>
                <w:lang w:val="en-US" w:eastAsia="zh-CN"/>
              </w:rPr>
            </w:pPr>
            <w:r>
              <w:rPr>
                <w:rFonts w:ascii="宋体" w:hAnsi="宋体" w:eastAsia="宋体" w:cs="宋体"/>
                <w:spacing w:val="-7"/>
                <w:sz w:val="20"/>
                <w:szCs w:val="20"/>
              </w:rPr>
              <w:t>≥98%</w:t>
            </w:r>
          </w:p>
        </w:tc>
      </w:tr>
      <w:tr>
        <w:tblPrEx>
          <w:tblCellMar>
            <w:top w:w="0" w:type="dxa"/>
            <w:left w:w="108" w:type="dxa"/>
            <w:bottom w:w="0" w:type="dxa"/>
            <w:right w:w="108" w:type="dxa"/>
          </w:tblCellMar>
        </w:tblPrEx>
        <w:trPr>
          <w:trHeight w:val="454"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top"/>
          </w:tcPr>
          <w:p>
            <w:pPr>
              <w:spacing w:before="124" w:line="184" w:lineRule="auto"/>
              <w:jc w:val="center"/>
              <w:rPr>
                <w:rFonts w:hint="eastAsia" w:ascii="宋体" w:hAnsi="宋体" w:eastAsia="宋体" w:cs="宋体"/>
                <w:kern w:val="2"/>
                <w:sz w:val="20"/>
                <w:szCs w:val="20"/>
                <w:lang w:val="en-US" w:eastAsia="zh-CN" w:bidi="ar-SA"/>
              </w:rPr>
            </w:pPr>
            <w:r>
              <w:rPr>
                <w:rFonts w:ascii="宋体" w:hAnsi="宋体" w:eastAsia="宋体" w:cs="宋体"/>
                <w:spacing w:val="-3"/>
                <w:sz w:val="20"/>
                <w:szCs w:val="20"/>
              </w:rPr>
              <w:t>成本指标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24" w:line="184" w:lineRule="auto"/>
              <w:jc w:val="center"/>
              <w:rPr>
                <w:rFonts w:ascii="宋体" w:hAnsi="宋体" w:eastAsia="宋体" w:cs="宋体"/>
                <w:kern w:val="2"/>
                <w:sz w:val="20"/>
                <w:szCs w:val="20"/>
                <w:lang w:val="en-US" w:eastAsia="zh-CN" w:bidi="ar-SA"/>
              </w:rPr>
            </w:pPr>
            <w:r>
              <w:rPr>
                <w:rFonts w:ascii="宋体" w:hAnsi="宋体" w:eastAsia="宋体" w:cs="宋体"/>
                <w:spacing w:val="-4"/>
                <w:sz w:val="20"/>
                <w:szCs w:val="20"/>
              </w:rPr>
              <w:t>费用控制率</w:t>
            </w:r>
          </w:p>
        </w:tc>
        <w:tc>
          <w:tcPr>
            <w:tcW w:w="892" w:type="dxa"/>
            <w:tcBorders>
              <w:top w:val="single" w:color="auto" w:sz="4" w:space="0"/>
              <w:left w:val="single" w:color="auto" w:sz="4" w:space="0"/>
              <w:bottom w:val="single" w:color="auto" w:sz="4" w:space="0"/>
              <w:right w:val="single" w:color="auto" w:sz="4" w:space="0"/>
            </w:tcBorders>
            <w:vAlign w:val="top"/>
          </w:tcPr>
          <w:p>
            <w:pPr>
              <w:spacing w:before="124" w:line="184" w:lineRule="auto"/>
              <w:jc w:val="center"/>
              <w:rPr>
                <w:rFonts w:hint="eastAsia" w:ascii="宋体" w:hAnsi="宋体"/>
                <w:kern w:val="0"/>
                <w:sz w:val="20"/>
                <w:szCs w:val="20"/>
                <w:lang w:val="en-US" w:eastAsia="zh-CN"/>
              </w:rPr>
            </w:pPr>
            <w:r>
              <w:rPr>
                <w:rFonts w:ascii="宋体" w:hAnsi="宋体" w:eastAsia="宋体" w:cs="宋体"/>
                <w:spacing w:val="-5"/>
                <w:sz w:val="20"/>
                <w:szCs w:val="20"/>
              </w:rPr>
              <w:t>≤100%</w:t>
            </w:r>
          </w:p>
        </w:tc>
        <w:tc>
          <w:tcPr>
            <w:tcW w:w="1357" w:type="dxa"/>
            <w:tcBorders>
              <w:top w:val="single" w:color="auto" w:sz="4" w:space="0"/>
              <w:left w:val="single" w:color="auto" w:sz="4" w:space="0"/>
              <w:bottom w:val="single" w:color="auto" w:sz="4" w:space="0"/>
              <w:right w:val="single" w:color="auto" w:sz="4" w:space="0"/>
            </w:tcBorders>
            <w:vAlign w:val="top"/>
          </w:tcPr>
          <w:p>
            <w:pPr>
              <w:spacing w:before="124" w:line="184" w:lineRule="auto"/>
              <w:jc w:val="center"/>
              <w:rPr>
                <w:rFonts w:hint="eastAsia" w:ascii="宋体" w:hAnsi="宋体" w:eastAsia="宋体" w:cs="宋体"/>
                <w:kern w:val="2"/>
                <w:sz w:val="20"/>
                <w:szCs w:val="20"/>
                <w:lang w:val="en-US" w:eastAsia="zh-CN" w:bidi="ar-SA"/>
              </w:rPr>
            </w:pPr>
            <w:r>
              <w:rPr>
                <w:rFonts w:ascii="宋体" w:hAnsi="宋体" w:eastAsia="宋体" w:cs="宋体"/>
                <w:spacing w:val="-3"/>
                <w:sz w:val="20"/>
                <w:szCs w:val="20"/>
              </w:rPr>
              <w:t>成本指标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124" w:line="184" w:lineRule="auto"/>
              <w:jc w:val="center"/>
              <w:rPr>
                <w:rFonts w:hint="eastAsia" w:ascii="宋体" w:hAnsi="宋体" w:eastAsia="宋体" w:cs="宋体"/>
                <w:kern w:val="2"/>
                <w:sz w:val="20"/>
                <w:szCs w:val="20"/>
                <w:lang w:val="en-US" w:eastAsia="zh-CN" w:bidi="ar-SA"/>
              </w:rPr>
            </w:pPr>
            <w:r>
              <w:rPr>
                <w:rFonts w:ascii="宋体" w:hAnsi="宋体" w:eastAsia="宋体" w:cs="宋体"/>
                <w:spacing w:val="-4"/>
                <w:sz w:val="20"/>
                <w:szCs w:val="20"/>
              </w:rPr>
              <w:t>费用控制率</w:t>
            </w:r>
          </w:p>
        </w:tc>
        <w:tc>
          <w:tcPr>
            <w:tcW w:w="1100" w:type="dxa"/>
            <w:tcBorders>
              <w:top w:val="single" w:color="auto" w:sz="4" w:space="0"/>
              <w:left w:val="single" w:color="auto" w:sz="4" w:space="0"/>
              <w:bottom w:val="single" w:color="auto" w:sz="4" w:space="0"/>
              <w:right w:val="single" w:color="auto" w:sz="4" w:space="0"/>
            </w:tcBorders>
            <w:vAlign w:val="top"/>
          </w:tcPr>
          <w:p>
            <w:pPr>
              <w:spacing w:before="124" w:line="184" w:lineRule="auto"/>
              <w:ind w:firstLine="258" w:firstLineChars="0"/>
              <w:jc w:val="center"/>
              <w:rPr>
                <w:rFonts w:hint="eastAsia" w:ascii="宋体" w:hAnsi="宋体"/>
                <w:kern w:val="0"/>
                <w:sz w:val="20"/>
                <w:szCs w:val="20"/>
                <w:lang w:val="en-US" w:eastAsia="zh-CN"/>
              </w:rPr>
            </w:pPr>
            <w:r>
              <w:rPr>
                <w:rFonts w:ascii="宋体" w:hAnsi="宋体" w:eastAsia="宋体" w:cs="宋体"/>
                <w:spacing w:val="-5"/>
                <w:sz w:val="20"/>
                <w:szCs w:val="20"/>
              </w:rPr>
              <w:t>≤100%</w:t>
            </w:r>
          </w:p>
        </w:tc>
      </w:tr>
      <w:tr>
        <w:tblPrEx>
          <w:tblCellMar>
            <w:top w:w="0" w:type="dxa"/>
            <w:left w:w="108" w:type="dxa"/>
            <w:bottom w:w="0" w:type="dxa"/>
            <w:right w:w="108" w:type="dxa"/>
          </w:tblCellMar>
        </w:tblPrEx>
        <w:trPr>
          <w:trHeight w:val="581"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restart"/>
            <w:tcBorders>
              <w:top w:val="single" w:color="auto" w:sz="4" w:space="0"/>
              <w:left w:val="single" w:color="auto" w:sz="4" w:space="0"/>
              <w:right w:val="single" w:color="auto" w:sz="4" w:space="0"/>
            </w:tcBorders>
            <w:vAlign w:val="center"/>
          </w:tcPr>
          <w:p>
            <w:pPr>
              <w:widowControl/>
              <w:jc w:val="left"/>
              <w:rPr>
                <w:rFonts w:hint="eastAsia" w:ascii="宋体" w:hAnsi="宋体" w:eastAsia="宋体"/>
                <w:kern w:val="0"/>
                <w:sz w:val="20"/>
                <w:szCs w:val="20"/>
                <w:lang w:eastAsia="zh-CN"/>
              </w:rPr>
            </w:pPr>
            <w:r>
              <w:rPr>
                <w:rFonts w:hint="eastAsia" w:ascii="宋体" w:hAnsi="宋体"/>
                <w:kern w:val="0"/>
                <w:sz w:val="20"/>
                <w:szCs w:val="20"/>
                <w:lang w:eastAsia="zh-CN"/>
              </w:rPr>
              <w:t>效益指标</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eastAsia="zh-CN"/>
              </w:rPr>
            </w:pPr>
            <w:r>
              <w:rPr>
                <w:rFonts w:hint="eastAsia" w:ascii="宋体" w:hAnsi="宋体"/>
                <w:kern w:val="0"/>
                <w:sz w:val="20"/>
                <w:szCs w:val="20"/>
              </w:rPr>
              <w:t>社会效益</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04" w:line="184" w:lineRule="auto"/>
              <w:jc w:val="center"/>
              <w:rPr>
                <w:rFonts w:ascii="宋体" w:hAnsi="宋体" w:eastAsia="宋体" w:cs="宋体"/>
                <w:kern w:val="2"/>
                <w:sz w:val="20"/>
                <w:szCs w:val="20"/>
                <w:lang w:val="en-US" w:eastAsia="zh-CN" w:bidi="ar-SA"/>
              </w:rPr>
            </w:pPr>
            <w:r>
              <w:rPr>
                <w:rFonts w:ascii="宋体" w:hAnsi="宋体" w:eastAsia="宋体" w:cs="宋体"/>
                <w:spacing w:val="-2"/>
                <w:sz w:val="20"/>
                <w:szCs w:val="20"/>
              </w:rPr>
              <w:t>行业安全形势提高</w:t>
            </w:r>
          </w:p>
        </w:tc>
        <w:tc>
          <w:tcPr>
            <w:tcW w:w="892" w:type="dxa"/>
            <w:tcBorders>
              <w:top w:val="single" w:color="auto" w:sz="4" w:space="0"/>
              <w:left w:val="single" w:color="auto" w:sz="4" w:space="0"/>
              <w:bottom w:val="single" w:color="auto" w:sz="4" w:space="0"/>
              <w:right w:val="single" w:color="auto" w:sz="4" w:space="0"/>
            </w:tcBorders>
            <w:vAlign w:val="top"/>
          </w:tcPr>
          <w:p>
            <w:pPr>
              <w:spacing w:before="104" w:line="184" w:lineRule="auto"/>
              <w:jc w:val="center"/>
              <w:rPr>
                <w:rFonts w:ascii="宋体" w:hAnsi="宋体"/>
                <w:kern w:val="0"/>
                <w:sz w:val="20"/>
                <w:szCs w:val="20"/>
              </w:rPr>
            </w:pPr>
            <w:r>
              <w:rPr>
                <w:rFonts w:ascii="宋体" w:hAnsi="宋体" w:eastAsia="宋体" w:cs="宋体"/>
                <w:spacing w:val="-5"/>
                <w:sz w:val="20"/>
                <w:szCs w:val="20"/>
              </w:rPr>
              <w:t>提高</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0"/>
                <w:szCs w:val="20"/>
                <w:lang w:eastAsia="zh-CN"/>
              </w:rPr>
            </w:pPr>
            <w:r>
              <w:rPr>
                <w:rFonts w:hint="eastAsia" w:ascii="宋体" w:hAnsi="宋体"/>
                <w:kern w:val="0"/>
                <w:sz w:val="20"/>
                <w:szCs w:val="20"/>
              </w:rPr>
              <w:t>社会效益</w:t>
            </w:r>
          </w:p>
        </w:tc>
        <w:tc>
          <w:tcPr>
            <w:tcW w:w="1635" w:type="dxa"/>
            <w:tcBorders>
              <w:top w:val="single" w:color="auto" w:sz="4" w:space="0"/>
              <w:left w:val="single" w:color="auto" w:sz="4" w:space="0"/>
              <w:bottom w:val="single" w:color="auto" w:sz="4" w:space="0"/>
              <w:right w:val="single" w:color="auto" w:sz="4" w:space="0"/>
            </w:tcBorders>
            <w:vAlign w:val="top"/>
          </w:tcPr>
          <w:p>
            <w:pPr>
              <w:spacing w:before="104" w:line="184" w:lineRule="auto"/>
              <w:jc w:val="center"/>
              <w:rPr>
                <w:rFonts w:hint="eastAsia" w:ascii="宋体" w:hAnsi="宋体" w:eastAsia="宋体" w:cs="宋体"/>
                <w:kern w:val="2"/>
                <w:sz w:val="20"/>
                <w:szCs w:val="20"/>
                <w:lang w:val="en-US" w:eastAsia="zh-CN" w:bidi="ar-SA"/>
              </w:rPr>
            </w:pPr>
            <w:r>
              <w:rPr>
                <w:rFonts w:ascii="宋体" w:hAnsi="宋体" w:eastAsia="宋体" w:cs="宋体"/>
                <w:spacing w:val="-2"/>
                <w:sz w:val="20"/>
                <w:szCs w:val="20"/>
              </w:rPr>
              <w:t>行业安全形势提高</w:t>
            </w:r>
          </w:p>
        </w:tc>
        <w:tc>
          <w:tcPr>
            <w:tcW w:w="1100" w:type="dxa"/>
            <w:tcBorders>
              <w:top w:val="single" w:color="auto" w:sz="4" w:space="0"/>
              <w:left w:val="single" w:color="auto" w:sz="4" w:space="0"/>
              <w:bottom w:val="single" w:color="auto" w:sz="4" w:space="0"/>
              <w:right w:val="single" w:color="auto" w:sz="4" w:space="0"/>
            </w:tcBorders>
            <w:vAlign w:val="top"/>
          </w:tcPr>
          <w:p>
            <w:pPr>
              <w:spacing w:before="104" w:line="184" w:lineRule="auto"/>
              <w:ind w:firstLine="346" w:firstLineChars="0"/>
              <w:jc w:val="center"/>
              <w:rPr>
                <w:rFonts w:ascii="宋体" w:hAnsi="宋体"/>
                <w:kern w:val="0"/>
                <w:sz w:val="20"/>
                <w:szCs w:val="20"/>
              </w:rPr>
            </w:pPr>
            <w:r>
              <w:rPr>
                <w:rFonts w:ascii="宋体" w:hAnsi="宋体" w:eastAsia="宋体" w:cs="宋体"/>
                <w:spacing w:val="-5"/>
                <w:sz w:val="20"/>
                <w:szCs w:val="20"/>
              </w:rPr>
              <w:t>提高</w:t>
            </w:r>
          </w:p>
        </w:tc>
      </w:tr>
      <w:tr>
        <w:tblPrEx>
          <w:tblCellMar>
            <w:top w:w="0" w:type="dxa"/>
            <w:left w:w="108" w:type="dxa"/>
            <w:bottom w:w="0" w:type="dxa"/>
            <w:right w:w="108" w:type="dxa"/>
          </w:tblCellMar>
        </w:tblPrEx>
        <w:trPr>
          <w:trHeight w:val="615"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left w:val="single" w:color="auto" w:sz="4" w:space="0"/>
              <w:right w:val="single" w:color="auto" w:sz="4" w:space="0"/>
            </w:tcBorders>
            <w:vAlign w:val="center"/>
          </w:tcPr>
          <w:p>
            <w:pPr>
              <w:widowControl/>
              <w:jc w:val="left"/>
              <w:rPr>
                <w:rFonts w:hint="eastAsia" w:ascii="宋体" w:hAnsi="宋体"/>
                <w:kern w:val="0"/>
                <w:sz w:val="20"/>
                <w:szCs w:val="20"/>
                <w:lang w:eastAsia="zh-CN"/>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kern w:val="0"/>
                <w:sz w:val="20"/>
                <w:szCs w:val="20"/>
              </w:rPr>
            </w:pPr>
            <w:r>
              <w:rPr>
                <w:rFonts w:hint="eastAsia" w:ascii="宋体" w:hAnsi="宋体"/>
                <w:kern w:val="0"/>
                <w:sz w:val="20"/>
                <w:szCs w:val="20"/>
              </w:rPr>
              <w:t>社会效益</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02" w:line="184" w:lineRule="auto"/>
              <w:jc w:val="center"/>
              <w:rPr>
                <w:rFonts w:ascii="宋体" w:hAnsi="宋体" w:eastAsia="宋体" w:cs="宋体"/>
                <w:kern w:val="2"/>
                <w:sz w:val="20"/>
                <w:szCs w:val="20"/>
                <w:lang w:val="en-US" w:eastAsia="zh-CN" w:bidi="ar-SA"/>
              </w:rPr>
            </w:pPr>
            <w:r>
              <w:rPr>
                <w:rFonts w:ascii="宋体" w:hAnsi="宋体" w:eastAsia="宋体" w:cs="宋体"/>
                <w:spacing w:val="-2"/>
                <w:sz w:val="20"/>
                <w:szCs w:val="20"/>
              </w:rPr>
              <w:t>提升紧急救援能力</w:t>
            </w:r>
          </w:p>
        </w:tc>
        <w:tc>
          <w:tcPr>
            <w:tcW w:w="892" w:type="dxa"/>
            <w:tcBorders>
              <w:top w:val="single" w:color="auto" w:sz="4" w:space="0"/>
              <w:left w:val="single" w:color="auto" w:sz="4" w:space="0"/>
              <w:bottom w:val="single" w:color="auto" w:sz="4" w:space="0"/>
              <w:right w:val="single" w:color="auto" w:sz="4" w:space="0"/>
            </w:tcBorders>
            <w:vAlign w:val="top"/>
          </w:tcPr>
          <w:p>
            <w:pPr>
              <w:spacing w:before="102" w:line="184" w:lineRule="auto"/>
              <w:jc w:val="center"/>
              <w:rPr>
                <w:rFonts w:hint="eastAsia" w:ascii="宋体" w:hAnsi="宋体"/>
                <w:kern w:val="0"/>
                <w:sz w:val="20"/>
                <w:szCs w:val="20"/>
              </w:rPr>
            </w:pPr>
            <w:r>
              <w:rPr>
                <w:rFonts w:ascii="宋体" w:hAnsi="宋体" w:eastAsia="宋体" w:cs="宋体"/>
                <w:spacing w:val="-5"/>
                <w:sz w:val="20"/>
                <w:szCs w:val="20"/>
              </w:rPr>
              <w:t>提升</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kern w:val="0"/>
                <w:sz w:val="20"/>
                <w:szCs w:val="20"/>
              </w:rPr>
            </w:pPr>
            <w:r>
              <w:rPr>
                <w:rFonts w:hint="eastAsia" w:ascii="宋体" w:hAnsi="宋体"/>
                <w:kern w:val="0"/>
                <w:sz w:val="20"/>
                <w:szCs w:val="20"/>
              </w:rPr>
              <w:t>社会效益</w:t>
            </w:r>
          </w:p>
        </w:tc>
        <w:tc>
          <w:tcPr>
            <w:tcW w:w="1635" w:type="dxa"/>
            <w:tcBorders>
              <w:top w:val="single" w:color="auto" w:sz="4" w:space="0"/>
              <w:left w:val="single" w:color="auto" w:sz="4" w:space="0"/>
              <w:bottom w:val="single" w:color="auto" w:sz="4" w:space="0"/>
              <w:right w:val="single" w:color="auto" w:sz="4" w:space="0"/>
            </w:tcBorders>
            <w:vAlign w:val="top"/>
          </w:tcPr>
          <w:p>
            <w:pPr>
              <w:spacing w:before="102" w:line="184" w:lineRule="auto"/>
              <w:jc w:val="center"/>
              <w:rPr>
                <w:rFonts w:hint="eastAsia" w:ascii="宋体" w:hAnsi="宋体" w:eastAsia="宋体" w:cs="宋体"/>
                <w:kern w:val="2"/>
                <w:sz w:val="20"/>
                <w:szCs w:val="20"/>
                <w:lang w:val="en-US" w:eastAsia="zh-CN" w:bidi="ar-SA"/>
              </w:rPr>
            </w:pPr>
            <w:r>
              <w:rPr>
                <w:rFonts w:ascii="宋体" w:hAnsi="宋体" w:eastAsia="宋体" w:cs="宋体"/>
                <w:spacing w:val="-2"/>
                <w:sz w:val="20"/>
                <w:szCs w:val="20"/>
              </w:rPr>
              <w:t>提升紧急救援能力</w:t>
            </w:r>
          </w:p>
        </w:tc>
        <w:tc>
          <w:tcPr>
            <w:tcW w:w="1100" w:type="dxa"/>
            <w:tcBorders>
              <w:top w:val="single" w:color="auto" w:sz="4" w:space="0"/>
              <w:left w:val="single" w:color="auto" w:sz="4" w:space="0"/>
              <w:bottom w:val="single" w:color="auto" w:sz="4" w:space="0"/>
              <w:right w:val="single" w:color="auto" w:sz="4" w:space="0"/>
            </w:tcBorders>
            <w:vAlign w:val="top"/>
          </w:tcPr>
          <w:p>
            <w:pPr>
              <w:spacing w:before="102" w:line="184" w:lineRule="auto"/>
              <w:ind w:firstLine="346" w:firstLineChars="0"/>
              <w:jc w:val="center"/>
              <w:rPr>
                <w:rFonts w:hint="eastAsia" w:ascii="宋体" w:hAnsi="宋体"/>
                <w:kern w:val="0"/>
                <w:sz w:val="20"/>
                <w:szCs w:val="20"/>
              </w:rPr>
            </w:pPr>
            <w:r>
              <w:rPr>
                <w:rFonts w:ascii="宋体" w:hAnsi="宋体" w:eastAsia="宋体" w:cs="宋体"/>
                <w:spacing w:val="-5"/>
                <w:sz w:val="20"/>
                <w:szCs w:val="20"/>
              </w:rPr>
              <w:t>提升</w:t>
            </w:r>
          </w:p>
        </w:tc>
      </w:tr>
      <w:tr>
        <w:tblPrEx>
          <w:tblCellMar>
            <w:top w:w="0" w:type="dxa"/>
            <w:left w:w="108" w:type="dxa"/>
            <w:bottom w:w="0" w:type="dxa"/>
            <w:right w:w="108" w:type="dxa"/>
          </w:tblCellMar>
        </w:tblPrEx>
        <w:trPr>
          <w:trHeight w:val="20"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可持续影响指标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218" w:line="184" w:lineRule="auto"/>
              <w:jc w:val="center"/>
              <w:rPr>
                <w:rFonts w:ascii="宋体" w:hAnsi="宋体" w:eastAsia="宋体" w:cs="宋体"/>
                <w:kern w:val="2"/>
                <w:sz w:val="20"/>
                <w:szCs w:val="20"/>
                <w:lang w:val="en-US" w:eastAsia="zh-CN" w:bidi="ar-SA"/>
              </w:rPr>
            </w:pPr>
            <w:r>
              <w:rPr>
                <w:rFonts w:ascii="宋体" w:hAnsi="宋体" w:eastAsia="宋体" w:cs="宋体"/>
                <w:spacing w:val="-1"/>
                <w:sz w:val="20"/>
                <w:szCs w:val="20"/>
              </w:rPr>
              <w:t>培训人员的安全意识</w:t>
            </w:r>
          </w:p>
        </w:tc>
        <w:tc>
          <w:tcPr>
            <w:tcW w:w="892" w:type="dxa"/>
            <w:tcBorders>
              <w:top w:val="single" w:color="auto" w:sz="4" w:space="0"/>
              <w:left w:val="single" w:color="auto" w:sz="4" w:space="0"/>
              <w:bottom w:val="single" w:color="auto" w:sz="4" w:space="0"/>
              <w:right w:val="single" w:color="auto" w:sz="4" w:space="0"/>
            </w:tcBorders>
            <w:vAlign w:val="top"/>
          </w:tcPr>
          <w:p>
            <w:pPr>
              <w:spacing w:before="218" w:line="184" w:lineRule="auto"/>
              <w:jc w:val="center"/>
              <w:rPr>
                <w:rFonts w:ascii="宋体" w:hAnsi="宋体"/>
                <w:kern w:val="0"/>
                <w:sz w:val="20"/>
                <w:szCs w:val="20"/>
              </w:rPr>
            </w:pPr>
            <w:r>
              <w:rPr>
                <w:rFonts w:ascii="宋体" w:hAnsi="宋体" w:eastAsia="宋体" w:cs="宋体"/>
                <w:spacing w:val="-5"/>
                <w:sz w:val="20"/>
                <w:szCs w:val="20"/>
              </w:rPr>
              <w:t>提高</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可持续影响指标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218" w:line="184" w:lineRule="auto"/>
              <w:jc w:val="center"/>
              <w:rPr>
                <w:rFonts w:ascii="宋体" w:hAnsi="宋体" w:eastAsia="宋体" w:cs="宋体"/>
                <w:kern w:val="2"/>
                <w:sz w:val="20"/>
                <w:szCs w:val="20"/>
                <w:lang w:val="en-US" w:eastAsia="zh-CN" w:bidi="ar-SA"/>
              </w:rPr>
            </w:pPr>
            <w:r>
              <w:rPr>
                <w:rFonts w:ascii="宋体" w:hAnsi="宋体" w:eastAsia="宋体" w:cs="宋体"/>
                <w:spacing w:val="-1"/>
                <w:sz w:val="20"/>
                <w:szCs w:val="20"/>
              </w:rPr>
              <w:t>培训人员的安全意识</w:t>
            </w:r>
          </w:p>
        </w:tc>
        <w:tc>
          <w:tcPr>
            <w:tcW w:w="1100" w:type="dxa"/>
            <w:tcBorders>
              <w:top w:val="single" w:color="auto" w:sz="4" w:space="0"/>
              <w:left w:val="single" w:color="auto" w:sz="4" w:space="0"/>
              <w:bottom w:val="single" w:color="auto" w:sz="4" w:space="0"/>
              <w:right w:val="single" w:color="auto" w:sz="4" w:space="0"/>
            </w:tcBorders>
            <w:vAlign w:val="top"/>
          </w:tcPr>
          <w:p>
            <w:pPr>
              <w:spacing w:before="218" w:line="184" w:lineRule="auto"/>
              <w:ind w:firstLine="346" w:firstLineChars="0"/>
              <w:jc w:val="center"/>
              <w:rPr>
                <w:rFonts w:ascii="宋体" w:hAnsi="宋体" w:eastAsia="宋体" w:cs="Times New Roman"/>
                <w:kern w:val="0"/>
                <w:sz w:val="20"/>
                <w:szCs w:val="20"/>
                <w:lang w:val="en-US" w:eastAsia="zh-CN" w:bidi="ar-SA"/>
              </w:rPr>
            </w:pPr>
            <w:r>
              <w:rPr>
                <w:rFonts w:ascii="宋体" w:hAnsi="宋体" w:eastAsia="宋体" w:cs="宋体"/>
                <w:spacing w:val="-5"/>
                <w:sz w:val="20"/>
                <w:szCs w:val="20"/>
              </w:rPr>
              <w:t>提高</w:t>
            </w:r>
          </w:p>
        </w:tc>
      </w:tr>
      <w:tr>
        <w:tblPrEx>
          <w:tblCellMar>
            <w:top w:w="0" w:type="dxa"/>
            <w:left w:w="108" w:type="dxa"/>
            <w:bottom w:w="0" w:type="dxa"/>
            <w:right w:w="108" w:type="dxa"/>
          </w:tblCellMar>
        </w:tblPrEx>
        <w:trPr>
          <w:trHeight w:val="759"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restart"/>
            <w:tcBorders>
              <w:top w:val="single" w:color="auto" w:sz="4" w:space="0"/>
              <w:left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满意度指标</w:t>
            </w:r>
          </w:p>
        </w:tc>
        <w:tc>
          <w:tcPr>
            <w:tcW w:w="2716" w:type="dxa"/>
            <w:gridSpan w:val="3"/>
            <w:tcBorders>
              <w:top w:val="single" w:color="auto" w:sz="4" w:space="0"/>
              <w:left w:val="single" w:color="auto" w:sz="4" w:space="0"/>
              <w:bottom w:val="single" w:color="auto" w:sz="4" w:space="0"/>
              <w:right w:val="single" w:color="auto" w:sz="4" w:space="0"/>
            </w:tcBorders>
            <w:vAlign w:val="center"/>
          </w:tcPr>
          <w:p>
            <w:pPr>
              <w:spacing w:before="228" w:line="184" w:lineRule="auto"/>
              <w:jc w:val="center"/>
              <w:rPr>
                <w:rFonts w:hint="eastAsia" w:ascii="宋体" w:hAnsi="宋体" w:eastAsia="宋体" w:cs="宋体"/>
                <w:kern w:val="2"/>
                <w:sz w:val="20"/>
                <w:szCs w:val="20"/>
                <w:lang w:val="en-US" w:eastAsia="zh-CN" w:bidi="ar-SA"/>
              </w:rPr>
            </w:pPr>
            <w:r>
              <w:rPr>
                <w:rFonts w:ascii="宋体" w:hAnsi="宋体" w:eastAsia="宋体" w:cs="宋体"/>
                <w:spacing w:val="-2"/>
                <w:sz w:val="20"/>
                <w:szCs w:val="20"/>
              </w:rPr>
              <w:t>上级主管</w:t>
            </w:r>
            <w:r>
              <w:rPr>
                <w:rFonts w:hint="eastAsia" w:ascii="宋体" w:hAnsi="宋体" w:eastAsia="宋体" w:cs="宋体"/>
                <w:spacing w:val="-2"/>
                <w:sz w:val="20"/>
                <w:szCs w:val="20"/>
                <w:lang w:eastAsia="zh-CN"/>
              </w:rPr>
              <w:t>单位</w:t>
            </w:r>
            <w:r>
              <w:rPr>
                <w:rFonts w:ascii="宋体" w:hAnsi="宋体" w:eastAsia="宋体" w:cs="宋体"/>
                <w:spacing w:val="-2"/>
                <w:sz w:val="20"/>
                <w:szCs w:val="20"/>
              </w:rPr>
              <w:t>满意度</w:t>
            </w:r>
          </w:p>
        </w:tc>
        <w:tc>
          <w:tcPr>
            <w:tcW w:w="892" w:type="dxa"/>
            <w:tcBorders>
              <w:top w:val="single" w:color="auto" w:sz="4" w:space="0"/>
              <w:left w:val="single" w:color="auto" w:sz="4" w:space="0"/>
              <w:bottom w:val="single" w:color="auto" w:sz="4" w:space="0"/>
              <w:right w:val="single" w:color="auto" w:sz="4" w:space="0"/>
            </w:tcBorders>
            <w:vAlign w:val="top"/>
          </w:tcPr>
          <w:p>
            <w:pPr>
              <w:spacing w:before="228" w:line="184" w:lineRule="auto"/>
              <w:jc w:val="center"/>
              <w:rPr>
                <w:rFonts w:hint="eastAsia" w:ascii="宋体" w:hAnsi="宋体"/>
                <w:kern w:val="0"/>
                <w:sz w:val="20"/>
                <w:szCs w:val="20"/>
              </w:rPr>
            </w:pPr>
            <w:r>
              <w:rPr>
                <w:rFonts w:ascii="宋体" w:hAnsi="宋体" w:eastAsia="宋体" w:cs="宋体"/>
                <w:spacing w:val="-7"/>
                <w:sz w:val="20"/>
                <w:szCs w:val="20"/>
              </w:rPr>
              <w:t>≥98%</w:t>
            </w:r>
          </w:p>
        </w:tc>
        <w:tc>
          <w:tcPr>
            <w:tcW w:w="2992" w:type="dxa"/>
            <w:gridSpan w:val="2"/>
            <w:tcBorders>
              <w:top w:val="single" w:color="auto" w:sz="4" w:space="0"/>
              <w:left w:val="single" w:color="auto" w:sz="4" w:space="0"/>
              <w:bottom w:val="single" w:color="auto" w:sz="4" w:space="0"/>
              <w:right w:val="single" w:color="auto" w:sz="4" w:space="0"/>
            </w:tcBorders>
            <w:vAlign w:val="center"/>
          </w:tcPr>
          <w:p>
            <w:pPr>
              <w:spacing w:before="228" w:line="184" w:lineRule="auto"/>
              <w:jc w:val="center"/>
              <w:rPr>
                <w:rFonts w:hint="eastAsia" w:ascii="宋体" w:hAnsi="宋体" w:eastAsia="宋体" w:cs="宋体"/>
                <w:kern w:val="2"/>
                <w:sz w:val="20"/>
                <w:szCs w:val="20"/>
                <w:lang w:val="en-US" w:eastAsia="zh-CN" w:bidi="ar-SA"/>
              </w:rPr>
            </w:pPr>
            <w:r>
              <w:rPr>
                <w:rFonts w:ascii="宋体" w:hAnsi="宋体" w:eastAsia="宋体" w:cs="宋体"/>
                <w:spacing w:val="-2"/>
                <w:sz w:val="20"/>
                <w:szCs w:val="20"/>
              </w:rPr>
              <w:t>上级主管</w:t>
            </w:r>
            <w:r>
              <w:rPr>
                <w:rFonts w:hint="eastAsia" w:ascii="宋体" w:hAnsi="宋体" w:eastAsia="宋体" w:cs="宋体"/>
                <w:spacing w:val="-2"/>
                <w:sz w:val="20"/>
                <w:szCs w:val="20"/>
                <w:lang w:eastAsia="zh-CN"/>
              </w:rPr>
              <w:t>单位</w:t>
            </w:r>
            <w:r>
              <w:rPr>
                <w:rFonts w:ascii="宋体" w:hAnsi="宋体" w:eastAsia="宋体" w:cs="宋体"/>
                <w:spacing w:val="-2"/>
                <w:sz w:val="20"/>
                <w:szCs w:val="20"/>
              </w:rPr>
              <w:t>满意度</w:t>
            </w:r>
          </w:p>
        </w:tc>
        <w:tc>
          <w:tcPr>
            <w:tcW w:w="1100" w:type="dxa"/>
            <w:tcBorders>
              <w:top w:val="single" w:color="auto" w:sz="4" w:space="0"/>
              <w:left w:val="single" w:color="auto" w:sz="4" w:space="0"/>
              <w:bottom w:val="single" w:color="auto" w:sz="4" w:space="0"/>
              <w:right w:val="single" w:color="auto" w:sz="4" w:space="0"/>
            </w:tcBorders>
            <w:vAlign w:val="top"/>
          </w:tcPr>
          <w:p>
            <w:pPr>
              <w:spacing w:before="228" w:line="184" w:lineRule="auto"/>
              <w:ind w:firstLine="314" w:firstLineChars="0"/>
              <w:jc w:val="center"/>
              <w:rPr>
                <w:rFonts w:hint="eastAsia" w:ascii="宋体" w:hAnsi="宋体" w:eastAsia="宋体" w:cs="宋体"/>
                <w:kern w:val="2"/>
                <w:sz w:val="20"/>
                <w:szCs w:val="20"/>
                <w:lang w:val="en-US" w:eastAsia="zh-CN" w:bidi="ar-SA"/>
              </w:rPr>
            </w:pPr>
            <w:r>
              <w:rPr>
                <w:rFonts w:ascii="宋体" w:hAnsi="宋体" w:eastAsia="宋体" w:cs="宋体"/>
                <w:spacing w:val="-7"/>
                <w:sz w:val="20"/>
                <w:szCs w:val="20"/>
              </w:rPr>
              <w:t>≥98%</w:t>
            </w:r>
          </w:p>
        </w:tc>
      </w:tr>
      <w:tr>
        <w:tblPrEx>
          <w:tblCellMar>
            <w:top w:w="0" w:type="dxa"/>
            <w:left w:w="108" w:type="dxa"/>
            <w:bottom w:w="0" w:type="dxa"/>
            <w:right w:w="108" w:type="dxa"/>
          </w:tblCellMar>
        </w:tblPrEx>
        <w:trPr>
          <w:trHeight w:val="674"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p>
        </w:tc>
        <w:tc>
          <w:tcPr>
            <w:tcW w:w="2716" w:type="dxa"/>
            <w:gridSpan w:val="3"/>
            <w:tcBorders>
              <w:top w:val="single" w:color="auto" w:sz="4" w:space="0"/>
              <w:left w:val="single" w:color="auto" w:sz="4" w:space="0"/>
              <w:bottom w:val="single" w:color="auto" w:sz="4" w:space="0"/>
              <w:right w:val="single" w:color="auto" w:sz="4" w:space="0"/>
            </w:tcBorders>
            <w:vAlign w:val="center"/>
          </w:tcPr>
          <w:p>
            <w:pPr>
              <w:spacing w:before="83" w:line="184" w:lineRule="auto"/>
              <w:jc w:val="center"/>
              <w:rPr>
                <w:rFonts w:ascii="宋体" w:hAnsi="宋体" w:eastAsia="宋体" w:cs="宋体"/>
                <w:kern w:val="2"/>
                <w:sz w:val="20"/>
                <w:szCs w:val="20"/>
                <w:lang w:val="en-US" w:eastAsia="zh-CN" w:bidi="ar-SA"/>
              </w:rPr>
            </w:pPr>
            <w:r>
              <w:rPr>
                <w:rFonts w:ascii="宋体" w:hAnsi="宋体" w:eastAsia="宋体" w:cs="宋体"/>
                <w:spacing w:val="-2"/>
                <w:sz w:val="20"/>
                <w:szCs w:val="20"/>
              </w:rPr>
              <w:t>受益人员满意度</w:t>
            </w:r>
          </w:p>
        </w:tc>
        <w:tc>
          <w:tcPr>
            <w:tcW w:w="892" w:type="dxa"/>
            <w:tcBorders>
              <w:top w:val="single" w:color="auto" w:sz="4" w:space="0"/>
              <w:left w:val="single" w:color="auto" w:sz="4" w:space="0"/>
              <w:bottom w:val="single" w:color="auto" w:sz="4" w:space="0"/>
              <w:right w:val="single" w:color="auto" w:sz="4" w:space="0"/>
            </w:tcBorders>
            <w:vAlign w:val="top"/>
          </w:tcPr>
          <w:p>
            <w:pPr>
              <w:spacing w:before="83" w:line="184" w:lineRule="auto"/>
              <w:jc w:val="center"/>
              <w:rPr>
                <w:rFonts w:hint="default" w:ascii="宋体" w:hAnsi="宋体" w:eastAsia="宋体"/>
                <w:kern w:val="0"/>
                <w:sz w:val="20"/>
                <w:szCs w:val="20"/>
                <w:lang w:val="en-US" w:eastAsia="zh-CN"/>
              </w:rPr>
            </w:pPr>
            <w:r>
              <w:rPr>
                <w:rFonts w:ascii="宋体" w:hAnsi="宋体" w:eastAsia="宋体" w:cs="宋体"/>
                <w:spacing w:val="-7"/>
                <w:sz w:val="20"/>
                <w:szCs w:val="20"/>
              </w:rPr>
              <w:t>≥98%</w:t>
            </w:r>
          </w:p>
        </w:tc>
        <w:tc>
          <w:tcPr>
            <w:tcW w:w="2992" w:type="dxa"/>
            <w:gridSpan w:val="2"/>
            <w:tcBorders>
              <w:top w:val="single" w:color="auto" w:sz="4" w:space="0"/>
              <w:left w:val="single" w:color="auto" w:sz="4" w:space="0"/>
              <w:bottom w:val="single" w:color="auto" w:sz="4" w:space="0"/>
              <w:right w:val="single" w:color="auto" w:sz="4" w:space="0"/>
            </w:tcBorders>
            <w:vAlign w:val="center"/>
          </w:tcPr>
          <w:p>
            <w:pPr>
              <w:spacing w:before="83" w:line="184" w:lineRule="auto"/>
              <w:jc w:val="center"/>
              <w:rPr>
                <w:rFonts w:ascii="宋体" w:hAnsi="宋体" w:eastAsia="宋体" w:cs="宋体"/>
                <w:kern w:val="2"/>
                <w:sz w:val="20"/>
                <w:szCs w:val="20"/>
                <w:lang w:val="en-US" w:eastAsia="zh-CN" w:bidi="ar-SA"/>
              </w:rPr>
            </w:pPr>
            <w:r>
              <w:rPr>
                <w:rFonts w:ascii="宋体" w:hAnsi="宋体" w:eastAsia="宋体" w:cs="宋体"/>
                <w:spacing w:val="-2"/>
                <w:sz w:val="20"/>
                <w:szCs w:val="20"/>
              </w:rPr>
              <w:t>受益人员满意度</w:t>
            </w:r>
          </w:p>
        </w:tc>
        <w:tc>
          <w:tcPr>
            <w:tcW w:w="1100" w:type="dxa"/>
            <w:tcBorders>
              <w:top w:val="single" w:color="auto" w:sz="4" w:space="0"/>
              <w:left w:val="single" w:color="auto" w:sz="4" w:space="0"/>
              <w:bottom w:val="single" w:color="auto" w:sz="4" w:space="0"/>
              <w:right w:val="single" w:color="auto" w:sz="4" w:space="0"/>
            </w:tcBorders>
            <w:vAlign w:val="top"/>
          </w:tcPr>
          <w:p>
            <w:pPr>
              <w:spacing w:before="83" w:line="184" w:lineRule="auto"/>
              <w:ind w:firstLine="314" w:firstLineChars="0"/>
              <w:jc w:val="center"/>
              <w:rPr>
                <w:rFonts w:hint="default" w:ascii="宋体" w:hAnsi="宋体" w:eastAsia="宋体" w:cs="宋体"/>
                <w:kern w:val="2"/>
                <w:sz w:val="20"/>
                <w:szCs w:val="20"/>
                <w:lang w:val="en-US" w:eastAsia="zh-CN" w:bidi="ar-SA"/>
              </w:rPr>
            </w:pPr>
            <w:r>
              <w:rPr>
                <w:rFonts w:ascii="宋体" w:hAnsi="宋体" w:eastAsia="宋体" w:cs="宋体"/>
                <w:spacing w:val="-7"/>
                <w:sz w:val="20"/>
                <w:szCs w:val="20"/>
              </w:rPr>
              <w:t>≥98%</w:t>
            </w:r>
          </w:p>
        </w:tc>
      </w:tr>
    </w:tbl>
    <w:p>
      <w:pPr>
        <w:spacing w:line="278" w:lineRule="exact"/>
        <w:rPr>
          <w:rFonts w:ascii="微软雅黑"/>
          <w:sz w:val="16"/>
        </w:rPr>
      </w:pPr>
    </w:p>
    <w:p>
      <w:pPr>
        <w:spacing w:line="304" w:lineRule="auto"/>
        <w:rPr>
          <w:rFonts w:ascii="微软雅黑"/>
          <w:sz w:val="21"/>
        </w:rPr>
      </w:pPr>
    </w:p>
    <w:p>
      <w:pPr>
        <w:spacing w:before="118" w:line="182" w:lineRule="auto"/>
        <w:ind w:firstLine="3213"/>
        <w:rPr>
          <w:rFonts w:ascii="黑体" w:hAnsi="黑体" w:eastAsia="黑体" w:cs="黑体"/>
          <w:spacing w:val="-1"/>
          <w:sz w:val="36"/>
          <w:szCs w:val="36"/>
        </w:rPr>
      </w:pPr>
    </w:p>
    <w:tbl>
      <w:tblPr>
        <w:tblStyle w:val="5"/>
        <w:tblW w:w="9836" w:type="dxa"/>
        <w:jc w:val="center"/>
        <w:tblLayout w:type="fixed"/>
        <w:tblCellMar>
          <w:top w:w="0" w:type="dxa"/>
          <w:left w:w="108" w:type="dxa"/>
          <w:bottom w:w="0" w:type="dxa"/>
          <w:right w:w="108" w:type="dxa"/>
        </w:tblCellMar>
      </w:tblPr>
      <w:tblGrid>
        <w:gridCol w:w="1041"/>
        <w:gridCol w:w="1095"/>
        <w:gridCol w:w="1050"/>
        <w:gridCol w:w="526"/>
        <w:gridCol w:w="1140"/>
        <w:gridCol w:w="892"/>
        <w:gridCol w:w="1357"/>
        <w:gridCol w:w="1635"/>
        <w:gridCol w:w="1100"/>
      </w:tblGrid>
      <w:tr>
        <w:tblPrEx>
          <w:tblCellMar>
            <w:top w:w="0" w:type="dxa"/>
            <w:left w:w="108" w:type="dxa"/>
            <w:bottom w:w="0" w:type="dxa"/>
            <w:right w:w="108" w:type="dxa"/>
          </w:tblCellMar>
        </w:tblPrEx>
        <w:trPr>
          <w:trHeight w:val="817" w:hRule="atLeast"/>
          <w:jc w:val="center"/>
        </w:trPr>
        <w:tc>
          <w:tcPr>
            <w:tcW w:w="9836" w:type="dxa"/>
            <w:gridSpan w:val="9"/>
            <w:tcBorders>
              <w:top w:val="nil"/>
              <w:left w:val="nil"/>
              <w:bottom w:val="single" w:color="000000" w:sz="4" w:space="0"/>
              <w:right w:val="nil"/>
            </w:tcBorders>
            <w:vAlign w:val="center"/>
          </w:tcPr>
          <w:p>
            <w:pPr>
              <w:widowControl/>
              <w:jc w:val="center"/>
              <w:rPr>
                <w:rFonts w:hint="eastAsia" w:ascii="方正小标宋简体" w:hAnsi="方正小标宋简体" w:eastAsia="方正小标宋简体" w:cs="方正小标宋简体"/>
                <w:kern w:val="0"/>
                <w:sz w:val="36"/>
                <w:szCs w:val="36"/>
                <w:lang w:val="en-US" w:eastAsia="zh-CN"/>
              </w:rPr>
            </w:pPr>
          </w:p>
          <w:p>
            <w:pPr>
              <w:widowControl/>
              <w:jc w:val="center"/>
              <w:rPr>
                <w:rFonts w:hint="eastAsia" w:ascii="方正小标宋简体" w:hAnsi="方正小标宋简体" w:eastAsia="方正小标宋简体" w:cs="方正小标宋简体"/>
                <w:kern w:val="0"/>
                <w:sz w:val="36"/>
                <w:szCs w:val="36"/>
                <w:lang w:val="en-US" w:eastAsia="zh-CN"/>
              </w:rPr>
            </w:pPr>
          </w:p>
          <w:p>
            <w:pPr>
              <w:widowControl/>
              <w:jc w:val="center"/>
              <w:rPr>
                <w:rFonts w:ascii="方正小标宋简体" w:eastAsia="方正小标宋简体"/>
                <w:kern w:val="0"/>
                <w:sz w:val="40"/>
                <w:szCs w:val="40"/>
              </w:rPr>
            </w:pPr>
            <w:r>
              <w:rPr>
                <w:rFonts w:hint="eastAsia" w:ascii="方正小标宋简体" w:hAnsi="方正小标宋简体" w:eastAsia="方正小标宋简体" w:cs="方正小标宋简体"/>
                <w:kern w:val="0"/>
                <w:sz w:val="36"/>
                <w:szCs w:val="36"/>
                <w:lang w:val="en-US" w:eastAsia="zh-CN"/>
              </w:rPr>
              <w:t>2021年预算</w:t>
            </w:r>
            <w:r>
              <w:rPr>
                <w:rFonts w:hint="eastAsia" w:ascii="方正小标宋简体" w:hAnsi="方正小标宋简体" w:eastAsia="方正小标宋简体" w:cs="方正小标宋简体"/>
                <w:kern w:val="0"/>
                <w:sz w:val="36"/>
                <w:szCs w:val="36"/>
              </w:rPr>
              <w:t>项目支出绩效目标表</w:t>
            </w:r>
          </w:p>
        </w:tc>
      </w:tr>
      <w:tr>
        <w:tblPrEx>
          <w:tblCellMar>
            <w:top w:w="0" w:type="dxa"/>
            <w:left w:w="108" w:type="dxa"/>
            <w:bottom w:w="0" w:type="dxa"/>
            <w:right w:w="108" w:type="dxa"/>
          </w:tblCellMar>
        </w:tblPrEx>
        <w:trPr>
          <w:cantSplit/>
          <w:trHeight w:val="567" w:hRule="atLeast"/>
          <w:jc w:val="center"/>
        </w:trPr>
        <w:tc>
          <w:tcPr>
            <w:tcW w:w="1041" w:type="dxa"/>
            <w:tcBorders>
              <w:top w:val="nil"/>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8795" w:type="dxa"/>
            <w:gridSpan w:val="8"/>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kern w:val="0"/>
                <w:sz w:val="20"/>
                <w:szCs w:val="20"/>
              </w:rPr>
            </w:pPr>
            <w:r>
              <w:rPr>
                <w:rFonts w:ascii="宋体" w:hAnsi="宋体" w:eastAsia="宋体" w:cs="宋体"/>
                <w:spacing w:val="-2"/>
                <w:sz w:val="20"/>
                <w:szCs w:val="20"/>
              </w:rPr>
              <w:t>配发交通服装</w:t>
            </w:r>
          </w:p>
        </w:tc>
      </w:tr>
      <w:tr>
        <w:tblPrEx>
          <w:tblCellMar>
            <w:top w:w="0" w:type="dxa"/>
            <w:left w:w="108" w:type="dxa"/>
            <w:bottom w:w="0" w:type="dxa"/>
            <w:right w:w="108" w:type="dxa"/>
          </w:tblCellMar>
        </w:tblPrEx>
        <w:trPr>
          <w:cantSplit/>
          <w:trHeight w:val="567" w:hRule="atLeast"/>
          <w:jc w:val="center"/>
        </w:trPr>
        <w:tc>
          <w:tcPr>
            <w:tcW w:w="1041" w:type="dxa"/>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kern w:val="0"/>
                <w:sz w:val="20"/>
                <w:szCs w:val="20"/>
                <w:lang w:eastAsia="zh-CN"/>
              </w:rPr>
            </w:pPr>
            <w:r>
              <w:rPr>
                <w:rFonts w:hint="eastAsia" w:ascii="宋体" w:hAnsi="宋体"/>
                <w:kern w:val="0"/>
                <w:sz w:val="20"/>
                <w:szCs w:val="20"/>
              </w:rPr>
              <w:t>主管</w:t>
            </w:r>
            <w:r>
              <w:rPr>
                <w:rFonts w:hint="eastAsia" w:ascii="宋体" w:hAnsi="宋体" w:eastAsia="宋体"/>
                <w:kern w:val="0"/>
                <w:sz w:val="20"/>
                <w:szCs w:val="20"/>
                <w:lang w:eastAsia="zh-CN"/>
              </w:rPr>
              <w:t>单位</w:t>
            </w:r>
          </w:p>
        </w:tc>
        <w:tc>
          <w:tcPr>
            <w:tcW w:w="8795" w:type="dxa"/>
            <w:gridSpan w:val="8"/>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kern w:val="0"/>
                <w:sz w:val="20"/>
                <w:szCs w:val="20"/>
                <w:lang w:eastAsia="zh-CN"/>
              </w:rPr>
            </w:pPr>
            <w:r>
              <w:rPr>
                <w:rFonts w:hint="eastAsia" w:ascii="宋体" w:hAnsi="宋体"/>
                <w:kern w:val="0"/>
                <w:sz w:val="20"/>
                <w:szCs w:val="20"/>
                <w:lang w:eastAsia="zh-CN"/>
              </w:rPr>
              <w:t>高青县交通运输局</w:t>
            </w:r>
          </w:p>
        </w:tc>
      </w:tr>
      <w:tr>
        <w:tblPrEx>
          <w:tblCellMar>
            <w:top w:w="0" w:type="dxa"/>
            <w:left w:w="108" w:type="dxa"/>
            <w:bottom w:w="0" w:type="dxa"/>
            <w:right w:w="108" w:type="dxa"/>
          </w:tblCellMar>
        </w:tblPrEx>
        <w:trPr>
          <w:cantSplit/>
          <w:trHeight w:val="567" w:hRule="atLeast"/>
          <w:jc w:val="center"/>
        </w:trPr>
        <w:tc>
          <w:tcPr>
            <w:tcW w:w="1041" w:type="dxa"/>
            <w:tcBorders>
              <w:top w:val="nil"/>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资金情况</w:t>
            </w:r>
          </w:p>
        </w:tc>
        <w:tc>
          <w:tcPr>
            <w:tcW w:w="2671" w:type="dxa"/>
            <w:gridSpan w:val="3"/>
            <w:tcBorders>
              <w:top w:val="nil"/>
              <w:left w:val="nil"/>
              <w:bottom w:val="single" w:color="000000" w:sz="4" w:space="0"/>
              <w:right w:val="single" w:color="000000" w:sz="4" w:space="0"/>
            </w:tcBorders>
            <w:vAlign w:val="center"/>
          </w:tcPr>
          <w:p>
            <w:pPr>
              <w:widowControl/>
              <w:jc w:val="left"/>
              <w:rPr>
                <w:rFonts w:hint="eastAsia" w:ascii="宋体" w:hAnsi="宋体" w:eastAsia="宋体"/>
                <w:kern w:val="0"/>
                <w:sz w:val="20"/>
                <w:szCs w:val="20"/>
                <w:lang w:eastAsia="zh-CN"/>
              </w:rPr>
            </w:pPr>
            <w:r>
              <w:rPr>
                <w:rFonts w:hint="eastAsia" w:ascii="宋体" w:hAnsi="宋体"/>
                <w:kern w:val="0"/>
                <w:sz w:val="20"/>
                <w:szCs w:val="20"/>
                <w:lang w:eastAsia="zh-CN"/>
              </w:rPr>
              <w:t>财政拨款年度金额：</w:t>
            </w:r>
          </w:p>
        </w:tc>
        <w:tc>
          <w:tcPr>
            <w:tcW w:w="6124" w:type="dxa"/>
            <w:gridSpan w:val="5"/>
            <w:tcBorders>
              <w:top w:val="nil"/>
              <w:left w:val="nil"/>
              <w:bottom w:val="single" w:color="000000" w:sz="4" w:space="0"/>
              <w:right w:val="single" w:color="000000" w:sz="4" w:space="0"/>
            </w:tcBorders>
            <w:vAlign w:val="center"/>
          </w:tcPr>
          <w:p>
            <w:pPr>
              <w:widowControl/>
              <w:jc w:val="left"/>
              <w:rPr>
                <w:rFonts w:hint="default" w:ascii="宋体" w:hAnsi="宋体" w:eastAsia="宋体"/>
                <w:kern w:val="0"/>
                <w:sz w:val="20"/>
                <w:szCs w:val="20"/>
                <w:lang w:val="en-US" w:eastAsia="zh-CN"/>
              </w:rPr>
            </w:pPr>
            <w:r>
              <w:rPr>
                <w:rFonts w:ascii="宋体" w:hAnsi="宋体" w:eastAsia="宋体" w:cs="宋体"/>
                <w:spacing w:val="-10"/>
                <w:w w:val="98"/>
                <w:sz w:val="20"/>
                <w:szCs w:val="20"/>
              </w:rPr>
              <w:t>15</w:t>
            </w:r>
            <w:r>
              <w:rPr>
                <w:rFonts w:hint="eastAsia" w:ascii="宋体" w:hAnsi="宋体"/>
                <w:kern w:val="0"/>
                <w:sz w:val="20"/>
                <w:szCs w:val="20"/>
                <w:lang w:val="en-US" w:eastAsia="zh-CN"/>
              </w:rPr>
              <w:t>万元</w:t>
            </w:r>
          </w:p>
        </w:tc>
      </w:tr>
      <w:tr>
        <w:tblPrEx>
          <w:tblCellMar>
            <w:top w:w="0" w:type="dxa"/>
            <w:left w:w="108" w:type="dxa"/>
            <w:bottom w:w="0" w:type="dxa"/>
            <w:right w:w="108" w:type="dxa"/>
          </w:tblCellMar>
        </w:tblPrEx>
        <w:trPr>
          <w:trHeight w:val="397" w:hRule="atLeast"/>
          <w:jc w:val="center"/>
        </w:trPr>
        <w:tc>
          <w:tcPr>
            <w:tcW w:w="1041" w:type="dxa"/>
            <w:vMerge w:val="restart"/>
            <w:tcBorders>
              <w:top w:val="nil"/>
              <w:left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总体目标</w:t>
            </w:r>
          </w:p>
        </w:tc>
        <w:tc>
          <w:tcPr>
            <w:tcW w:w="4703"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 w:val="20"/>
                <w:szCs w:val="20"/>
              </w:rPr>
            </w:pPr>
            <w:r>
              <w:rPr>
                <w:rFonts w:hint="eastAsia" w:ascii="宋体" w:hAnsi="宋体"/>
                <w:b/>
                <w:bCs/>
                <w:kern w:val="0"/>
                <w:sz w:val="20"/>
                <w:szCs w:val="20"/>
              </w:rPr>
              <w:t>长期目标（</w:t>
            </w:r>
            <w:r>
              <w:rPr>
                <w:rFonts w:hint="eastAsia" w:ascii="宋体" w:hAnsi="宋体"/>
                <w:b/>
                <w:bCs/>
                <w:kern w:val="0"/>
                <w:sz w:val="20"/>
                <w:szCs w:val="20"/>
                <w:lang w:val="en-US" w:eastAsia="zh-CN"/>
              </w:rPr>
              <w:t>2021</w:t>
            </w:r>
            <w:r>
              <w:rPr>
                <w:rFonts w:hint="eastAsia" w:ascii="宋体" w:hAnsi="宋体"/>
                <w:b/>
                <w:bCs/>
                <w:kern w:val="0"/>
                <w:sz w:val="20"/>
                <w:szCs w:val="20"/>
              </w:rPr>
              <w:t>年-</w:t>
            </w:r>
            <w:r>
              <w:rPr>
                <w:rFonts w:hint="eastAsia" w:ascii="宋体" w:hAnsi="宋体"/>
                <w:b/>
                <w:bCs/>
                <w:kern w:val="0"/>
                <w:sz w:val="20"/>
                <w:szCs w:val="20"/>
                <w:lang w:val="en-US" w:eastAsia="zh-CN"/>
              </w:rPr>
              <w:t>2021</w:t>
            </w:r>
            <w:r>
              <w:rPr>
                <w:rFonts w:hint="eastAsia" w:ascii="宋体" w:hAnsi="宋体"/>
                <w:b/>
                <w:bCs/>
                <w:kern w:val="0"/>
                <w:sz w:val="20"/>
                <w:szCs w:val="20"/>
              </w:rPr>
              <w:t>年)</w:t>
            </w:r>
          </w:p>
        </w:tc>
        <w:tc>
          <w:tcPr>
            <w:tcW w:w="4092"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 w:val="20"/>
                <w:szCs w:val="20"/>
              </w:rPr>
            </w:pPr>
            <w:r>
              <w:rPr>
                <w:rFonts w:hint="eastAsia" w:ascii="宋体" w:hAnsi="宋体"/>
                <w:b/>
                <w:bCs/>
                <w:kern w:val="0"/>
                <w:sz w:val="20"/>
                <w:szCs w:val="20"/>
              </w:rPr>
              <w:t>年度目标（202</w:t>
            </w:r>
            <w:r>
              <w:rPr>
                <w:rFonts w:hint="eastAsia" w:ascii="宋体" w:hAnsi="宋体"/>
                <w:b/>
                <w:bCs/>
                <w:kern w:val="0"/>
                <w:sz w:val="20"/>
                <w:szCs w:val="20"/>
                <w:lang w:val="en-US" w:eastAsia="zh-CN"/>
              </w:rPr>
              <w:t>1</w:t>
            </w:r>
            <w:r>
              <w:rPr>
                <w:rFonts w:hint="eastAsia" w:ascii="宋体" w:hAnsi="宋体"/>
                <w:b/>
                <w:bCs/>
                <w:kern w:val="0"/>
                <w:sz w:val="20"/>
                <w:szCs w:val="20"/>
              </w:rPr>
              <w:t>年）</w:t>
            </w:r>
          </w:p>
        </w:tc>
      </w:tr>
      <w:tr>
        <w:tblPrEx>
          <w:tblCellMar>
            <w:top w:w="0" w:type="dxa"/>
            <w:left w:w="108" w:type="dxa"/>
            <w:bottom w:w="0" w:type="dxa"/>
            <w:right w:w="108" w:type="dxa"/>
          </w:tblCellMar>
        </w:tblPrEx>
        <w:trPr>
          <w:trHeight w:val="1247" w:hRule="atLeast"/>
          <w:jc w:val="center"/>
        </w:trPr>
        <w:tc>
          <w:tcPr>
            <w:tcW w:w="1041"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kern w:val="0"/>
                <w:sz w:val="20"/>
                <w:szCs w:val="20"/>
              </w:rPr>
            </w:pPr>
          </w:p>
        </w:tc>
        <w:tc>
          <w:tcPr>
            <w:tcW w:w="4703" w:type="dxa"/>
            <w:gridSpan w:val="5"/>
            <w:tcBorders>
              <w:top w:val="single" w:color="000000" w:sz="4" w:space="0"/>
              <w:left w:val="nil"/>
              <w:bottom w:val="single" w:color="000000" w:sz="4" w:space="0"/>
              <w:right w:val="single" w:color="000000" w:sz="4" w:space="0"/>
            </w:tcBorders>
            <w:vAlign w:val="center"/>
          </w:tcPr>
          <w:p>
            <w:pPr>
              <w:widowControl/>
              <w:ind w:firstLine="400" w:firstLineChars="200"/>
              <w:jc w:val="left"/>
              <w:rPr>
                <w:rFonts w:hint="eastAsia" w:ascii="宋体" w:hAnsi="宋体" w:eastAsia="宋体"/>
                <w:color w:val="000000"/>
                <w:kern w:val="0"/>
                <w:sz w:val="20"/>
                <w:szCs w:val="20"/>
                <w:lang w:eastAsia="zh-CN"/>
              </w:rPr>
            </w:pPr>
            <w:r>
              <w:rPr>
                <w:rFonts w:hint="eastAsia" w:ascii="宋体" w:hAnsi="宋体" w:cs="宋体"/>
                <w:color w:val="000000"/>
                <w:sz w:val="20"/>
                <w:szCs w:val="20"/>
              </w:rPr>
              <w:t>进一步加强交通执法队伍素质建设和作风建设</w:t>
            </w:r>
            <w:r>
              <w:rPr>
                <w:rFonts w:hint="eastAsia" w:ascii="宋体" w:hAnsi="宋体" w:cs="宋体"/>
                <w:color w:val="000000"/>
                <w:sz w:val="20"/>
                <w:szCs w:val="20"/>
                <w:lang w:eastAsia="zh-CN"/>
              </w:rPr>
              <w:t>，展现交通系统新的形象、新的面貌，提高工作效率和执法水平</w:t>
            </w:r>
            <w:r>
              <w:rPr>
                <w:rFonts w:hint="eastAsia" w:ascii="宋体" w:hAnsi="宋体"/>
                <w:kern w:val="0"/>
                <w:sz w:val="20"/>
                <w:szCs w:val="20"/>
                <w:lang w:eastAsia="zh-CN"/>
              </w:rPr>
              <w:t>。</w:t>
            </w:r>
          </w:p>
        </w:tc>
        <w:tc>
          <w:tcPr>
            <w:tcW w:w="4092" w:type="dxa"/>
            <w:gridSpan w:val="3"/>
            <w:tcBorders>
              <w:top w:val="single" w:color="000000" w:sz="4" w:space="0"/>
              <w:left w:val="nil"/>
              <w:bottom w:val="single" w:color="000000" w:sz="4" w:space="0"/>
              <w:right w:val="single" w:color="000000" w:sz="4" w:space="0"/>
            </w:tcBorders>
            <w:vAlign w:val="center"/>
          </w:tcPr>
          <w:p>
            <w:pPr>
              <w:widowControl/>
              <w:ind w:firstLine="396" w:firstLineChars="200"/>
              <w:jc w:val="left"/>
              <w:rPr>
                <w:rFonts w:ascii="宋体" w:hAnsi="宋体"/>
                <w:kern w:val="0"/>
                <w:sz w:val="20"/>
                <w:szCs w:val="20"/>
              </w:rPr>
            </w:pPr>
            <w:r>
              <w:rPr>
                <w:rFonts w:ascii="宋体" w:hAnsi="宋体" w:eastAsia="宋体" w:cs="宋体"/>
                <w:spacing w:val="-1"/>
                <w:sz w:val="20"/>
                <w:szCs w:val="20"/>
              </w:rPr>
              <w:t>完成执法人员标志服装配发，保障执法工作正常运行</w:t>
            </w:r>
          </w:p>
        </w:tc>
      </w:tr>
      <w:tr>
        <w:tblPrEx>
          <w:tblCellMar>
            <w:top w:w="0" w:type="dxa"/>
            <w:left w:w="108" w:type="dxa"/>
            <w:bottom w:w="0" w:type="dxa"/>
            <w:right w:w="108" w:type="dxa"/>
          </w:tblCellMar>
        </w:tblPrEx>
        <w:trPr>
          <w:trHeight w:val="510" w:hRule="atLeast"/>
          <w:jc w:val="center"/>
        </w:trPr>
        <w:tc>
          <w:tcPr>
            <w:tcW w:w="1041" w:type="dxa"/>
            <w:tcBorders>
              <w:top w:val="nil"/>
              <w:left w:val="single" w:color="000000" w:sz="4" w:space="0"/>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绩效指标</w:t>
            </w:r>
          </w:p>
        </w:tc>
        <w:tc>
          <w:tcPr>
            <w:tcW w:w="1095"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一级指标</w:t>
            </w:r>
          </w:p>
        </w:tc>
        <w:tc>
          <w:tcPr>
            <w:tcW w:w="1050"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二级指标</w:t>
            </w:r>
          </w:p>
        </w:tc>
        <w:tc>
          <w:tcPr>
            <w:tcW w:w="1666" w:type="dxa"/>
            <w:gridSpan w:val="2"/>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三级指标</w:t>
            </w:r>
          </w:p>
        </w:tc>
        <w:tc>
          <w:tcPr>
            <w:tcW w:w="892"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指标值</w:t>
            </w:r>
          </w:p>
        </w:tc>
        <w:tc>
          <w:tcPr>
            <w:tcW w:w="1357"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二级指标</w:t>
            </w:r>
          </w:p>
        </w:tc>
        <w:tc>
          <w:tcPr>
            <w:tcW w:w="1635"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三级指标</w:t>
            </w:r>
          </w:p>
        </w:tc>
        <w:tc>
          <w:tcPr>
            <w:tcW w:w="1100"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指标值</w:t>
            </w:r>
          </w:p>
        </w:tc>
      </w:tr>
      <w:tr>
        <w:tblPrEx>
          <w:tblCellMar>
            <w:top w:w="0" w:type="dxa"/>
            <w:left w:w="108" w:type="dxa"/>
            <w:bottom w:w="0" w:type="dxa"/>
            <w:right w:w="108" w:type="dxa"/>
          </w:tblCellMar>
        </w:tblPrEx>
        <w:trPr>
          <w:trHeight w:val="454" w:hRule="atLeast"/>
          <w:jc w:val="center"/>
        </w:trPr>
        <w:tc>
          <w:tcPr>
            <w:tcW w:w="104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绩效指标</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产出指标</w:t>
            </w:r>
          </w:p>
        </w:tc>
        <w:tc>
          <w:tcPr>
            <w:tcW w:w="1050" w:type="dxa"/>
            <w:tcBorders>
              <w:top w:val="single" w:color="auto" w:sz="4" w:space="0"/>
              <w:left w:val="single" w:color="auto" w:sz="4" w:space="0"/>
              <w:bottom w:val="single" w:color="auto" w:sz="4" w:space="0"/>
              <w:right w:val="single" w:color="auto" w:sz="4" w:space="0"/>
            </w:tcBorders>
            <w:vAlign w:val="top"/>
          </w:tcPr>
          <w:p>
            <w:pPr>
              <w:spacing w:before="170" w:line="184" w:lineRule="auto"/>
              <w:jc w:val="both"/>
              <w:rPr>
                <w:rFonts w:ascii="宋体" w:hAnsi="宋体" w:eastAsia="宋体" w:cs="宋体"/>
                <w:kern w:val="2"/>
                <w:sz w:val="20"/>
                <w:szCs w:val="20"/>
                <w:lang w:val="en-US" w:eastAsia="zh-CN" w:bidi="ar-SA"/>
              </w:rPr>
            </w:pPr>
            <w:r>
              <w:rPr>
                <w:rFonts w:ascii="宋体" w:hAnsi="宋体" w:eastAsia="宋体" w:cs="宋体"/>
                <w:spacing w:val="-3"/>
                <w:sz w:val="20"/>
                <w:szCs w:val="20"/>
              </w:rPr>
              <w:t>数量指标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70" w:line="184" w:lineRule="auto"/>
              <w:jc w:val="both"/>
              <w:rPr>
                <w:rFonts w:ascii="宋体" w:hAnsi="宋体" w:eastAsia="宋体" w:cs="宋体"/>
                <w:kern w:val="2"/>
                <w:sz w:val="20"/>
                <w:szCs w:val="20"/>
                <w:lang w:val="en-US" w:eastAsia="zh-CN" w:bidi="ar-SA"/>
              </w:rPr>
            </w:pPr>
            <w:r>
              <w:rPr>
                <w:rFonts w:ascii="宋体" w:hAnsi="宋体" w:eastAsia="宋体" w:cs="宋体"/>
                <w:spacing w:val="-2"/>
                <w:sz w:val="20"/>
                <w:szCs w:val="20"/>
              </w:rPr>
              <w:t>配发人员数量</w:t>
            </w:r>
          </w:p>
        </w:tc>
        <w:tc>
          <w:tcPr>
            <w:tcW w:w="892" w:type="dxa"/>
            <w:tcBorders>
              <w:top w:val="single" w:color="auto" w:sz="4" w:space="0"/>
              <w:left w:val="single" w:color="auto" w:sz="4" w:space="0"/>
              <w:bottom w:val="single" w:color="auto" w:sz="4" w:space="0"/>
              <w:right w:val="single" w:color="auto" w:sz="4" w:space="0"/>
            </w:tcBorders>
            <w:vAlign w:val="top"/>
          </w:tcPr>
          <w:p>
            <w:pPr>
              <w:spacing w:before="170" w:line="184" w:lineRule="auto"/>
              <w:jc w:val="both"/>
              <w:rPr>
                <w:rFonts w:hint="default" w:ascii="宋体" w:hAnsi="宋体" w:eastAsia="宋体"/>
                <w:kern w:val="0"/>
                <w:sz w:val="20"/>
                <w:szCs w:val="20"/>
                <w:lang w:val="en-US" w:eastAsia="zh-CN"/>
              </w:rPr>
            </w:pPr>
            <w:r>
              <w:rPr>
                <w:rFonts w:hint="eastAsia" w:ascii="宋体" w:hAnsi="宋体" w:eastAsia="宋体" w:cs="宋体"/>
                <w:spacing w:val="-5"/>
                <w:sz w:val="20"/>
                <w:szCs w:val="20"/>
                <w:lang w:val="en-US" w:eastAsia="zh-CN"/>
              </w:rPr>
              <w:t>=100人</w:t>
            </w:r>
          </w:p>
        </w:tc>
        <w:tc>
          <w:tcPr>
            <w:tcW w:w="1357" w:type="dxa"/>
            <w:tcBorders>
              <w:top w:val="single" w:color="auto" w:sz="4" w:space="0"/>
              <w:left w:val="single" w:color="auto" w:sz="4" w:space="0"/>
              <w:bottom w:val="single" w:color="auto" w:sz="4" w:space="0"/>
              <w:right w:val="single" w:color="auto" w:sz="4" w:space="0"/>
            </w:tcBorders>
            <w:vAlign w:val="top"/>
          </w:tcPr>
          <w:p>
            <w:pPr>
              <w:spacing w:before="170" w:line="184" w:lineRule="auto"/>
              <w:jc w:val="both"/>
              <w:rPr>
                <w:rFonts w:ascii="宋体" w:hAnsi="宋体" w:eastAsia="宋体" w:cs="Times New Roman"/>
                <w:kern w:val="0"/>
                <w:sz w:val="20"/>
                <w:szCs w:val="20"/>
                <w:lang w:val="en-US" w:eastAsia="zh-CN" w:bidi="ar-SA"/>
              </w:rPr>
            </w:pPr>
            <w:r>
              <w:rPr>
                <w:rFonts w:ascii="宋体" w:hAnsi="宋体" w:eastAsia="宋体" w:cs="宋体"/>
                <w:spacing w:val="-3"/>
                <w:sz w:val="20"/>
                <w:szCs w:val="20"/>
              </w:rPr>
              <w:t>数量指标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170" w:line="184" w:lineRule="auto"/>
              <w:jc w:val="both"/>
              <w:rPr>
                <w:rFonts w:ascii="宋体" w:hAnsi="宋体" w:eastAsia="宋体" w:cs="Times New Roman"/>
                <w:kern w:val="0"/>
                <w:sz w:val="20"/>
                <w:szCs w:val="20"/>
                <w:lang w:val="en-US" w:eastAsia="zh-CN" w:bidi="ar-SA"/>
              </w:rPr>
            </w:pPr>
            <w:r>
              <w:rPr>
                <w:rFonts w:ascii="宋体" w:hAnsi="宋体" w:eastAsia="宋体" w:cs="宋体"/>
                <w:spacing w:val="-2"/>
                <w:sz w:val="20"/>
                <w:szCs w:val="20"/>
              </w:rPr>
              <w:t>配发人员数量</w:t>
            </w:r>
          </w:p>
        </w:tc>
        <w:tc>
          <w:tcPr>
            <w:tcW w:w="1100" w:type="dxa"/>
            <w:tcBorders>
              <w:top w:val="single" w:color="auto" w:sz="4" w:space="0"/>
              <w:left w:val="single" w:color="auto" w:sz="4" w:space="0"/>
              <w:bottom w:val="single" w:color="auto" w:sz="4" w:space="0"/>
              <w:right w:val="single" w:color="auto" w:sz="4" w:space="0"/>
            </w:tcBorders>
            <w:vAlign w:val="top"/>
          </w:tcPr>
          <w:p>
            <w:pPr>
              <w:spacing w:before="170" w:line="184" w:lineRule="auto"/>
              <w:jc w:val="both"/>
              <w:rPr>
                <w:rFonts w:hint="default" w:ascii="宋体" w:hAnsi="宋体" w:eastAsia="宋体"/>
                <w:kern w:val="0"/>
                <w:sz w:val="20"/>
                <w:szCs w:val="20"/>
                <w:lang w:val="en-US" w:eastAsia="zh-CN"/>
              </w:rPr>
            </w:pPr>
            <w:r>
              <w:rPr>
                <w:rFonts w:hint="eastAsia" w:ascii="宋体" w:hAnsi="宋体" w:eastAsia="宋体" w:cs="宋体"/>
                <w:spacing w:val="-5"/>
                <w:sz w:val="20"/>
                <w:szCs w:val="20"/>
                <w:lang w:val="en-US" w:eastAsia="zh-CN"/>
              </w:rPr>
              <w:t>=100人</w:t>
            </w:r>
          </w:p>
        </w:tc>
      </w:tr>
      <w:tr>
        <w:tblPrEx>
          <w:tblCellMar>
            <w:top w:w="0" w:type="dxa"/>
            <w:left w:w="108" w:type="dxa"/>
            <w:bottom w:w="0" w:type="dxa"/>
            <w:right w:w="108" w:type="dxa"/>
          </w:tblCellMar>
        </w:tblPrEx>
        <w:trPr>
          <w:trHeight w:val="454"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top"/>
          </w:tcPr>
          <w:p>
            <w:pPr>
              <w:spacing w:before="206" w:line="184" w:lineRule="auto"/>
              <w:jc w:val="both"/>
              <w:rPr>
                <w:rFonts w:ascii="宋体" w:hAnsi="宋体" w:eastAsia="宋体" w:cs="宋体"/>
                <w:kern w:val="2"/>
                <w:sz w:val="20"/>
                <w:szCs w:val="20"/>
                <w:lang w:val="en-US" w:eastAsia="zh-CN" w:bidi="ar-SA"/>
              </w:rPr>
            </w:pPr>
            <w:r>
              <w:rPr>
                <w:rFonts w:ascii="宋体" w:hAnsi="宋体" w:eastAsia="宋体" w:cs="宋体"/>
                <w:spacing w:val="-3"/>
                <w:sz w:val="20"/>
                <w:szCs w:val="20"/>
              </w:rPr>
              <w:t>质量指标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206" w:line="184" w:lineRule="auto"/>
              <w:jc w:val="both"/>
              <w:rPr>
                <w:rFonts w:ascii="宋体" w:hAnsi="宋体" w:eastAsia="宋体" w:cs="宋体"/>
                <w:kern w:val="2"/>
                <w:sz w:val="20"/>
                <w:szCs w:val="20"/>
                <w:lang w:val="en-US" w:eastAsia="zh-CN" w:bidi="ar-SA"/>
              </w:rPr>
            </w:pPr>
            <w:r>
              <w:rPr>
                <w:rFonts w:ascii="宋体" w:hAnsi="宋体" w:eastAsia="宋体" w:cs="宋体"/>
                <w:spacing w:val="-1"/>
                <w:sz w:val="20"/>
                <w:szCs w:val="20"/>
              </w:rPr>
              <w:t>配发服装质量合格率</w:t>
            </w:r>
          </w:p>
        </w:tc>
        <w:tc>
          <w:tcPr>
            <w:tcW w:w="892" w:type="dxa"/>
            <w:tcBorders>
              <w:top w:val="single" w:color="auto" w:sz="4" w:space="0"/>
              <w:left w:val="single" w:color="auto" w:sz="4" w:space="0"/>
              <w:bottom w:val="single" w:color="auto" w:sz="4" w:space="0"/>
              <w:right w:val="single" w:color="auto" w:sz="4" w:space="0"/>
            </w:tcBorders>
            <w:vAlign w:val="top"/>
          </w:tcPr>
          <w:p>
            <w:pPr>
              <w:spacing w:before="206" w:line="184" w:lineRule="auto"/>
              <w:jc w:val="both"/>
              <w:rPr>
                <w:rFonts w:ascii="宋体" w:hAnsi="宋体"/>
                <w:kern w:val="0"/>
                <w:sz w:val="20"/>
                <w:szCs w:val="20"/>
              </w:rPr>
            </w:pPr>
            <w:r>
              <w:rPr>
                <w:rFonts w:hint="eastAsia" w:ascii="宋体" w:hAnsi="宋体" w:eastAsia="宋体" w:cs="宋体"/>
                <w:spacing w:val="-7"/>
                <w:sz w:val="20"/>
                <w:szCs w:val="20"/>
                <w:lang w:val="en-US" w:eastAsia="zh-CN"/>
              </w:rPr>
              <w:t>=100</w:t>
            </w:r>
            <w:r>
              <w:rPr>
                <w:rFonts w:ascii="宋体" w:hAnsi="宋体" w:eastAsia="宋体" w:cs="宋体"/>
                <w:spacing w:val="-7"/>
                <w:sz w:val="20"/>
                <w:szCs w:val="20"/>
              </w:rPr>
              <w:t>%</w:t>
            </w:r>
          </w:p>
        </w:tc>
        <w:tc>
          <w:tcPr>
            <w:tcW w:w="1357" w:type="dxa"/>
            <w:tcBorders>
              <w:top w:val="single" w:color="auto" w:sz="4" w:space="0"/>
              <w:left w:val="single" w:color="auto" w:sz="4" w:space="0"/>
              <w:bottom w:val="single" w:color="auto" w:sz="4" w:space="0"/>
              <w:right w:val="single" w:color="auto" w:sz="4" w:space="0"/>
            </w:tcBorders>
            <w:vAlign w:val="top"/>
          </w:tcPr>
          <w:p>
            <w:pPr>
              <w:spacing w:before="206" w:line="184" w:lineRule="auto"/>
              <w:jc w:val="both"/>
              <w:rPr>
                <w:rFonts w:ascii="宋体" w:hAnsi="宋体" w:eastAsia="宋体" w:cs="Times New Roman"/>
                <w:kern w:val="0"/>
                <w:sz w:val="20"/>
                <w:szCs w:val="20"/>
                <w:lang w:val="en-US" w:eastAsia="zh-CN" w:bidi="ar-SA"/>
              </w:rPr>
            </w:pPr>
            <w:r>
              <w:rPr>
                <w:rFonts w:ascii="宋体" w:hAnsi="宋体" w:eastAsia="宋体" w:cs="宋体"/>
                <w:spacing w:val="-3"/>
                <w:sz w:val="20"/>
                <w:szCs w:val="20"/>
              </w:rPr>
              <w:t>质量指标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206" w:line="184" w:lineRule="auto"/>
              <w:jc w:val="both"/>
              <w:rPr>
                <w:rFonts w:ascii="宋体" w:hAnsi="宋体" w:eastAsia="宋体" w:cs="Times New Roman"/>
                <w:kern w:val="0"/>
                <w:sz w:val="20"/>
                <w:szCs w:val="20"/>
                <w:lang w:val="en-US" w:eastAsia="zh-CN" w:bidi="ar-SA"/>
              </w:rPr>
            </w:pPr>
            <w:r>
              <w:rPr>
                <w:rFonts w:ascii="宋体" w:hAnsi="宋体" w:eastAsia="宋体" w:cs="宋体"/>
                <w:spacing w:val="-1"/>
                <w:sz w:val="20"/>
                <w:szCs w:val="20"/>
              </w:rPr>
              <w:t>配发服装质量合格率</w:t>
            </w:r>
          </w:p>
        </w:tc>
        <w:tc>
          <w:tcPr>
            <w:tcW w:w="1100" w:type="dxa"/>
            <w:tcBorders>
              <w:top w:val="single" w:color="auto" w:sz="4" w:space="0"/>
              <w:left w:val="single" w:color="auto" w:sz="4" w:space="0"/>
              <w:bottom w:val="single" w:color="auto" w:sz="4" w:space="0"/>
              <w:right w:val="single" w:color="auto" w:sz="4" w:space="0"/>
            </w:tcBorders>
            <w:vAlign w:val="top"/>
          </w:tcPr>
          <w:p>
            <w:pPr>
              <w:spacing w:before="206" w:line="184" w:lineRule="auto"/>
              <w:jc w:val="both"/>
              <w:rPr>
                <w:rFonts w:ascii="宋体" w:hAnsi="宋体" w:eastAsia="宋体" w:cs="Times New Roman"/>
                <w:kern w:val="0"/>
                <w:sz w:val="20"/>
                <w:szCs w:val="20"/>
                <w:lang w:val="en-US" w:eastAsia="zh-CN" w:bidi="ar-SA"/>
              </w:rPr>
            </w:pPr>
            <w:r>
              <w:rPr>
                <w:rFonts w:hint="eastAsia" w:ascii="宋体" w:hAnsi="宋体" w:eastAsia="宋体" w:cs="宋体"/>
                <w:spacing w:val="-7"/>
                <w:sz w:val="20"/>
                <w:szCs w:val="20"/>
                <w:lang w:val="en-US" w:eastAsia="zh-CN"/>
              </w:rPr>
              <w:t>=100</w:t>
            </w:r>
            <w:r>
              <w:rPr>
                <w:rFonts w:ascii="宋体" w:hAnsi="宋体" w:eastAsia="宋体" w:cs="宋体"/>
                <w:spacing w:val="-7"/>
                <w:sz w:val="20"/>
                <w:szCs w:val="20"/>
              </w:rPr>
              <w:t>%</w:t>
            </w:r>
          </w:p>
        </w:tc>
      </w:tr>
      <w:tr>
        <w:tblPrEx>
          <w:tblCellMar>
            <w:top w:w="0" w:type="dxa"/>
            <w:left w:w="108" w:type="dxa"/>
            <w:bottom w:w="0" w:type="dxa"/>
            <w:right w:w="108" w:type="dxa"/>
          </w:tblCellMar>
        </w:tblPrEx>
        <w:trPr>
          <w:trHeight w:val="378"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top"/>
          </w:tcPr>
          <w:p>
            <w:pPr>
              <w:spacing w:before="65" w:line="184" w:lineRule="auto"/>
              <w:jc w:val="both"/>
              <w:rPr>
                <w:rFonts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时效指标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265" w:line="184" w:lineRule="auto"/>
              <w:jc w:val="both"/>
              <w:rPr>
                <w:rFonts w:ascii="宋体" w:hAnsi="宋体" w:eastAsia="宋体" w:cs="宋体"/>
                <w:kern w:val="2"/>
                <w:sz w:val="20"/>
                <w:szCs w:val="20"/>
                <w:lang w:val="en-US" w:eastAsia="zh-CN" w:bidi="ar-SA"/>
              </w:rPr>
            </w:pPr>
            <w:r>
              <w:rPr>
                <w:rFonts w:ascii="宋体" w:hAnsi="宋体" w:eastAsia="宋体" w:cs="宋体"/>
                <w:spacing w:val="-2"/>
                <w:sz w:val="20"/>
                <w:szCs w:val="20"/>
              </w:rPr>
              <w:t>配发及时率</w:t>
            </w:r>
          </w:p>
        </w:tc>
        <w:tc>
          <w:tcPr>
            <w:tcW w:w="892" w:type="dxa"/>
            <w:tcBorders>
              <w:top w:val="single" w:color="auto" w:sz="4" w:space="0"/>
              <w:left w:val="single" w:color="auto" w:sz="4" w:space="0"/>
              <w:bottom w:val="single" w:color="auto" w:sz="4" w:space="0"/>
              <w:right w:val="single" w:color="auto" w:sz="4" w:space="0"/>
            </w:tcBorders>
            <w:vAlign w:val="top"/>
          </w:tcPr>
          <w:p>
            <w:pPr>
              <w:spacing w:before="265" w:line="184" w:lineRule="auto"/>
              <w:jc w:val="both"/>
              <w:rPr>
                <w:rFonts w:hint="default" w:ascii="宋体" w:hAnsi="宋体" w:eastAsia="宋体" w:cs="Times New Roman"/>
                <w:kern w:val="0"/>
                <w:sz w:val="20"/>
                <w:szCs w:val="20"/>
                <w:lang w:val="en-US" w:eastAsia="zh-CN" w:bidi="ar-SA"/>
              </w:rPr>
            </w:pPr>
            <w:r>
              <w:rPr>
                <w:rFonts w:hint="eastAsia" w:ascii="宋体" w:hAnsi="宋体" w:eastAsia="宋体" w:cs="宋体"/>
                <w:spacing w:val="-7"/>
                <w:sz w:val="20"/>
                <w:szCs w:val="20"/>
                <w:lang w:val="en-US" w:eastAsia="zh-CN"/>
              </w:rPr>
              <w:t>=100</w:t>
            </w:r>
            <w:r>
              <w:rPr>
                <w:rFonts w:ascii="宋体" w:hAnsi="宋体" w:eastAsia="宋体" w:cs="宋体"/>
                <w:spacing w:val="-7"/>
                <w:sz w:val="20"/>
                <w:szCs w:val="20"/>
              </w:rPr>
              <w:t>%</w:t>
            </w:r>
          </w:p>
        </w:tc>
        <w:tc>
          <w:tcPr>
            <w:tcW w:w="1357" w:type="dxa"/>
            <w:tcBorders>
              <w:top w:val="single" w:color="auto" w:sz="4" w:space="0"/>
              <w:left w:val="single" w:color="auto" w:sz="4" w:space="0"/>
              <w:bottom w:val="single" w:color="auto" w:sz="4" w:space="0"/>
              <w:right w:val="single" w:color="auto" w:sz="4" w:space="0"/>
            </w:tcBorders>
            <w:vAlign w:val="top"/>
          </w:tcPr>
          <w:p>
            <w:pPr>
              <w:spacing w:before="65" w:line="184" w:lineRule="auto"/>
              <w:jc w:val="both"/>
              <w:rPr>
                <w:rFonts w:ascii="宋体" w:hAnsi="宋体" w:eastAsia="宋体" w:cs="Times New Roman"/>
                <w:kern w:val="0"/>
                <w:sz w:val="20"/>
                <w:szCs w:val="20"/>
                <w:lang w:val="en-US" w:eastAsia="zh-CN" w:bidi="ar-SA"/>
              </w:rPr>
            </w:pPr>
            <w:r>
              <w:rPr>
                <w:rFonts w:hint="eastAsia" w:ascii="宋体" w:hAnsi="宋体" w:cs="宋体"/>
                <w:kern w:val="2"/>
                <w:sz w:val="20"/>
                <w:szCs w:val="20"/>
                <w:lang w:val="en-US" w:eastAsia="zh-CN" w:bidi="ar-SA"/>
              </w:rPr>
              <w:t>时效指标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265" w:line="184" w:lineRule="auto"/>
              <w:jc w:val="both"/>
              <w:rPr>
                <w:rFonts w:ascii="宋体" w:hAnsi="宋体" w:eastAsia="宋体" w:cs="Times New Roman"/>
                <w:kern w:val="0"/>
                <w:sz w:val="20"/>
                <w:szCs w:val="20"/>
                <w:lang w:val="en-US" w:eastAsia="zh-CN" w:bidi="ar-SA"/>
              </w:rPr>
            </w:pPr>
            <w:r>
              <w:rPr>
                <w:rFonts w:ascii="宋体" w:hAnsi="宋体" w:eastAsia="宋体" w:cs="宋体"/>
                <w:spacing w:val="-2"/>
                <w:sz w:val="20"/>
                <w:szCs w:val="20"/>
              </w:rPr>
              <w:t>配发及时率</w:t>
            </w:r>
          </w:p>
        </w:tc>
        <w:tc>
          <w:tcPr>
            <w:tcW w:w="1100" w:type="dxa"/>
            <w:tcBorders>
              <w:top w:val="single" w:color="auto" w:sz="4" w:space="0"/>
              <w:left w:val="single" w:color="auto" w:sz="4" w:space="0"/>
              <w:bottom w:val="single" w:color="auto" w:sz="4" w:space="0"/>
              <w:right w:val="single" w:color="auto" w:sz="4" w:space="0"/>
            </w:tcBorders>
            <w:vAlign w:val="top"/>
          </w:tcPr>
          <w:p>
            <w:pPr>
              <w:spacing w:before="265" w:line="184" w:lineRule="auto"/>
              <w:jc w:val="both"/>
              <w:rPr>
                <w:rFonts w:hint="default" w:ascii="宋体" w:hAnsi="宋体" w:eastAsia="宋体" w:cs="Times New Roman"/>
                <w:kern w:val="0"/>
                <w:sz w:val="20"/>
                <w:szCs w:val="20"/>
                <w:lang w:val="en-US" w:eastAsia="zh-CN" w:bidi="ar-SA"/>
              </w:rPr>
            </w:pPr>
            <w:r>
              <w:rPr>
                <w:rFonts w:hint="eastAsia" w:ascii="宋体" w:hAnsi="宋体" w:eastAsia="宋体" w:cs="宋体"/>
                <w:spacing w:val="-7"/>
                <w:sz w:val="20"/>
                <w:szCs w:val="20"/>
                <w:lang w:val="en-US" w:eastAsia="zh-CN"/>
              </w:rPr>
              <w:t>=100</w:t>
            </w:r>
            <w:r>
              <w:rPr>
                <w:rFonts w:ascii="宋体" w:hAnsi="宋体" w:eastAsia="宋体" w:cs="宋体"/>
                <w:spacing w:val="-7"/>
                <w:sz w:val="20"/>
                <w:szCs w:val="20"/>
              </w:rPr>
              <w:t>%</w:t>
            </w:r>
          </w:p>
        </w:tc>
      </w:tr>
      <w:tr>
        <w:tblPrEx>
          <w:tblCellMar>
            <w:top w:w="0" w:type="dxa"/>
            <w:left w:w="108" w:type="dxa"/>
            <w:bottom w:w="0" w:type="dxa"/>
            <w:right w:w="108" w:type="dxa"/>
          </w:tblCellMar>
        </w:tblPrEx>
        <w:trPr>
          <w:trHeight w:val="454"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kern w:val="0"/>
                <w:sz w:val="20"/>
                <w:szCs w:val="20"/>
              </w:rPr>
            </w:pPr>
            <w:r>
              <w:rPr>
                <w:rFonts w:hint="eastAsia" w:ascii="宋体" w:hAnsi="宋体" w:cs="宋体"/>
                <w:kern w:val="2"/>
                <w:sz w:val="20"/>
                <w:szCs w:val="20"/>
                <w:lang w:val="en-US" w:eastAsia="zh-CN" w:bidi="ar-SA"/>
              </w:rPr>
              <w:t>时效指标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74" w:line="184" w:lineRule="auto"/>
              <w:jc w:val="both"/>
              <w:rPr>
                <w:rFonts w:hint="eastAsia" w:ascii="宋体" w:hAnsi="宋体" w:eastAsia="宋体" w:cs="宋体"/>
                <w:kern w:val="2"/>
                <w:sz w:val="20"/>
                <w:szCs w:val="20"/>
                <w:lang w:val="en-US" w:eastAsia="zh-CN" w:bidi="ar-SA"/>
              </w:rPr>
            </w:pPr>
            <w:r>
              <w:rPr>
                <w:rFonts w:ascii="宋体" w:hAnsi="宋体" w:eastAsia="宋体" w:cs="宋体"/>
                <w:spacing w:val="-4"/>
                <w:sz w:val="20"/>
                <w:szCs w:val="20"/>
              </w:rPr>
              <w:t>穿戴及时率</w:t>
            </w:r>
          </w:p>
        </w:tc>
        <w:tc>
          <w:tcPr>
            <w:tcW w:w="892" w:type="dxa"/>
            <w:tcBorders>
              <w:top w:val="single" w:color="auto" w:sz="4" w:space="0"/>
              <w:left w:val="single" w:color="auto" w:sz="4" w:space="0"/>
              <w:bottom w:val="single" w:color="auto" w:sz="4" w:space="0"/>
              <w:right w:val="single" w:color="auto" w:sz="4" w:space="0"/>
            </w:tcBorders>
            <w:vAlign w:val="top"/>
          </w:tcPr>
          <w:p>
            <w:pPr>
              <w:spacing w:before="174" w:line="184" w:lineRule="auto"/>
              <w:jc w:val="both"/>
              <w:rPr>
                <w:rFonts w:ascii="宋体" w:hAnsi="宋体"/>
                <w:kern w:val="0"/>
                <w:sz w:val="20"/>
                <w:szCs w:val="20"/>
              </w:rPr>
            </w:pPr>
            <w:r>
              <w:rPr>
                <w:rFonts w:hint="eastAsia" w:ascii="宋体" w:hAnsi="宋体" w:eastAsia="宋体" w:cs="宋体"/>
                <w:spacing w:val="-7"/>
                <w:sz w:val="20"/>
                <w:szCs w:val="20"/>
                <w:lang w:val="en-US" w:eastAsia="zh-CN"/>
              </w:rPr>
              <w:t>=100</w:t>
            </w:r>
            <w:r>
              <w:rPr>
                <w:rFonts w:ascii="宋体" w:hAnsi="宋体" w:eastAsia="宋体" w:cs="宋体"/>
                <w:spacing w:val="-7"/>
                <w:sz w:val="20"/>
                <w:szCs w:val="20"/>
              </w:rPr>
              <w:t>%</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eastAsia="宋体" w:cs="Times New Roman"/>
                <w:kern w:val="0"/>
                <w:sz w:val="20"/>
                <w:szCs w:val="20"/>
                <w:lang w:val="en-US" w:eastAsia="zh-CN" w:bidi="ar-SA"/>
              </w:rPr>
            </w:pPr>
            <w:r>
              <w:rPr>
                <w:rFonts w:hint="eastAsia" w:ascii="宋体" w:hAnsi="宋体" w:cs="宋体"/>
                <w:kern w:val="2"/>
                <w:sz w:val="20"/>
                <w:szCs w:val="20"/>
                <w:lang w:val="en-US" w:eastAsia="zh-CN" w:bidi="ar-SA"/>
              </w:rPr>
              <w:t>时效指标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174" w:line="184" w:lineRule="auto"/>
              <w:jc w:val="both"/>
              <w:rPr>
                <w:rFonts w:hint="eastAsia" w:ascii="宋体" w:hAnsi="宋体" w:eastAsia="宋体" w:cs="Times New Roman"/>
                <w:kern w:val="0"/>
                <w:sz w:val="20"/>
                <w:szCs w:val="20"/>
                <w:lang w:val="en-US" w:eastAsia="zh-CN" w:bidi="ar-SA"/>
              </w:rPr>
            </w:pPr>
            <w:r>
              <w:rPr>
                <w:rFonts w:ascii="宋体" w:hAnsi="宋体" w:eastAsia="宋体" w:cs="宋体"/>
                <w:spacing w:val="-4"/>
                <w:sz w:val="20"/>
                <w:szCs w:val="20"/>
              </w:rPr>
              <w:t>穿戴及时率</w:t>
            </w:r>
          </w:p>
        </w:tc>
        <w:tc>
          <w:tcPr>
            <w:tcW w:w="1100" w:type="dxa"/>
            <w:tcBorders>
              <w:top w:val="single" w:color="auto" w:sz="4" w:space="0"/>
              <w:left w:val="single" w:color="auto" w:sz="4" w:space="0"/>
              <w:bottom w:val="single" w:color="auto" w:sz="4" w:space="0"/>
              <w:right w:val="single" w:color="auto" w:sz="4" w:space="0"/>
            </w:tcBorders>
            <w:vAlign w:val="top"/>
          </w:tcPr>
          <w:p>
            <w:pPr>
              <w:spacing w:before="174" w:line="184" w:lineRule="auto"/>
              <w:jc w:val="both"/>
              <w:rPr>
                <w:rFonts w:ascii="宋体" w:hAnsi="宋体" w:eastAsia="宋体" w:cs="Times New Roman"/>
                <w:kern w:val="0"/>
                <w:sz w:val="20"/>
                <w:szCs w:val="20"/>
                <w:lang w:val="en-US" w:eastAsia="zh-CN" w:bidi="ar-SA"/>
              </w:rPr>
            </w:pPr>
            <w:r>
              <w:rPr>
                <w:rFonts w:hint="eastAsia" w:ascii="宋体" w:hAnsi="宋体" w:eastAsia="宋体" w:cs="宋体"/>
                <w:spacing w:val="-7"/>
                <w:sz w:val="20"/>
                <w:szCs w:val="20"/>
                <w:lang w:val="en-US" w:eastAsia="zh-CN"/>
              </w:rPr>
              <w:t>=100</w:t>
            </w:r>
            <w:r>
              <w:rPr>
                <w:rFonts w:ascii="宋体" w:hAnsi="宋体" w:eastAsia="宋体" w:cs="宋体"/>
                <w:spacing w:val="-7"/>
                <w:sz w:val="20"/>
                <w:szCs w:val="20"/>
              </w:rPr>
              <w:t>%</w:t>
            </w:r>
          </w:p>
        </w:tc>
      </w:tr>
      <w:tr>
        <w:tblPrEx>
          <w:tblCellMar>
            <w:top w:w="0" w:type="dxa"/>
            <w:left w:w="108" w:type="dxa"/>
            <w:bottom w:w="0" w:type="dxa"/>
            <w:right w:w="108" w:type="dxa"/>
          </w:tblCellMar>
        </w:tblPrEx>
        <w:trPr>
          <w:trHeight w:val="454"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top"/>
          </w:tcPr>
          <w:p>
            <w:pPr>
              <w:spacing w:before="147" w:line="184" w:lineRule="auto"/>
              <w:jc w:val="both"/>
              <w:rPr>
                <w:rFonts w:ascii="宋体" w:hAnsi="宋体" w:eastAsia="宋体" w:cs="宋体"/>
                <w:kern w:val="2"/>
                <w:sz w:val="20"/>
                <w:szCs w:val="20"/>
                <w:lang w:val="en-US" w:eastAsia="zh-CN" w:bidi="ar-SA"/>
              </w:rPr>
            </w:pPr>
            <w:r>
              <w:rPr>
                <w:rFonts w:ascii="宋体" w:hAnsi="宋体" w:eastAsia="宋体" w:cs="宋体"/>
                <w:spacing w:val="-3"/>
                <w:sz w:val="20"/>
                <w:szCs w:val="20"/>
              </w:rPr>
              <w:t>成本指标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47" w:line="184" w:lineRule="auto"/>
              <w:jc w:val="both"/>
              <w:rPr>
                <w:rFonts w:ascii="宋体" w:hAnsi="宋体" w:eastAsia="宋体" w:cs="宋体"/>
                <w:kern w:val="2"/>
                <w:sz w:val="20"/>
                <w:szCs w:val="20"/>
                <w:lang w:val="en-US" w:eastAsia="zh-CN" w:bidi="ar-SA"/>
              </w:rPr>
            </w:pPr>
            <w:r>
              <w:rPr>
                <w:rFonts w:ascii="宋体" w:hAnsi="宋体" w:eastAsia="宋体" w:cs="宋体"/>
                <w:spacing w:val="-2"/>
                <w:sz w:val="20"/>
                <w:szCs w:val="20"/>
              </w:rPr>
              <w:t>购买标准</w:t>
            </w:r>
          </w:p>
        </w:tc>
        <w:tc>
          <w:tcPr>
            <w:tcW w:w="892" w:type="dxa"/>
            <w:tcBorders>
              <w:top w:val="single" w:color="auto" w:sz="4" w:space="0"/>
              <w:left w:val="single" w:color="auto" w:sz="4" w:space="0"/>
              <w:bottom w:val="single" w:color="auto" w:sz="4" w:space="0"/>
              <w:right w:val="single" w:color="auto" w:sz="4" w:space="0"/>
            </w:tcBorders>
            <w:vAlign w:val="top"/>
          </w:tcPr>
          <w:p>
            <w:pPr>
              <w:spacing w:before="147" w:line="184" w:lineRule="auto"/>
              <w:jc w:val="both"/>
              <w:rPr>
                <w:rFonts w:ascii="宋体" w:hAnsi="宋体"/>
                <w:kern w:val="0"/>
                <w:sz w:val="20"/>
                <w:szCs w:val="20"/>
              </w:rPr>
            </w:pPr>
            <w:r>
              <w:rPr>
                <w:rFonts w:ascii="宋体" w:hAnsi="宋体" w:eastAsia="宋体" w:cs="宋体"/>
                <w:spacing w:val="-5"/>
                <w:sz w:val="20"/>
                <w:szCs w:val="20"/>
              </w:rPr>
              <w:t>≤</w:t>
            </w:r>
            <w:r>
              <w:rPr>
                <w:rFonts w:ascii="宋体" w:hAnsi="宋体" w:eastAsia="宋体" w:cs="宋体"/>
                <w:spacing w:val="-9"/>
                <w:sz w:val="20"/>
                <w:szCs w:val="20"/>
              </w:rPr>
              <w:t>15</w:t>
            </w:r>
            <w:r>
              <w:rPr>
                <w:rFonts w:ascii="宋体" w:hAnsi="宋体" w:eastAsia="宋体" w:cs="宋体"/>
                <w:spacing w:val="-36"/>
                <w:sz w:val="20"/>
                <w:szCs w:val="20"/>
              </w:rPr>
              <w:t xml:space="preserve"> </w:t>
            </w:r>
            <w:r>
              <w:rPr>
                <w:rFonts w:ascii="宋体" w:hAnsi="宋体" w:eastAsia="宋体" w:cs="宋体"/>
                <w:spacing w:val="-9"/>
                <w:sz w:val="20"/>
                <w:szCs w:val="20"/>
              </w:rPr>
              <w:t>万元</w:t>
            </w:r>
          </w:p>
        </w:tc>
        <w:tc>
          <w:tcPr>
            <w:tcW w:w="1357" w:type="dxa"/>
            <w:tcBorders>
              <w:top w:val="single" w:color="auto" w:sz="4" w:space="0"/>
              <w:left w:val="single" w:color="auto" w:sz="4" w:space="0"/>
              <w:bottom w:val="single" w:color="auto" w:sz="4" w:space="0"/>
              <w:right w:val="single" w:color="auto" w:sz="4" w:space="0"/>
            </w:tcBorders>
            <w:vAlign w:val="top"/>
          </w:tcPr>
          <w:p>
            <w:pPr>
              <w:spacing w:before="147" w:line="184" w:lineRule="auto"/>
              <w:jc w:val="both"/>
              <w:rPr>
                <w:rFonts w:ascii="宋体" w:hAnsi="宋体" w:eastAsia="宋体" w:cs="Times New Roman"/>
                <w:kern w:val="0"/>
                <w:sz w:val="20"/>
                <w:szCs w:val="20"/>
                <w:lang w:val="en-US" w:eastAsia="zh-CN" w:bidi="ar-SA"/>
              </w:rPr>
            </w:pPr>
            <w:r>
              <w:rPr>
                <w:rFonts w:ascii="宋体" w:hAnsi="宋体" w:eastAsia="宋体" w:cs="宋体"/>
                <w:spacing w:val="-3"/>
                <w:sz w:val="20"/>
                <w:szCs w:val="20"/>
              </w:rPr>
              <w:t>成本指标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147" w:line="184" w:lineRule="auto"/>
              <w:jc w:val="both"/>
              <w:rPr>
                <w:rFonts w:ascii="宋体" w:hAnsi="宋体" w:eastAsia="宋体" w:cs="Times New Roman"/>
                <w:kern w:val="0"/>
                <w:sz w:val="20"/>
                <w:szCs w:val="20"/>
                <w:lang w:val="en-US" w:eastAsia="zh-CN" w:bidi="ar-SA"/>
              </w:rPr>
            </w:pPr>
            <w:r>
              <w:rPr>
                <w:rFonts w:ascii="宋体" w:hAnsi="宋体" w:eastAsia="宋体" w:cs="宋体"/>
                <w:spacing w:val="-2"/>
                <w:sz w:val="20"/>
                <w:szCs w:val="20"/>
              </w:rPr>
              <w:t>购买标准</w:t>
            </w:r>
          </w:p>
        </w:tc>
        <w:tc>
          <w:tcPr>
            <w:tcW w:w="1100" w:type="dxa"/>
            <w:tcBorders>
              <w:top w:val="single" w:color="auto" w:sz="4" w:space="0"/>
              <w:left w:val="single" w:color="auto" w:sz="4" w:space="0"/>
              <w:bottom w:val="single" w:color="auto" w:sz="4" w:space="0"/>
              <w:right w:val="single" w:color="auto" w:sz="4" w:space="0"/>
            </w:tcBorders>
            <w:vAlign w:val="top"/>
          </w:tcPr>
          <w:p>
            <w:pPr>
              <w:spacing w:before="147" w:line="184" w:lineRule="auto"/>
              <w:jc w:val="both"/>
              <w:rPr>
                <w:rFonts w:ascii="宋体" w:hAnsi="宋体" w:eastAsia="宋体" w:cs="Times New Roman"/>
                <w:kern w:val="0"/>
                <w:sz w:val="20"/>
                <w:szCs w:val="20"/>
                <w:lang w:val="en-US" w:eastAsia="zh-CN" w:bidi="ar-SA"/>
              </w:rPr>
            </w:pPr>
            <w:r>
              <w:rPr>
                <w:rFonts w:ascii="宋体" w:hAnsi="宋体" w:eastAsia="宋体" w:cs="宋体"/>
                <w:spacing w:val="-5"/>
                <w:sz w:val="20"/>
                <w:szCs w:val="20"/>
              </w:rPr>
              <w:t>≤</w:t>
            </w:r>
            <w:r>
              <w:rPr>
                <w:rFonts w:ascii="宋体" w:hAnsi="宋体" w:eastAsia="宋体" w:cs="宋体"/>
                <w:spacing w:val="-9"/>
                <w:sz w:val="20"/>
                <w:szCs w:val="20"/>
              </w:rPr>
              <w:t>15</w:t>
            </w:r>
            <w:r>
              <w:rPr>
                <w:rFonts w:ascii="宋体" w:hAnsi="宋体" w:eastAsia="宋体" w:cs="宋体"/>
                <w:spacing w:val="-36"/>
                <w:sz w:val="20"/>
                <w:szCs w:val="20"/>
              </w:rPr>
              <w:t xml:space="preserve"> </w:t>
            </w:r>
            <w:r>
              <w:rPr>
                <w:rFonts w:ascii="宋体" w:hAnsi="宋体" w:eastAsia="宋体" w:cs="宋体"/>
                <w:spacing w:val="-9"/>
                <w:sz w:val="20"/>
                <w:szCs w:val="20"/>
              </w:rPr>
              <w:t>万元</w:t>
            </w:r>
          </w:p>
        </w:tc>
      </w:tr>
      <w:tr>
        <w:tblPrEx>
          <w:tblCellMar>
            <w:top w:w="0" w:type="dxa"/>
            <w:left w:w="108" w:type="dxa"/>
            <w:bottom w:w="0" w:type="dxa"/>
            <w:right w:w="108" w:type="dxa"/>
          </w:tblCellMar>
        </w:tblPrEx>
        <w:trPr>
          <w:trHeight w:val="580"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kern w:val="0"/>
                <w:sz w:val="20"/>
                <w:szCs w:val="20"/>
                <w:lang w:eastAsia="zh-CN"/>
              </w:rPr>
            </w:pPr>
            <w:r>
              <w:rPr>
                <w:rFonts w:hint="eastAsia" w:ascii="宋体" w:hAnsi="宋体"/>
                <w:kern w:val="0"/>
                <w:sz w:val="20"/>
                <w:szCs w:val="20"/>
                <w:lang w:eastAsia="zh-CN"/>
              </w:rPr>
              <w:t>效益指标</w:t>
            </w:r>
          </w:p>
        </w:tc>
        <w:tc>
          <w:tcPr>
            <w:tcW w:w="1050" w:type="dxa"/>
            <w:tcBorders>
              <w:top w:val="single" w:color="auto" w:sz="4" w:space="0"/>
              <w:left w:val="single" w:color="auto" w:sz="4" w:space="0"/>
              <w:bottom w:val="single" w:color="auto" w:sz="4" w:space="0"/>
              <w:right w:val="single" w:color="auto" w:sz="4" w:space="0"/>
            </w:tcBorders>
            <w:vAlign w:val="top"/>
          </w:tcPr>
          <w:p>
            <w:pPr>
              <w:spacing w:before="159" w:line="184" w:lineRule="auto"/>
              <w:rPr>
                <w:rFonts w:hint="eastAsia" w:ascii="宋体" w:hAnsi="宋体" w:eastAsia="宋体"/>
                <w:kern w:val="0"/>
                <w:sz w:val="20"/>
                <w:szCs w:val="20"/>
                <w:lang w:eastAsia="zh-CN"/>
              </w:rPr>
            </w:pPr>
            <w:r>
              <w:rPr>
                <w:rFonts w:ascii="宋体" w:hAnsi="宋体" w:eastAsia="宋体" w:cs="宋体"/>
                <w:spacing w:val="-2"/>
                <w:sz w:val="20"/>
                <w:szCs w:val="20"/>
              </w:rPr>
              <w:t>社会效益</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59" w:line="184" w:lineRule="auto"/>
              <w:rPr>
                <w:rFonts w:ascii="宋体" w:hAnsi="宋体" w:eastAsia="宋体" w:cs="宋体"/>
                <w:kern w:val="2"/>
                <w:sz w:val="20"/>
                <w:szCs w:val="20"/>
                <w:lang w:val="en-US" w:eastAsia="zh-CN" w:bidi="ar-SA"/>
              </w:rPr>
            </w:pPr>
            <w:r>
              <w:rPr>
                <w:rFonts w:ascii="宋体" w:hAnsi="宋体" w:eastAsia="宋体" w:cs="宋体"/>
                <w:spacing w:val="-2"/>
                <w:sz w:val="20"/>
                <w:szCs w:val="20"/>
              </w:rPr>
              <w:t>提高执法效率</w:t>
            </w:r>
          </w:p>
        </w:tc>
        <w:tc>
          <w:tcPr>
            <w:tcW w:w="892" w:type="dxa"/>
            <w:tcBorders>
              <w:top w:val="single" w:color="auto" w:sz="4" w:space="0"/>
              <w:left w:val="single" w:color="auto" w:sz="4" w:space="0"/>
              <w:bottom w:val="single" w:color="auto" w:sz="4" w:space="0"/>
              <w:right w:val="single" w:color="auto" w:sz="4" w:space="0"/>
            </w:tcBorders>
            <w:vAlign w:val="top"/>
          </w:tcPr>
          <w:p>
            <w:pPr>
              <w:spacing w:before="159" w:line="184" w:lineRule="auto"/>
              <w:rPr>
                <w:rFonts w:ascii="宋体" w:hAnsi="宋体"/>
                <w:kern w:val="0"/>
                <w:sz w:val="20"/>
                <w:szCs w:val="20"/>
              </w:rPr>
            </w:pPr>
            <w:r>
              <w:rPr>
                <w:rFonts w:hint="eastAsia" w:ascii="宋体" w:hAnsi="宋体" w:eastAsia="宋体" w:cs="宋体"/>
                <w:spacing w:val="-7"/>
                <w:sz w:val="20"/>
                <w:szCs w:val="20"/>
                <w:lang w:eastAsia="zh-CN"/>
              </w:rPr>
              <w:t>提高</w:t>
            </w:r>
            <w:r>
              <w:rPr>
                <w:rFonts w:ascii="宋体" w:hAnsi="宋体" w:eastAsia="宋体" w:cs="宋体"/>
                <w:spacing w:val="-4"/>
                <w:sz w:val="20"/>
                <w:szCs w:val="20"/>
              </w:rPr>
              <w:t>%</w:t>
            </w:r>
          </w:p>
        </w:tc>
        <w:tc>
          <w:tcPr>
            <w:tcW w:w="1357" w:type="dxa"/>
            <w:tcBorders>
              <w:top w:val="single" w:color="auto" w:sz="4" w:space="0"/>
              <w:left w:val="single" w:color="auto" w:sz="4" w:space="0"/>
              <w:bottom w:val="single" w:color="auto" w:sz="4" w:space="0"/>
              <w:right w:val="single" w:color="auto" w:sz="4" w:space="0"/>
            </w:tcBorders>
            <w:vAlign w:val="top"/>
          </w:tcPr>
          <w:p>
            <w:pPr>
              <w:spacing w:before="159" w:line="184" w:lineRule="auto"/>
              <w:rPr>
                <w:rFonts w:hint="eastAsia" w:ascii="宋体" w:hAnsi="宋体" w:eastAsia="宋体"/>
                <w:kern w:val="0"/>
                <w:sz w:val="20"/>
                <w:szCs w:val="20"/>
                <w:lang w:eastAsia="zh-CN"/>
              </w:rPr>
            </w:pPr>
            <w:r>
              <w:rPr>
                <w:rFonts w:ascii="宋体" w:hAnsi="宋体" w:eastAsia="宋体" w:cs="宋体"/>
                <w:spacing w:val="-2"/>
                <w:sz w:val="20"/>
                <w:szCs w:val="20"/>
              </w:rPr>
              <w:t>社会效益</w:t>
            </w:r>
          </w:p>
        </w:tc>
        <w:tc>
          <w:tcPr>
            <w:tcW w:w="1635" w:type="dxa"/>
            <w:tcBorders>
              <w:top w:val="single" w:color="auto" w:sz="4" w:space="0"/>
              <w:left w:val="single" w:color="auto" w:sz="4" w:space="0"/>
              <w:bottom w:val="single" w:color="auto" w:sz="4" w:space="0"/>
              <w:right w:val="single" w:color="auto" w:sz="4" w:space="0"/>
            </w:tcBorders>
            <w:vAlign w:val="top"/>
          </w:tcPr>
          <w:p>
            <w:pPr>
              <w:spacing w:before="159" w:line="184" w:lineRule="auto"/>
              <w:rPr>
                <w:rFonts w:hint="eastAsia" w:ascii="宋体" w:hAnsi="宋体" w:eastAsia="宋体" w:cs="宋体"/>
                <w:kern w:val="2"/>
                <w:sz w:val="20"/>
                <w:szCs w:val="20"/>
                <w:lang w:val="en-US" w:eastAsia="zh-CN" w:bidi="ar-SA"/>
              </w:rPr>
            </w:pPr>
            <w:r>
              <w:rPr>
                <w:rFonts w:ascii="宋体" w:hAnsi="宋体" w:eastAsia="宋体" w:cs="宋体"/>
                <w:spacing w:val="-2"/>
                <w:sz w:val="20"/>
                <w:szCs w:val="20"/>
              </w:rPr>
              <w:t>提高执法效率</w:t>
            </w:r>
          </w:p>
        </w:tc>
        <w:tc>
          <w:tcPr>
            <w:tcW w:w="1100" w:type="dxa"/>
            <w:tcBorders>
              <w:top w:val="single" w:color="auto" w:sz="4" w:space="0"/>
              <w:left w:val="single" w:color="auto" w:sz="4" w:space="0"/>
              <w:bottom w:val="single" w:color="auto" w:sz="4" w:space="0"/>
              <w:right w:val="single" w:color="auto" w:sz="4" w:space="0"/>
            </w:tcBorders>
            <w:vAlign w:val="top"/>
          </w:tcPr>
          <w:p>
            <w:pPr>
              <w:spacing w:before="159" w:line="184" w:lineRule="auto"/>
              <w:rPr>
                <w:rFonts w:hint="eastAsia" w:ascii="宋体" w:hAnsi="宋体" w:eastAsia="宋体"/>
                <w:kern w:val="0"/>
                <w:sz w:val="20"/>
                <w:szCs w:val="20"/>
                <w:lang w:eastAsia="zh-CN"/>
              </w:rPr>
            </w:pPr>
            <w:r>
              <w:rPr>
                <w:rFonts w:hint="eastAsia" w:ascii="宋体" w:hAnsi="宋体" w:eastAsia="宋体" w:cs="宋体"/>
                <w:spacing w:val="-7"/>
                <w:sz w:val="20"/>
                <w:szCs w:val="20"/>
                <w:lang w:eastAsia="zh-CN"/>
              </w:rPr>
              <w:t>提高</w:t>
            </w:r>
          </w:p>
        </w:tc>
      </w:tr>
      <w:tr>
        <w:tblPrEx>
          <w:tblCellMar>
            <w:top w:w="0" w:type="dxa"/>
            <w:left w:w="108" w:type="dxa"/>
            <w:bottom w:w="0" w:type="dxa"/>
            <w:right w:w="108" w:type="dxa"/>
          </w:tblCellMar>
        </w:tblPrEx>
        <w:trPr>
          <w:trHeight w:val="875"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kern w:val="0"/>
                <w:sz w:val="20"/>
                <w:szCs w:val="20"/>
                <w:lang w:eastAsia="zh-CN"/>
              </w:rPr>
            </w:pPr>
          </w:p>
        </w:tc>
        <w:tc>
          <w:tcPr>
            <w:tcW w:w="1050" w:type="dxa"/>
            <w:tcBorders>
              <w:top w:val="single" w:color="auto" w:sz="4" w:space="0"/>
              <w:left w:val="single" w:color="auto" w:sz="4" w:space="0"/>
              <w:bottom w:val="single" w:color="auto" w:sz="4" w:space="0"/>
              <w:right w:val="single" w:color="auto" w:sz="4" w:space="0"/>
            </w:tcBorders>
            <w:vAlign w:val="top"/>
          </w:tcPr>
          <w:p>
            <w:pPr>
              <w:spacing w:before="352" w:line="184" w:lineRule="auto"/>
              <w:rPr>
                <w:rFonts w:hint="eastAsia" w:ascii="宋体" w:hAnsi="宋体"/>
                <w:kern w:val="0"/>
                <w:sz w:val="20"/>
                <w:szCs w:val="20"/>
              </w:rPr>
            </w:pPr>
            <w:r>
              <w:rPr>
                <w:rFonts w:ascii="宋体" w:hAnsi="宋体" w:eastAsia="宋体" w:cs="宋体"/>
                <w:spacing w:val="-2"/>
                <w:sz w:val="20"/>
                <w:szCs w:val="20"/>
              </w:rPr>
              <w:t>可持续影响指标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95" w:line="288" w:lineRule="auto"/>
              <w:ind w:right="116" w:rightChars="0"/>
              <w:jc w:val="left"/>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提升执法水平和执法能力</w:t>
            </w:r>
          </w:p>
        </w:tc>
        <w:tc>
          <w:tcPr>
            <w:tcW w:w="892" w:type="dxa"/>
            <w:tcBorders>
              <w:top w:val="single" w:color="auto" w:sz="4" w:space="0"/>
              <w:left w:val="single" w:color="auto" w:sz="4" w:space="0"/>
              <w:bottom w:val="single" w:color="auto" w:sz="4" w:space="0"/>
              <w:right w:val="single" w:color="auto" w:sz="4" w:space="0"/>
            </w:tcBorders>
            <w:vAlign w:val="top"/>
          </w:tcPr>
          <w:p>
            <w:pPr>
              <w:spacing w:before="352" w:line="184" w:lineRule="auto"/>
              <w:rPr>
                <w:rFonts w:hint="eastAsia" w:ascii="宋体" w:hAnsi="宋体" w:eastAsia="宋体"/>
                <w:kern w:val="0"/>
                <w:sz w:val="20"/>
                <w:szCs w:val="20"/>
                <w:lang w:eastAsia="zh-CN"/>
              </w:rPr>
            </w:pPr>
            <w:r>
              <w:rPr>
                <w:rFonts w:hint="eastAsia" w:ascii="宋体" w:hAnsi="宋体" w:eastAsia="宋体" w:cs="宋体"/>
                <w:spacing w:val="-7"/>
                <w:sz w:val="20"/>
                <w:szCs w:val="20"/>
                <w:lang w:eastAsia="zh-CN"/>
              </w:rPr>
              <w:t>提升</w:t>
            </w:r>
          </w:p>
        </w:tc>
        <w:tc>
          <w:tcPr>
            <w:tcW w:w="1357" w:type="dxa"/>
            <w:tcBorders>
              <w:top w:val="single" w:color="auto" w:sz="4" w:space="0"/>
              <w:left w:val="single" w:color="auto" w:sz="4" w:space="0"/>
              <w:bottom w:val="single" w:color="auto" w:sz="4" w:space="0"/>
              <w:right w:val="single" w:color="auto" w:sz="4" w:space="0"/>
            </w:tcBorders>
            <w:vAlign w:val="top"/>
          </w:tcPr>
          <w:p>
            <w:pPr>
              <w:spacing w:before="352" w:line="184" w:lineRule="auto"/>
              <w:rPr>
                <w:rFonts w:hint="eastAsia" w:ascii="宋体" w:hAnsi="宋体"/>
                <w:kern w:val="0"/>
                <w:sz w:val="20"/>
                <w:szCs w:val="20"/>
              </w:rPr>
            </w:pPr>
            <w:r>
              <w:rPr>
                <w:rFonts w:ascii="宋体" w:hAnsi="宋体" w:eastAsia="宋体" w:cs="宋体"/>
                <w:spacing w:val="-2"/>
                <w:sz w:val="20"/>
                <w:szCs w:val="20"/>
              </w:rPr>
              <w:t>可持续影响指标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195" w:line="288" w:lineRule="auto"/>
              <w:ind w:right="116" w:rightChars="0"/>
              <w:jc w:val="left"/>
              <w:rPr>
                <w:rFonts w:hint="eastAsia" w:ascii="宋体" w:hAnsi="宋体" w:eastAsia="宋体" w:cs="宋体"/>
                <w:kern w:val="2"/>
                <w:sz w:val="20"/>
                <w:szCs w:val="20"/>
                <w:lang w:val="en-US" w:eastAsia="zh-CN" w:bidi="ar-SA"/>
              </w:rPr>
            </w:pPr>
            <w:r>
              <w:rPr>
                <w:rFonts w:hint="eastAsia" w:ascii="宋体" w:hAnsi="宋体" w:cs="宋体"/>
                <w:kern w:val="2"/>
                <w:sz w:val="20"/>
                <w:szCs w:val="20"/>
                <w:lang w:val="en-US" w:eastAsia="zh-CN" w:bidi="ar-SA"/>
              </w:rPr>
              <w:t>提升执法水平和执法能力</w:t>
            </w:r>
          </w:p>
        </w:tc>
        <w:tc>
          <w:tcPr>
            <w:tcW w:w="1100" w:type="dxa"/>
            <w:tcBorders>
              <w:top w:val="single" w:color="auto" w:sz="4" w:space="0"/>
              <w:left w:val="single" w:color="auto" w:sz="4" w:space="0"/>
              <w:bottom w:val="single" w:color="auto" w:sz="4" w:space="0"/>
              <w:right w:val="single" w:color="auto" w:sz="4" w:space="0"/>
            </w:tcBorders>
            <w:vAlign w:val="top"/>
          </w:tcPr>
          <w:p>
            <w:pPr>
              <w:spacing w:before="352" w:line="184" w:lineRule="auto"/>
              <w:rPr>
                <w:rFonts w:hint="eastAsia" w:ascii="宋体" w:hAnsi="宋体"/>
                <w:kern w:val="0"/>
                <w:sz w:val="20"/>
                <w:szCs w:val="20"/>
              </w:rPr>
            </w:pPr>
            <w:r>
              <w:rPr>
                <w:rFonts w:hint="eastAsia" w:ascii="宋体" w:hAnsi="宋体" w:eastAsia="宋体" w:cs="宋体"/>
                <w:spacing w:val="-7"/>
                <w:sz w:val="20"/>
                <w:szCs w:val="20"/>
                <w:lang w:eastAsia="zh-CN"/>
              </w:rPr>
              <w:t>提升</w:t>
            </w:r>
          </w:p>
        </w:tc>
      </w:tr>
      <w:tr>
        <w:tblPrEx>
          <w:tblCellMar>
            <w:top w:w="0" w:type="dxa"/>
            <w:left w:w="108" w:type="dxa"/>
            <w:bottom w:w="0" w:type="dxa"/>
            <w:right w:w="108" w:type="dxa"/>
          </w:tblCellMar>
        </w:tblPrEx>
        <w:trPr>
          <w:trHeight w:val="759"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满意度指标</w:t>
            </w:r>
          </w:p>
        </w:tc>
        <w:tc>
          <w:tcPr>
            <w:tcW w:w="2716" w:type="dxa"/>
            <w:gridSpan w:val="3"/>
            <w:tcBorders>
              <w:top w:val="single" w:color="auto" w:sz="4" w:space="0"/>
              <w:left w:val="single" w:color="auto" w:sz="4" w:space="0"/>
              <w:bottom w:val="single" w:color="auto" w:sz="4" w:space="0"/>
              <w:right w:val="single" w:color="auto" w:sz="4" w:space="0"/>
            </w:tcBorders>
            <w:vAlign w:val="center"/>
          </w:tcPr>
          <w:p>
            <w:pPr>
              <w:spacing w:before="228" w:line="184" w:lineRule="auto"/>
              <w:rPr>
                <w:rFonts w:hint="eastAsia" w:ascii="宋体" w:hAnsi="宋体" w:eastAsia="宋体" w:cs="宋体"/>
                <w:kern w:val="2"/>
                <w:sz w:val="20"/>
                <w:szCs w:val="20"/>
                <w:lang w:val="en-US" w:eastAsia="zh-CN" w:bidi="ar-SA"/>
              </w:rPr>
            </w:pPr>
            <w:r>
              <w:rPr>
                <w:rFonts w:ascii="宋体" w:hAnsi="宋体" w:eastAsia="宋体" w:cs="宋体"/>
                <w:spacing w:val="-2"/>
                <w:sz w:val="20"/>
                <w:szCs w:val="20"/>
              </w:rPr>
              <w:t>执法人员满意度</w:t>
            </w:r>
          </w:p>
        </w:tc>
        <w:tc>
          <w:tcPr>
            <w:tcW w:w="892" w:type="dxa"/>
            <w:tcBorders>
              <w:top w:val="single" w:color="auto" w:sz="4" w:space="0"/>
              <w:left w:val="single" w:color="auto" w:sz="4" w:space="0"/>
              <w:bottom w:val="single" w:color="auto" w:sz="4" w:space="0"/>
              <w:right w:val="single" w:color="auto" w:sz="4" w:space="0"/>
            </w:tcBorders>
            <w:vAlign w:val="top"/>
          </w:tcPr>
          <w:p>
            <w:pPr>
              <w:spacing w:before="228" w:line="184" w:lineRule="auto"/>
              <w:rPr>
                <w:rFonts w:hint="default" w:ascii="宋体" w:hAnsi="宋体" w:eastAsia="宋体"/>
                <w:kern w:val="0"/>
                <w:sz w:val="20"/>
                <w:szCs w:val="20"/>
                <w:lang w:val="en-US" w:eastAsia="zh-CN"/>
              </w:rPr>
            </w:pPr>
            <w:r>
              <w:rPr>
                <w:rFonts w:ascii="宋体" w:hAnsi="宋体" w:eastAsia="宋体" w:cs="宋体"/>
                <w:spacing w:val="-7"/>
                <w:sz w:val="20"/>
                <w:szCs w:val="20"/>
              </w:rPr>
              <w:t>≥98%</w:t>
            </w:r>
          </w:p>
        </w:tc>
        <w:tc>
          <w:tcPr>
            <w:tcW w:w="2992" w:type="dxa"/>
            <w:gridSpan w:val="2"/>
            <w:tcBorders>
              <w:top w:val="single" w:color="auto" w:sz="4" w:space="0"/>
              <w:left w:val="single" w:color="auto" w:sz="4" w:space="0"/>
              <w:bottom w:val="single" w:color="auto" w:sz="4" w:space="0"/>
              <w:right w:val="single" w:color="auto" w:sz="4" w:space="0"/>
            </w:tcBorders>
            <w:vAlign w:val="center"/>
          </w:tcPr>
          <w:p>
            <w:pPr>
              <w:spacing w:before="228" w:line="184" w:lineRule="auto"/>
              <w:rPr>
                <w:rFonts w:hint="eastAsia" w:ascii="宋体" w:hAnsi="宋体" w:eastAsia="宋体" w:cs="宋体"/>
                <w:kern w:val="2"/>
                <w:sz w:val="20"/>
                <w:szCs w:val="20"/>
                <w:lang w:val="en-US" w:eastAsia="zh-CN" w:bidi="ar-SA"/>
              </w:rPr>
            </w:pPr>
            <w:r>
              <w:rPr>
                <w:rFonts w:ascii="宋体" w:hAnsi="宋体" w:eastAsia="宋体" w:cs="宋体"/>
                <w:spacing w:val="-2"/>
                <w:sz w:val="20"/>
                <w:szCs w:val="20"/>
              </w:rPr>
              <w:t>执法人员满意度</w:t>
            </w:r>
          </w:p>
        </w:tc>
        <w:tc>
          <w:tcPr>
            <w:tcW w:w="1100" w:type="dxa"/>
            <w:tcBorders>
              <w:top w:val="single" w:color="auto" w:sz="4" w:space="0"/>
              <w:left w:val="single" w:color="auto" w:sz="4" w:space="0"/>
              <w:bottom w:val="single" w:color="auto" w:sz="4" w:space="0"/>
              <w:right w:val="single" w:color="auto" w:sz="4" w:space="0"/>
            </w:tcBorders>
            <w:vAlign w:val="top"/>
          </w:tcPr>
          <w:p>
            <w:pPr>
              <w:spacing w:before="228" w:line="184" w:lineRule="auto"/>
              <w:rPr>
                <w:rFonts w:hint="eastAsia" w:ascii="宋体" w:hAnsi="宋体" w:eastAsia="宋体" w:cs="宋体"/>
                <w:kern w:val="2"/>
                <w:sz w:val="20"/>
                <w:szCs w:val="20"/>
                <w:lang w:val="en-US" w:eastAsia="zh-CN" w:bidi="ar-SA"/>
              </w:rPr>
            </w:pPr>
            <w:r>
              <w:rPr>
                <w:rFonts w:ascii="宋体" w:hAnsi="宋体" w:eastAsia="宋体" w:cs="宋体"/>
                <w:spacing w:val="-7"/>
                <w:sz w:val="20"/>
                <w:szCs w:val="20"/>
              </w:rPr>
              <w:t>≥98%</w:t>
            </w:r>
          </w:p>
        </w:tc>
      </w:tr>
    </w:tbl>
    <w:p/>
    <w:p>
      <w:pPr>
        <w:rPr>
          <w:rFonts w:ascii="微软雅黑"/>
          <w:sz w:val="21"/>
        </w:rPr>
      </w:pPr>
    </w:p>
    <w:p>
      <w:pPr>
        <w:sectPr>
          <w:footerReference r:id="rId17" w:type="default"/>
          <w:pgSz w:w="11906" w:h="16839"/>
          <w:pgMar w:top="1431" w:right="639" w:bottom="2002" w:left="887" w:header="0" w:footer="1883" w:gutter="0"/>
          <w:pgNumType w:fmt="decimal"/>
          <w:cols w:space="720" w:num="1"/>
        </w:sectPr>
      </w:pPr>
    </w:p>
    <w:tbl>
      <w:tblPr>
        <w:tblStyle w:val="5"/>
        <w:tblW w:w="9836" w:type="dxa"/>
        <w:jc w:val="center"/>
        <w:tblLayout w:type="fixed"/>
        <w:tblCellMar>
          <w:top w:w="0" w:type="dxa"/>
          <w:left w:w="108" w:type="dxa"/>
          <w:bottom w:w="0" w:type="dxa"/>
          <w:right w:w="108" w:type="dxa"/>
        </w:tblCellMar>
      </w:tblPr>
      <w:tblGrid>
        <w:gridCol w:w="1041"/>
        <w:gridCol w:w="1095"/>
        <w:gridCol w:w="1050"/>
        <w:gridCol w:w="526"/>
        <w:gridCol w:w="1140"/>
        <w:gridCol w:w="892"/>
        <w:gridCol w:w="1357"/>
        <w:gridCol w:w="1635"/>
        <w:gridCol w:w="1100"/>
      </w:tblGrid>
      <w:tr>
        <w:tblPrEx>
          <w:tblCellMar>
            <w:top w:w="0" w:type="dxa"/>
            <w:left w:w="108" w:type="dxa"/>
            <w:bottom w:w="0" w:type="dxa"/>
            <w:right w:w="108" w:type="dxa"/>
          </w:tblCellMar>
        </w:tblPrEx>
        <w:trPr>
          <w:trHeight w:val="817" w:hRule="atLeast"/>
          <w:jc w:val="center"/>
        </w:trPr>
        <w:tc>
          <w:tcPr>
            <w:tcW w:w="9836" w:type="dxa"/>
            <w:gridSpan w:val="9"/>
            <w:tcBorders>
              <w:top w:val="nil"/>
              <w:left w:val="nil"/>
              <w:bottom w:val="single" w:color="000000" w:sz="4" w:space="0"/>
              <w:right w:val="nil"/>
            </w:tcBorders>
            <w:vAlign w:val="center"/>
          </w:tcPr>
          <w:p>
            <w:pPr>
              <w:widowControl/>
              <w:jc w:val="both"/>
              <w:rPr>
                <w:rFonts w:hint="eastAsia" w:ascii="方正小标宋简体" w:hAnsi="方正小标宋简体" w:eastAsia="方正小标宋简体" w:cs="方正小标宋简体"/>
                <w:kern w:val="0"/>
                <w:sz w:val="36"/>
                <w:szCs w:val="36"/>
                <w:lang w:val="en-US" w:eastAsia="zh-CN"/>
              </w:rPr>
            </w:pPr>
          </w:p>
          <w:p>
            <w:pPr>
              <w:widowControl/>
              <w:jc w:val="center"/>
              <w:rPr>
                <w:rFonts w:ascii="方正小标宋简体" w:eastAsia="方正小标宋简体"/>
                <w:kern w:val="0"/>
                <w:sz w:val="40"/>
                <w:szCs w:val="40"/>
              </w:rPr>
            </w:pPr>
            <w:r>
              <w:rPr>
                <w:rFonts w:hint="eastAsia" w:ascii="方正小标宋简体" w:hAnsi="方正小标宋简体" w:eastAsia="方正小标宋简体" w:cs="方正小标宋简体"/>
                <w:kern w:val="0"/>
                <w:sz w:val="36"/>
                <w:szCs w:val="36"/>
                <w:lang w:val="en-US" w:eastAsia="zh-CN"/>
              </w:rPr>
              <w:t>2021年预算</w:t>
            </w:r>
            <w:r>
              <w:rPr>
                <w:rFonts w:hint="eastAsia" w:ascii="方正小标宋简体" w:hAnsi="方正小标宋简体" w:eastAsia="方正小标宋简体" w:cs="方正小标宋简体"/>
                <w:kern w:val="0"/>
                <w:sz w:val="36"/>
                <w:szCs w:val="36"/>
              </w:rPr>
              <w:t>项目支出绩效目标表</w:t>
            </w:r>
          </w:p>
        </w:tc>
      </w:tr>
      <w:tr>
        <w:tblPrEx>
          <w:tblCellMar>
            <w:top w:w="0" w:type="dxa"/>
            <w:left w:w="108" w:type="dxa"/>
            <w:bottom w:w="0" w:type="dxa"/>
            <w:right w:w="108" w:type="dxa"/>
          </w:tblCellMar>
        </w:tblPrEx>
        <w:trPr>
          <w:cantSplit/>
          <w:trHeight w:val="567" w:hRule="atLeast"/>
          <w:jc w:val="center"/>
        </w:trPr>
        <w:tc>
          <w:tcPr>
            <w:tcW w:w="1041" w:type="dxa"/>
            <w:tcBorders>
              <w:top w:val="nil"/>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8795" w:type="dxa"/>
            <w:gridSpan w:val="8"/>
            <w:tcBorders>
              <w:top w:val="single" w:color="000000" w:sz="4" w:space="0"/>
              <w:left w:val="nil"/>
              <w:bottom w:val="single" w:color="000000" w:sz="4" w:space="0"/>
              <w:right w:val="single" w:color="000000" w:sz="4" w:space="0"/>
            </w:tcBorders>
            <w:vAlign w:val="center"/>
          </w:tcPr>
          <w:p>
            <w:pPr>
              <w:widowControl/>
              <w:jc w:val="left"/>
              <w:rPr>
                <w:rFonts w:ascii="宋体" w:hAnsi="宋体"/>
                <w:color w:val="000000"/>
                <w:kern w:val="0"/>
                <w:sz w:val="20"/>
                <w:szCs w:val="20"/>
              </w:rPr>
            </w:pPr>
            <w:r>
              <w:rPr>
                <w:rFonts w:ascii="宋体" w:hAnsi="宋体" w:eastAsia="宋体" w:cs="宋体"/>
                <w:spacing w:val="-2"/>
                <w:sz w:val="20"/>
                <w:szCs w:val="20"/>
              </w:rPr>
              <w:t>办公区域修缮费用</w:t>
            </w:r>
          </w:p>
        </w:tc>
      </w:tr>
      <w:tr>
        <w:tblPrEx>
          <w:tblCellMar>
            <w:top w:w="0" w:type="dxa"/>
            <w:left w:w="108" w:type="dxa"/>
            <w:bottom w:w="0" w:type="dxa"/>
            <w:right w:w="108" w:type="dxa"/>
          </w:tblCellMar>
        </w:tblPrEx>
        <w:trPr>
          <w:cantSplit/>
          <w:trHeight w:val="567" w:hRule="atLeast"/>
          <w:jc w:val="center"/>
        </w:trPr>
        <w:tc>
          <w:tcPr>
            <w:tcW w:w="1041" w:type="dxa"/>
            <w:tcBorders>
              <w:top w:val="nil"/>
              <w:left w:val="single" w:color="000000" w:sz="4" w:space="0"/>
              <w:bottom w:val="single" w:color="000000" w:sz="4" w:space="0"/>
              <w:right w:val="single" w:color="000000" w:sz="4" w:space="0"/>
            </w:tcBorders>
            <w:vAlign w:val="center"/>
          </w:tcPr>
          <w:p>
            <w:pPr>
              <w:widowControl/>
              <w:jc w:val="center"/>
              <w:rPr>
                <w:rFonts w:hint="eastAsia" w:ascii="宋体" w:hAnsi="宋体" w:eastAsia="宋体"/>
                <w:kern w:val="0"/>
                <w:sz w:val="20"/>
                <w:szCs w:val="20"/>
                <w:lang w:eastAsia="zh-CN"/>
              </w:rPr>
            </w:pPr>
            <w:r>
              <w:rPr>
                <w:rFonts w:hint="eastAsia" w:ascii="宋体" w:hAnsi="宋体"/>
                <w:kern w:val="0"/>
                <w:sz w:val="20"/>
                <w:szCs w:val="20"/>
              </w:rPr>
              <w:t>主管</w:t>
            </w:r>
            <w:r>
              <w:rPr>
                <w:rFonts w:hint="eastAsia" w:ascii="宋体" w:hAnsi="宋体" w:eastAsia="宋体"/>
                <w:kern w:val="0"/>
                <w:sz w:val="20"/>
                <w:szCs w:val="20"/>
                <w:lang w:eastAsia="zh-CN"/>
              </w:rPr>
              <w:t>单位</w:t>
            </w:r>
          </w:p>
        </w:tc>
        <w:tc>
          <w:tcPr>
            <w:tcW w:w="8795" w:type="dxa"/>
            <w:gridSpan w:val="8"/>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kern w:val="0"/>
                <w:sz w:val="20"/>
                <w:szCs w:val="20"/>
                <w:lang w:eastAsia="zh-CN"/>
              </w:rPr>
            </w:pPr>
            <w:r>
              <w:rPr>
                <w:rFonts w:hint="eastAsia" w:ascii="宋体" w:hAnsi="宋体"/>
                <w:kern w:val="0"/>
                <w:sz w:val="20"/>
                <w:szCs w:val="20"/>
                <w:lang w:eastAsia="zh-CN"/>
              </w:rPr>
              <w:t>高青县交通运输局</w:t>
            </w:r>
          </w:p>
        </w:tc>
      </w:tr>
      <w:tr>
        <w:tblPrEx>
          <w:tblCellMar>
            <w:top w:w="0" w:type="dxa"/>
            <w:left w:w="108" w:type="dxa"/>
            <w:bottom w:w="0" w:type="dxa"/>
            <w:right w:w="108" w:type="dxa"/>
          </w:tblCellMar>
        </w:tblPrEx>
        <w:trPr>
          <w:cantSplit/>
          <w:trHeight w:val="567" w:hRule="atLeast"/>
          <w:jc w:val="center"/>
        </w:trPr>
        <w:tc>
          <w:tcPr>
            <w:tcW w:w="1041" w:type="dxa"/>
            <w:tcBorders>
              <w:top w:val="nil"/>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资金情况</w:t>
            </w:r>
          </w:p>
        </w:tc>
        <w:tc>
          <w:tcPr>
            <w:tcW w:w="2671" w:type="dxa"/>
            <w:gridSpan w:val="3"/>
            <w:tcBorders>
              <w:top w:val="nil"/>
              <w:left w:val="nil"/>
              <w:bottom w:val="single" w:color="000000" w:sz="4" w:space="0"/>
              <w:right w:val="single" w:color="000000" w:sz="4" w:space="0"/>
            </w:tcBorders>
            <w:vAlign w:val="center"/>
          </w:tcPr>
          <w:p>
            <w:pPr>
              <w:widowControl/>
              <w:jc w:val="left"/>
              <w:rPr>
                <w:rFonts w:hint="eastAsia" w:ascii="宋体" w:hAnsi="宋体" w:eastAsia="宋体"/>
                <w:kern w:val="0"/>
                <w:sz w:val="20"/>
                <w:szCs w:val="20"/>
                <w:lang w:eastAsia="zh-CN"/>
              </w:rPr>
            </w:pPr>
            <w:r>
              <w:rPr>
                <w:rFonts w:hint="eastAsia" w:ascii="宋体" w:hAnsi="宋体"/>
                <w:kern w:val="0"/>
                <w:sz w:val="20"/>
                <w:szCs w:val="20"/>
                <w:lang w:eastAsia="zh-CN"/>
              </w:rPr>
              <w:t>财政拨款年度金额：</w:t>
            </w:r>
          </w:p>
        </w:tc>
        <w:tc>
          <w:tcPr>
            <w:tcW w:w="6124" w:type="dxa"/>
            <w:gridSpan w:val="5"/>
            <w:tcBorders>
              <w:top w:val="nil"/>
              <w:left w:val="nil"/>
              <w:bottom w:val="single" w:color="000000" w:sz="4" w:space="0"/>
              <w:right w:val="single" w:color="000000" w:sz="4" w:space="0"/>
            </w:tcBorders>
            <w:vAlign w:val="center"/>
          </w:tcPr>
          <w:p>
            <w:pPr>
              <w:widowControl/>
              <w:jc w:val="left"/>
              <w:rPr>
                <w:rFonts w:hint="default" w:ascii="宋体" w:hAnsi="宋体" w:eastAsia="宋体"/>
                <w:kern w:val="0"/>
                <w:sz w:val="20"/>
                <w:szCs w:val="20"/>
                <w:lang w:val="en-US" w:eastAsia="zh-CN"/>
              </w:rPr>
            </w:pPr>
            <w:r>
              <w:rPr>
                <w:rFonts w:hint="eastAsia" w:ascii="宋体" w:hAnsi="宋体" w:cs="宋体"/>
                <w:spacing w:val="-10"/>
                <w:w w:val="98"/>
                <w:sz w:val="20"/>
                <w:szCs w:val="20"/>
                <w:lang w:val="en-US" w:eastAsia="zh-CN"/>
              </w:rPr>
              <w:t>20</w:t>
            </w:r>
            <w:r>
              <w:rPr>
                <w:rFonts w:hint="eastAsia" w:ascii="宋体" w:hAnsi="宋体"/>
                <w:kern w:val="0"/>
                <w:sz w:val="20"/>
                <w:szCs w:val="20"/>
                <w:lang w:val="en-US" w:eastAsia="zh-CN"/>
              </w:rPr>
              <w:t>万元</w:t>
            </w:r>
          </w:p>
        </w:tc>
      </w:tr>
      <w:tr>
        <w:tblPrEx>
          <w:tblCellMar>
            <w:top w:w="0" w:type="dxa"/>
            <w:left w:w="108" w:type="dxa"/>
            <w:bottom w:w="0" w:type="dxa"/>
            <w:right w:w="108" w:type="dxa"/>
          </w:tblCellMar>
        </w:tblPrEx>
        <w:trPr>
          <w:trHeight w:val="397" w:hRule="atLeast"/>
          <w:jc w:val="center"/>
        </w:trPr>
        <w:tc>
          <w:tcPr>
            <w:tcW w:w="1041" w:type="dxa"/>
            <w:vMerge w:val="restart"/>
            <w:tcBorders>
              <w:top w:val="nil"/>
              <w:left w:val="single" w:color="000000"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总体目标</w:t>
            </w:r>
          </w:p>
        </w:tc>
        <w:tc>
          <w:tcPr>
            <w:tcW w:w="4703"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 w:val="20"/>
                <w:szCs w:val="20"/>
              </w:rPr>
            </w:pPr>
            <w:r>
              <w:rPr>
                <w:rFonts w:hint="eastAsia" w:ascii="宋体" w:hAnsi="宋体"/>
                <w:b/>
                <w:bCs/>
                <w:kern w:val="0"/>
                <w:sz w:val="20"/>
                <w:szCs w:val="20"/>
              </w:rPr>
              <w:t>长期目标（</w:t>
            </w:r>
            <w:r>
              <w:rPr>
                <w:rFonts w:hint="eastAsia" w:ascii="宋体" w:hAnsi="宋体"/>
                <w:b/>
                <w:bCs/>
                <w:kern w:val="0"/>
                <w:sz w:val="20"/>
                <w:szCs w:val="20"/>
                <w:lang w:val="en-US" w:eastAsia="zh-CN"/>
              </w:rPr>
              <w:t>2021</w:t>
            </w:r>
            <w:r>
              <w:rPr>
                <w:rFonts w:hint="eastAsia" w:ascii="宋体" w:hAnsi="宋体"/>
                <w:b/>
                <w:bCs/>
                <w:kern w:val="0"/>
                <w:sz w:val="20"/>
                <w:szCs w:val="20"/>
              </w:rPr>
              <w:t>年-</w:t>
            </w:r>
            <w:r>
              <w:rPr>
                <w:rFonts w:hint="eastAsia" w:ascii="宋体" w:hAnsi="宋体"/>
                <w:b/>
                <w:bCs/>
                <w:kern w:val="0"/>
                <w:sz w:val="20"/>
                <w:szCs w:val="20"/>
                <w:lang w:val="en-US" w:eastAsia="zh-CN"/>
              </w:rPr>
              <w:t>2021</w:t>
            </w:r>
            <w:r>
              <w:rPr>
                <w:rFonts w:hint="eastAsia" w:ascii="宋体" w:hAnsi="宋体"/>
                <w:b/>
                <w:bCs/>
                <w:kern w:val="0"/>
                <w:sz w:val="20"/>
                <w:szCs w:val="20"/>
              </w:rPr>
              <w:t>年)</w:t>
            </w:r>
          </w:p>
        </w:tc>
        <w:tc>
          <w:tcPr>
            <w:tcW w:w="4092"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b/>
                <w:bCs/>
                <w:kern w:val="0"/>
                <w:sz w:val="20"/>
                <w:szCs w:val="20"/>
              </w:rPr>
            </w:pPr>
            <w:r>
              <w:rPr>
                <w:rFonts w:hint="eastAsia" w:ascii="宋体" w:hAnsi="宋体"/>
                <w:b/>
                <w:bCs/>
                <w:kern w:val="0"/>
                <w:sz w:val="20"/>
                <w:szCs w:val="20"/>
              </w:rPr>
              <w:t>年度目标（202</w:t>
            </w:r>
            <w:r>
              <w:rPr>
                <w:rFonts w:hint="eastAsia" w:ascii="宋体" w:hAnsi="宋体"/>
                <w:b/>
                <w:bCs/>
                <w:kern w:val="0"/>
                <w:sz w:val="20"/>
                <w:szCs w:val="20"/>
                <w:lang w:val="en-US" w:eastAsia="zh-CN"/>
              </w:rPr>
              <w:t>1</w:t>
            </w:r>
            <w:r>
              <w:rPr>
                <w:rFonts w:hint="eastAsia" w:ascii="宋体" w:hAnsi="宋体"/>
                <w:b/>
                <w:bCs/>
                <w:kern w:val="0"/>
                <w:sz w:val="20"/>
                <w:szCs w:val="20"/>
              </w:rPr>
              <w:t>年）</w:t>
            </w:r>
          </w:p>
        </w:tc>
      </w:tr>
      <w:tr>
        <w:tblPrEx>
          <w:tblCellMar>
            <w:top w:w="0" w:type="dxa"/>
            <w:left w:w="108" w:type="dxa"/>
            <w:bottom w:w="0" w:type="dxa"/>
            <w:right w:w="108" w:type="dxa"/>
          </w:tblCellMar>
        </w:tblPrEx>
        <w:trPr>
          <w:trHeight w:val="1247" w:hRule="atLeast"/>
          <w:jc w:val="center"/>
        </w:trPr>
        <w:tc>
          <w:tcPr>
            <w:tcW w:w="1041"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kern w:val="0"/>
                <w:sz w:val="20"/>
                <w:szCs w:val="20"/>
              </w:rPr>
            </w:pPr>
          </w:p>
        </w:tc>
        <w:tc>
          <w:tcPr>
            <w:tcW w:w="4703" w:type="dxa"/>
            <w:gridSpan w:val="5"/>
            <w:tcBorders>
              <w:top w:val="single" w:color="000000" w:sz="4" w:space="0"/>
              <w:left w:val="nil"/>
              <w:bottom w:val="single" w:color="000000" w:sz="4" w:space="0"/>
              <w:right w:val="single" w:color="000000" w:sz="4" w:space="0"/>
            </w:tcBorders>
            <w:vAlign w:val="center"/>
          </w:tcPr>
          <w:p>
            <w:pPr>
              <w:widowControl/>
              <w:ind w:firstLine="396" w:firstLineChars="200"/>
              <w:jc w:val="left"/>
              <w:rPr>
                <w:rFonts w:hint="eastAsia" w:ascii="宋体" w:hAnsi="宋体" w:eastAsia="宋体"/>
                <w:color w:val="000000"/>
                <w:kern w:val="0"/>
                <w:sz w:val="20"/>
                <w:szCs w:val="20"/>
                <w:lang w:val="en-US" w:eastAsia="zh-CN"/>
              </w:rPr>
            </w:pPr>
            <w:r>
              <w:rPr>
                <w:rFonts w:ascii="宋体" w:hAnsi="宋体" w:eastAsia="宋体" w:cs="宋体"/>
                <w:spacing w:val="-1"/>
                <w:sz w:val="20"/>
                <w:szCs w:val="20"/>
              </w:rPr>
              <w:t>消除安全隐患</w:t>
            </w:r>
            <w:r>
              <w:rPr>
                <w:rFonts w:hint="eastAsia" w:ascii="宋体" w:hAnsi="宋体" w:cs="宋体"/>
                <w:spacing w:val="-1"/>
                <w:sz w:val="20"/>
                <w:szCs w:val="20"/>
                <w:lang w:eastAsia="zh-CN"/>
              </w:rPr>
              <w:t>，</w:t>
            </w:r>
            <w:r>
              <w:rPr>
                <w:rFonts w:ascii="宋体" w:hAnsi="宋体" w:eastAsia="宋体" w:cs="宋体"/>
                <w:spacing w:val="-1"/>
                <w:sz w:val="20"/>
                <w:szCs w:val="20"/>
              </w:rPr>
              <w:t>为职工</w:t>
            </w:r>
            <w:r>
              <w:rPr>
                <w:rFonts w:ascii="宋体" w:hAnsi="宋体" w:eastAsia="宋体" w:cs="宋体"/>
                <w:spacing w:val="35"/>
                <w:sz w:val="20"/>
                <w:szCs w:val="20"/>
              </w:rPr>
              <w:t xml:space="preserve"> </w:t>
            </w:r>
            <w:r>
              <w:rPr>
                <w:rFonts w:ascii="宋体" w:hAnsi="宋体" w:eastAsia="宋体" w:cs="宋体"/>
                <w:spacing w:val="-1"/>
                <w:sz w:val="20"/>
                <w:szCs w:val="20"/>
              </w:rPr>
              <w:t>创造良好、安全的工作环境，保障正常办公秩序。</w:t>
            </w:r>
          </w:p>
        </w:tc>
        <w:tc>
          <w:tcPr>
            <w:tcW w:w="4092" w:type="dxa"/>
            <w:gridSpan w:val="3"/>
            <w:tcBorders>
              <w:top w:val="single" w:color="000000" w:sz="4" w:space="0"/>
              <w:left w:val="nil"/>
              <w:bottom w:val="single" w:color="000000" w:sz="4" w:space="0"/>
              <w:right w:val="single" w:color="000000" w:sz="4" w:space="0"/>
            </w:tcBorders>
            <w:vAlign w:val="center"/>
          </w:tcPr>
          <w:p>
            <w:pPr>
              <w:widowControl/>
              <w:ind w:firstLine="396" w:firstLineChars="200"/>
              <w:jc w:val="left"/>
              <w:rPr>
                <w:rFonts w:hint="eastAsia" w:ascii="宋体" w:hAnsi="宋体" w:eastAsia="宋体"/>
                <w:kern w:val="0"/>
                <w:sz w:val="20"/>
                <w:szCs w:val="20"/>
                <w:lang w:eastAsia="zh-CN"/>
              </w:rPr>
            </w:pPr>
            <w:r>
              <w:rPr>
                <w:rFonts w:ascii="宋体" w:hAnsi="宋体" w:eastAsia="宋体" w:cs="宋体"/>
                <w:spacing w:val="-1"/>
                <w:sz w:val="20"/>
                <w:szCs w:val="20"/>
              </w:rPr>
              <w:t>对县交通运输局办公楼及部分乡镇交通服务所内存在安全隐患的房屋、院落等部位进行维修为职工</w:t>
            </w:r>
            <w:r>
              <w:rPr>
                <w:rFonts w:ascii="宋体" w:hAnsi="宋体" w:eastAsia="宋体" w:cs="宋体"/>
                <w:spacing w:val="35"/>
                <w:sz w:val="20"/>
                <w:szCs w:val="20"/>
              </w:rPr>
              <w:t xml:space="preserve"> </w:t>
            </w:r>
            <w:r>
              <w:rPr>
                <w:rFonts w:ascii="宋体" w:hAnsi="宋体" w:eastAsia="宋体" w:cs="宋体"/>
                <w:spacing w:val="-1"/>
                <w:sz w:val="20"/>
                <w:szCs w:val="20"/>
              </w:rPr>
              <w:t>创造良好、安全的工作环境</w:t>
            </w:r>
            <w:r>
              <w:rPr>
                <w:rFonts w:hint="eastAsia" w:ascii="宋体" w:hAnsi="宋体" w:cs="宋体"/>
                <w:spacing w:val="-1"/>
                <w:sz w:val="20"/>
                <w:szCs w:val="20"/>
                <w:lang w:eastAsia="zh-CN"/>
              </w:rPr>
              <w:t>。</w:t>
            </w:r>
          </w:p>
        </w:tc>
      </w:tr>
      <w:tr>
        <w:tblPrEx>
          <w:tblCellMar>
            <w:top w:w="0" w:type="dxa"/>
            <w:left w:w="108" w:type="dxa"/>
            <w:bottom w:w="0" w:type="dxa"/>
            <w:right w:w="108" w:type="dxa"/>
          </w:tblCellMar>
        </w:tblPrEx>
        <w:trPr>
          <w:trHeight w:val="510" w:hRule="atLeast"/>
          <w:jc w:val="center"/>
        </w:trPr>
        <w:tc>
          <w:tcPr>
            <w:tcW w:w="1041" w:type="dxa"/>
            <w:tcBorders>
              <w:top w:val="nil"/>
              <w:left w:val="single" w:color="000000" w:sz="4" w:space="0"/>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绩效指标</w:t>
            </w:r>
          </w:p>
        </w:tc>
        <w:tc>
          <w:tcPr>
            <w:tcW w:w="1095"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一级指标</w:t>
            </w:r>
          </w:p>
        </w:tc>
        <w:tc>
          <w:tcPr>
            <w:tcW w:w="1050"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二级指标</w:t>
            </w:r>
          </w:p>
        </w:tc>
        <w:tc>
          <w:tcPr>
            <w:tcW w:w="1666" w:type="dxa"/>
            <w:gridSpan w:val="2"/>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三级指标</w:t>
            </w:r>
          </w:p>
        </w:tc>
        <w:tc>
          <w:tcPr>
            <w:tcW w:w="892"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指标值</w:t>
            </w:r>
          </w:p>
        </w:tc>
        <w:tc>
          <w:tcPr>
            <w:tcW w:w="1357"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二级指标</w:t>
            </w:r>
          </w:p>
        </w:tc>
        <w:tc>
          <w:tcPr>
            <w:tcW w:w="1635"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三级指标</w:t>
            </w:r>
          </w:p>
        </w:tc>
        <w:tc>
          <w:tcPr>
            <w:tcW w:w="1100" w:type="dxa"/>
            <w:tcBorders>
              <w:top w:val="nil"/>
              <w:left w:val="nil"/>
              <w:bottom w:val="single" w:color="auto" w:sz="4" w:space="0"/>
              <w:right w:val="single" w:color="000000" w:sz="4" w:space="0"/>
            </w:tcBorders>
            <w:vAlign w:val="center"/>
          </w:tcPr>
          <w:p>
            <w:pPr>
              <w:widowControl/>
              <w:jc w:val="center"/>
              <w:rPr>
                <w:rFonts w:ascii="宋体" w:hAnsi="宋体"/>
                <w:kern w:val="0"/>
                <w:sz w:val="20"/>
                <w:szCs w:val="20"/>
              </w:rPr>
            </w:pPr>
            <w:r>
              <w:rPr>
                <w:rFonts w:hint="eastAsia" w:ascii="宋体" w:hAnsi="宋体"/>
                <w:kern w:val="0"/>
                <w:sz w:val="20"/>
                <w:szCs w:val="20"/>
              </w:rPr>
              <w:t>指标值</w:t>
            </w:r>
          </w:p>
        </w:tc>
      </w:tr>
      <w:tr>
        <w:tblPrEx>
          <w:tblCellMar>
            <w:top w:w="0" w:type="dxa"/>
            <w:left w:w="108" w:type="dxa"/>
            <w:bottom w:w="0" w:type="dxa"/>
            <w:right w:w="108" w:type="dxa"/>
          </w:tblCellMar>
        </w:tblPrEx>
        <w:trPr>
          <w:trHeight w:val="454" w:hRule="atLeast"/>
          <w:jc w:val="center"/>
        </w:trPr>
        <w:tc>
          <w:tcPr>
            <w:tcW w:w="104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绩效指标</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产出指标</w:t>
            </w:r>
          </w:p>
        </w:tc>
        <w:tc>
          <w:tcPr>
            <w:tcW w:w="1050" w:type="dxa"/>
            <w:tcBorders>
              <w:top w:val="single" w:color="auto" w:sz="4" w:space="0"/>
              <w:left w:val="single" w:color="auto" w:sz="4" w:space="0"/>
              <w:bottom w:val="single" w:color="auto" w:sz="4" w:space="0"/>
              <w:right w:val="single" w:color="auto" w:sz="4" w:space="0"/>
            </w:tcBorders>
            <w:vAlign w:val="top"/>
          </w:tcPr>
          <w:p>
            <w:pPr>
              <w:spacing w:before="214" w:line="184" w:lineRule="auto"/>
              <w:rPr>
                <w:rFonts w:ascii="宋体" w:hAnsi="宋体" w:eastAsia="宋体" w:cs="宋体"/>
                <w:kern w:val="2"/>
                <w:sz w:val="20"/>
                <w:szCs w:val="20"/>
                <w:lang w:val="en-US" w:eastAsia="zh-CN" w:bidi="ar-SA"/>
              </w:rPr>
            </w:pPr>
            <w:r>
              <w:rPr>
                <w:rFonts w:ascii="宋体" w:hAnsi="宋体" w:eastAsia="宋体" w:cs="宋体"/>
                <w:spacing w:val="-3"/>
                <w:sz w:val="20"/>
                <w:szCs w:val="20"/>
              </w:rPr>
              <w:t>数量指标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58" w:line="236" w:lineRule="auto"/>
              <w:ind w:left="117" w:leftChars="0" w:right="266" w:rightChars="0" w:firstLine="6" w:firstLineChars="0"/>
              <w:rPr>
                <w:rFonts w:ascii="宋体" w:hAnsi="宋体" w:eastAsia="宋体" w:cs="宋体"/>
                <w:kern w:val="2"/>
                <w:sz w:val="20"/>
                <w:szCs w:val="20"/>
                <w:lang w:val="en-US" w:eastAsia="zh-CN" w:bidi="ar-SA"/>
              </w:rPr>
            </w:pPr>
            <w:r>
              <w:rPr>
                <w:rFonts w:ascii="宋体" w:hAnsi="宋体" w:eastAsia="宋体" w:cs="宋体"/>
                <w:spacing w:val="-2"/>
                <w:sz w:val="20"/>
                <w:szCs w:val="20"/>
              </w:rPr>
              <w:t>公共建筑能效提升改造面</w:t>
            </w:r>
            <w:r>
              <w:rPr>
                <w:rFonts w:ascii="宋体" w:hAnsi="宋体" w:eastAsia="宋体" w:cs="宋体"/>
                <w:spacing w:val="6"/>
                <w:sz w:val="20"/>
                <w:szCs w:val="20"/>
              </w:rPr>
              <w:t xml:space="preserve"> </w:t>
            </w:r>
            <w:r>
              <w:rPr>
                <w:rFonts w:ascii="宋体" w:hAnsi="宋体" w:eastAsia="宋体" w:cs="宋体"/>
                <w:sz w:val="20"/>
                <w:szCs w:val="20"/>
              </w:rPr>
              <w:t>积</w:t>
            </w:r>
          </w:p>
        </w:tc>
        <w:tc>
          <w:tcPr>
            <w:tcW w:w="892" w:type="dxa"/>
            <w:tcBorders>
              <w:top w:val="single" w:color="auto" w:sz="4" w:space="0"/>
              <w:left w:val="single" w:color="auto" w:sz="4" w:space="0"/>
              <w:bottom w:val="single" w:color="auto" w:sz="4" w:space="0"/>
              <w:right w:val="single" w:color="auto" w:sz="4" w:space="0"/>
            </w:tcBorders>
            <w:vAlign w:val="top"/>
          </w:tcPr>
          <w:p>
            <w:pPr>
              <w:spacing w:before="214" w:line="184" w:lineRule="auto"/>
              <w:ind w:firstLine="151" w:firstLineChars="0"/>
              <w:rPr>
                <w:rFonts w:hint="default" w:ascii="宋体" w:hAnsi="宋体" w:eastAsia="宋体"/>
                <w:kern w:val="0"/>
                <w:sz w:val="20"/>
                <w:szCs w:val="20"/>
                <w:lang w:val="en-US" w:eastAsia="zh-CN"/>
              </w:rPr>
            </w:pPr>
            <w:r>
              <w:rPr>
                <w:rFonts w:hint="eastAsia" w:ascii="宋体" w:hAnsi="宋体" w:eastAsia="宋体" w:cs="宋体"/>
                <w:spacing w:val="-3"/>
                <w:sz w:val="20"/>
                <w:szCs w:val="20"/>
                <w:lang w:val="en-US" w:eastAsia="zh-CN"/>
              </w:rPr>
              <w:t>=</w:t>
            </w:r>
            <w:r>
              <w:rPr>
                <w:rFonts w:ascii="宋体" w:hAnsi="宋体" w:eastAsia="宋体" w:cs="宋体"/>
                <w:spacing w:val="-3"/>
                <w:sz w:val="20"/>
                <w:szCs w:val="20"/>
              </w:rPr>
              <w:t>3000</w:t>
            </w:r>
            <w:r>
              <w:rPr>
                <w:rFonts w:ascii="宋体" w:hAnsi="宋体" w:eastAsia="宋体" w:cs="宋体"/>
                <w:spacing w:val="-40"/>
                <w:sz w:val="20"/>
                <w:szCs w:val="20"/>
              </w:rPr>
              <w:t xml:space="preserve"> </w:t>
            </w:r>
            <w:r>
              <w:rPr>
                <w:rFonts w:ascii="宋体" w:hAnsi="宋体" w:eastAsia="宋体" w:cs="宋体"/>
                <w:spacing w:val="-3"/>
                <w:sz w:val="20"/>
                <w:szCs w:val="20"/>
              </w:rPr>
              <w:t>平方米</w:t>
            </w:r>
          </w:p>
        </w:tc>
        <w:tc>
          <w:tcPr>
            <w:tcW w:w="1357" w:type="dxa"/>
            <w:tcBorders>
              <w:top w:val="single" w:color="auto" w:sz="4" w:space="0"/>
              <w:left w:val="single" w:color="auto" w:sz="4" w:space="0"/>
              <w:bottom w:val="single" w:color="auto" w:sz="4" w:space="0"/>
              <w:right w:val="single" w:color="auto" w:sz="4" w:space="0"/>
            </w:tcBorders>
            <w:vAlign w:val="top"/>
          </w:tcPr>
          <w:p>
            <w:pPr>
              <w:spacing w:before="214" w:line="184" w:lineRule="auto"/>
              <w:rPr>
                <w:rFonts w:ascii="宋体" w:hAnsi="宋体" w:eastAsia="宋体" w:cs="Times New Roman"/>
                <w:kern w:val="0"/>
                <w:sz w:val="20"/>
                <w:szCs w:val="20"/>
                <w:lang w:val="en-US" w:eastAsia="zh-CN" w:bidi="ar-SA"/>
              </w:rPr>
            </w:pPr>
            <w:r>
              <w:rPr>
                <w:rFonts w:ascii="宋体" w:hAnsi="宋体" w:eastAsia="宋体" w:cs="宋体"/>
                <w:spacing w:val="-3"/>
                <w:sz w:val="20"/>
                <w:szCs w:val="20"/>
              </w:rPr>
              <w:t>数量指标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58" w:line="236" w:lineRule="auto"/>
              <w:ind w:right="266" w:rightChars="0"/>
              <w:rPr>
                <w:rFonts w:ascii="宋体" w:hAnsi="宋体" w:eastAsia="宋体" w:cs="Times New Roman"/>
                <w:kern w:val="0"/>
                <w:sz w:val="20"/>
                <w:szCs w:val="20"/>
                <w:lang w:val="en-US" w:eastAsia="zh-CN" w:bidi="ar-SA"/>
              </w:rPr>
            </w:pPr>
            <w:r>
              <w:rPr>
                <w:rFonts w:ascii="宋体" w:hAnsi="宋体" w:eastAsia="宋体" w:cs="宋体"/>
                <w:spacing w:val="-2"/>
                <w:sz w:val="20"/>
                <w:szCs w:val="20"/>
              </w:rPr>
              <w:t>公共建筑能效提升改造面</w:t>
            </w:r>
            <w:r>
              <w:rPr>
                <w:rFonts w:ascii="宋体" w:hAnsi="宋体" w:eastAsia="宋体" w:cs="宋体"/>
                <w:spacing w:val="6"/>
                <w:sz w:val="20"/>
                <w:szCs w:val="20"/>
              </w:rPr>
              <w:t xml:space="preserve"> </w:t>
            </w:r>
            <w:r>
              <w:rPr>
                <w:rFonts w:ascii="宋体" w:hAnsi="宋体" w:eastAsia="宋体" w:cs="宋体"/>
                <w:sz w:val="20"/>
                <w:szCs w:val="20"/>
              </w:rPr>
              <w:t>积</w:t>
            </w:r>
          </w:p>
        </w:tc>
        <w:tc>
          <w:tcPr>
            <w:tcW w:w="1100" w:type="dxa"/>
            <w:tcBorders>
              <w:top w:val="single" w:color="auto" w:sz="4" w:space="0"/>
              <w:left w:val="single" w:color="auto" w:sz="4" w:space="0"/>
              <w:bottom w:val="single" w:color="auto" w:sz="4" w:space="0"/>
              <w:right w:val="single" w:color="auto" w:sz="4" w:space="0"/>
            </w:tcBorders>
            <w:vAlign w:val="top"/>
          </w:tcPr>
          <w:p>
            <w:pPr>
              <w:spacing w:before="214" w:line="184" w:lineRule="auto"/>
              <w:ind w:firstLine="151" w:firstLineChars="0"/>
              <w:rPr>
                <w:rFonts w:hint="default" w:ascii="宋体" w:hAnsi="宋体" w:eastAsia="宋体"/>
                <w:kern w:val="0"/>
                <w:sz w:val="20"/>
                <w:szCs w:val="20"/>
                <w:lang w:val="en-US" w:eastAsia="zh-CN"/>
              </w:rPr>
            </w:pPr>
            <w:r>
              <w:rPr>
                <w:rFonts w:hint="eastAsia" w:ascii="宋体" w:hAnsi="宋体" w:eastAsia="宋体" w:cs="宋体"/>
                <w:spacing w:val="-3"/>
                <w:sz w:val="20"/>
                <w:szCs w:val="20"/>
                <w:lang w:val="en-US" w:eastAsia="zh-CN"/>
              </w:rPr>
              <w:t>=</w:t>
            </w:r>
            <w:r>
              <w:rPr>
                <w:rFonts w:ascii="宋体" w:hAnsi="宋体" w:eastAsia="宋体" w:cs="宋体"/>
                <w:spacing w:val="-3"/>
                <w:sz w:val="20"/>
                <w:szCs w:val="20"/>
              </w:rPr>
              <w:t>3000</w:t>
            </w:r>
            <w:r>
              <w:rPr>
                <w:rFonts w:ascii="宋体" w:hAnsi="宋体" w:eastAsia="宋体" w:cs="宋体"/>
                <w:spacing w:val="-40"/>
                <w:sz w:val="20"/>
                <w:szCs w:val="20"/>
              </w:rPr>
              <w:t xml:space="preserve"> </w:t>
            </w:r>
            <w:r>
              <w:rPr>
                <w:rFonts w:ascii="宋体" w:hAnsi="宋体" w:eastAsia="宋体" w:cs="宋体"/>
                <w:spacing w:val="-3"/>
                <w:sz w:val="20"/>
                <w:szCs w:val="20"/>
              </w:rPr>
              <w:t>平方米</w:t>
            </w:r>
          </w:p>
        </w:tc>
      </w:tr>
      <w:tr>
        <w:tblPrEx>
          <w:tblCellMar>
            <w:top w:w="0" w:type="dxa"/>
            <w:left w:w="108" w:type="dxa"/>
            <w:bottom w:w="0" w:type="dxa"/>
            <w:right w:w="108" w:type="dxa"/>
          </w:tblCellMar>
        </w:tblPrEx>
        <w:trPr>
          <w:trHeight w:val="454"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top"/>
          </w:tcPr>
          <w:p>
            <w:pPr>
              <w:spacing w:before="296" w:line="184" w:lineRule="auto"/>
              <w:rPr>
                <w:rFonts w:ascii="宋体" w:hAnsi="宋体" w:eastAsia="宋体" w:cs="宋体"/>
                <w:kern w:val="2"/>
                <w:sz w:val="20"/>
                <w:szCs w:val="20"/>
                <w:lang w:val="en-US" w:eastAsia="zh-CN" w:bidi="ar-SA"/>
              </w:rPr>
            </w:pPr>
            <w:r>
              <w:rPr>
                <w:rFonts w:ascii="宋体" w:hAnsi="宋体" w:eastAsia="宋体" w:cs="宋体"/>
                <w:spacing w:val="-3"/>
                <w:sz w:val="20"/>
                <w:szCs w:val="20"/>
              </w:rPr>
              <w:t>质量指标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296" w:line="184" w:lineRule="auto"/>
              <w:rPr>
                <w:rFonts w:ascii="宋体" w:hAnsi="宋体" w:eastAsia="宋体" w:cs="宋体"/>
                <w:kern w:val="2"/>
                <w:sz w:val="20"/>
                <w:szCs w:val="20"/>
                <w:lang w:val="en-US" w:eastAsia="zh-CN" w:bidi="ar-SA"/>
              </w:rPr>
            </w:pPr>
            <w:r>
              <w:rPr>
                <w:rFonts w:ascii="宋体" w:hAnsi="宋体" w:eastAsia="宋体" w:cs="宋体"/>
                <w:spacing w:val="-2"/>
                <w:sz w:val="20"/>
                <w:szCs w:val="20"/>
              </w:rPr>
              <w:t>项目施工质量达标率</w:t>
            </w:r>
          </w:p>
        </w:tc>
        <w:tc>
          <w:tcPr>
            <w:tcW w:w="892" w:type="dxa"/>
            <w:tcBorders>
              <w:top w:val="single" w:color="auto" w:sz="4" w:space="0"/>
              <w:left w:val="single" w:color="auto" w:sz="4" w:space="0"/>
              <w:bottom w:val="single" w:color="auto" w:sz="4" w:space="0"/>
              <w:right w:val="single" w:color="auto" w:sz="4" w:space="0"/>
            </w:tcBorders>
            <w:vAlign w:val="top"/>
          </w:tcPr>
          <w:p>
            <w:pPr>
              <w:spacing w:before="296" w:line="184" w:lineRule="auto"/>
              <w:rPr>
                <w:rFonts w:ascii="宋体" w:hAnsi="宋体"/>
                <w:kern w:val="0"/>
                <w:sz w:val="20"/>
                <w:szCs w:val="20"/>
              </w:rPr>
            </w:pPr>
            <w:r>
              <w:rPr>
                <w:rFonts w:hint="eastAsia" w:ascii="宋体" w:hAnsi="宋体" w:eastAsia="宋体" w:cs="宋体"/>
                <w:spacing w:val="-6"/>
                <w:sz w:val="20"/>
                <w:szCs w:val="20"/>
                <w:lang w:val="en-US" w:eastAsia="zh-CN"/>
              </w:rPr>
              <w:t>=</w:t>
            </w:r>
            <w:r>
              <w:rPr>
                <w:rFonts w:ascii="宋体" w:hAnsi="宋体" w:eastAsia="宋体" w:cs="宋体"/>
                <w:spacing w:val="-6"/>
                <w:sz w:val="20"/>
                <w:szCs w:val="20"/>
              </w:rPr>
              <w:t>100%</w:t>
            </w:r>
          </w:p>
        </w:tc>
        <w:tc>
          <w:tcPr>
            <w:tcW w:w="1357" w:type="dxa"/>
            <w:tcBorders>
              <w:top w:val="single" w:color="auto" w:sz="4" w:space="0"/>
              <w:left w:val="single" w:color="auto" w:sz="4" w:space="0"/>
              <w:bottom w:val="single" w:color="auto" w:sz="4" w:space="0"/>
              <w:right w:val="single" w:color="auto" w:sz="4" w:space="0"/>
            </w:tcBorders>
            <w:vAlign w:val="top"/>
          </w:tcPr>
          <w:p>
            <w:pPr>
              <w:spacing w:before="296" w:line="184" w:lineRule="auto"/>
              <w:rPr>
                <w:rFonts w:ascii="宋体" w:hAnsi="宋体" w:eastAsia="宋体" w:cs="Times New Roman"/>
                <w:kern w:val="0"/>
                <w:sz w:val="20"/>
                <w:szCs w:val="20"/>
                <w:lang w:val="en-US" w:eastAsia="zh-CN" w:bidi="ar-SA"/>
              </w:rPr>
            </w:pPr>
            <w:r>
              <w:rPr>
                <w:rFonts w:ascii="宋体" w:hAnsi="宋体" w:eastAsia="宋体" w:cs="宋体"/>
                <w:spacing w:val="-3"/>
                <w:sz w:val="20"/>
                <w:szCs w:val="20"/>
              </w:rPr>
              <w:t>质量指标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296" w:line="184" w:lineRule="auto"/>
              <w:rPr>
                <w:rFonts w:ascii="宋体" w:hAnsi="宋体" w:eastAsia="宋体" w:cs="Times New Roman"/>
                <w:kern w:val="0"/>
                <w:sz w:val="20"/>
                <w:szCs w:val="20"/>
                <w:lang w:val="en-US" w:eastAsia="zh-CN" w:bidi="ar-SA"/>
              </w:rPr>
            </w:pPr>
            <w:r>
              <w:rPr>
                <w:rFonts w:ascii="宋体" w:hAnsi="宋体" w:eastAsia="宋体" w:cs="宋体"/>
                <w:spacing w:val="-2"/>
                <w:sz w:val="20"/>
                <w:szCs w:val="20"/>
              </w:rPr>
              <w:t>项目施工质量达标率</w:t>
            </w:r>
          </w:p>
        </w:tc>
        <w:tc>
          <w:tcPr>
            <w:tcW w:w="1100" w:type="dxa"/>
            <w:tcBorders>
              <w:top w:val="single" w:color="auto" w:sz="4" w:space="0"/>
              <w:left w:val="single" w:color="auto" w:sz="4" w:space="0"/>
              <w:bottom w:val="single" w:color="auto" w:sz="4" w:space="0"/>
              <w:right w:val="single" w:color="auto" w:sz="4" w:space="0"/>
            </w:tcBorders>
            <w:vAlign w:val="top"/>
          </w:tcPr>
          <w:p>
            <w:pPr>
              <w:spacing w:before="296" w:line="184" w:lineRule="auto"/>
              <w:rPr>
                <w:rFonts w:ascii="宋体" w:hAnsi="宋体" w:eastAsia="宋体" w:cs="Times New Roman"/>
                <w:kern w:val="0"/>
                <w:sz w:val="20"/>
                <w:szCs w:val="20"/>
                <w:lang w:val="en-US" w:eastAsia="zh-CN" w:bidi="ar-SA"/>
              </w:rPr>
            </w:pPr>
            <w:r>
              <w:rPr>
                <w:rFonts w:hint="eastAsia" w:ascii="宋体" w:hAnsi="宋体" w:eastAsia="宋体" w:cs="宋体"/>
                <w:spacing w:val="-6"/>
                <w:sz w:val="20"/>
                <w:szCs w:val="20"/>
                <w:lang w:val="en-US" w:eastAsia="zh-CN"/>
              </w:rPr>
              <w:t>=</w:t>
            </w:r>
            <w:r>
              <w:rPr>
                <w:rFonts w:ascii="宋体" w:hAnsi="宋体" w:eastAsia="宋体" w:cs="宋体"/>
                <w:spacing w:val="-6"/>
                <w:sz w:val="20"/>
                <w:szCs w:val="20"/>
              </w:rPr>
              <w:t>100%</w:t>
            </w:r>
          </w:p>
        </w:tc>
      </w:tr>
      <w:tr>
        <w:tblPrEx>
          <w:tblCellMar>
            <w:top w:w="0" w:type="dxa"/>
            <w:left w:w="108" w:type="dxa"/>
            <w:bottom w:w="0" w:type="dxa"/>
            <w:right w:w="108" w:type="dxa"/>
          </w:tblCellMar>
        </w:tblPrEx>
        <w:trPr>
          <w:trHeight w:val="511"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top"/>
          </w:tcPr>
          <w:p>
            <w:pPr>
              <w:spacing w:before="282" w:line="184" w:lineRule="auto"/>
              <w:rPr>
                <w:rFonts w:ascii="宋体" w:hAnsi="宋体" w:eastAsia="宋体" w:cs="宋体"/>
                <w:kern w:val="2"/>
                <w:sz w:val="20"/>
                <w:szCs w:val="20"/>
                <w:lang w:val="en-US" w:eastAsia="zh-CN" w:bidi="ar-SA"/>
              </w:rPr>
            </w:pPr>
            <w:r>
              <w:rPr>
                <w:rFonts w:ascii="宋体" w:hAnsi="宋体" w:eastAsia="宋体" w:cs="宋体"/>
                <w:spacing w:val="-5"/>
                <w:sz w:val="20"/>
                <w:szCs w:val="20"/>
              </w:rPr>
              <w:t>时效指标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282" w:line="184" w:lineRule="auto"/>
              <w:rPr>
                <w:rFonts w:ascii="宋体" w:hAnsi="宋体" w:eastAsia="宋体" w:cs="宋体"/>
                <w:kern w:val="2"/>
                <w:sz w:val="20"/>
                <w:szCs w:val="20"/>
                <w:lang w:val="en-US" w:eastAsia="zh-CN" w:bidi="ar-SA"/>
              </w:rPr>
            </w:pPr>
            <w:r>
              <w:rPr>
                <w:rFonts w:ascii="宋体" w:hAnsi="宋体" w:eastAsia="宋体" w:cs="宋体"/>
                <w:spacing w:val="-3"/>
                <w:sz w:val="20"/>
                <w:szCs w:val="20"/>
              </w:rPr>
              <w:t>改造完成及时率</w:t>
            </w:r>
          </w:p>
        </w:tc>
        <w:tc>
          <w:tcPr>
            <w:tcW w:w="892" w:type="dxa"/>
            <w:tcBorders>
              <w:top w:val="single" w:color="auto" w:sz="4" w:space="0"/>
              <w:left w:val="single" w:color="auto" w:sz="4" w:space="0"/>
              <w:bottom w:val="single" w:color="auto" w:sz="4" w:space="0"/>
              <w:right w:val="single" w:color="auto" w:sz="4" w:space="0"/>
            </w:tcBorders>
            <w:vAlign w:val="top"/>
          </w:tcPr>
          <w:p>
            <w:pPr>
              <w:spacing w:before="282" w:line="184" w:lineRule="auto"/>
              <w:rPr>
                <w:rFonts w:hint="default" w:ascii="宋体" w:hAnsi="宋体" w:eastAsia="宋体" w:cs="Times New Roman"/>
                <w:kern w:val="0"/>
                <w:sz w:val="20"/>
                <w:szCs w:val="20"/>
                <w:lang w:val="en-US" w:eastAsia="zh-CN" w:bidi="ar-SA"/>
              </w:rPr>
            </w:pPr>
            <w:r>
              <w:rPr>
                <w:rFonts w:hint="eastAsia" w:ascii="宋体" w:hAnsi="宋体" w:eastAsia="宋体" w:cs="宋体"/>
                <w:spacing w:val="-6"/>
                <w:sz w:val="20"/>
                <w:szCs w:val="20"/>
                <w:lang w:val="en-US" w:eastAsia="zh-CN"/>
              </w:rPr>
              <w:t>=</w:t>
            </w:r>
            <w:r>
              <w:rPr>
                <w:rFonts w:ascii="宋体" w:hAnsi="宋体" w:eastAsia="宋体" w:cs="宋体"/>
                <w:spacing w:val="-6"/>
                <w:sz w:val="20"/>
                <w:szCs w:val="20"/>
              </w:rPr>
              <w:t>100%</w:t>
            </w:r>
          </w:p>
        </w:tc>
        <w:tc>
          <w:tcPr>
            <w:tcW w:w="1357" w:type="dxa"/>
            <w:tcBorders>
              <w:top w:val="single" w:color="auto" w:sz="4" w:space="0"/>
              <w:left w:val="single" w:color="auto" w:sz="4" w:space="0"/>
              <w:bottom w:val="single" w:color="auto" w:sz="4" w:space="0"/>
              <w:right w:val="single" w:color="auto" w:sz="4" w:space="0"/>
            </w:tcBorders>
            <w:vAlign w:val="top"/>
          </w:tcPr>
          <w:p>
            <w:pPr>
              <w:spacing w:before="282" w:line="184" w:lineRule="auto"/>
              <w:rPr>
                <w:rFonts w:ascii="宋体" w:hAnsi="宋体" w:eastAsia="宋体" w:cs="Times New Roman"/>
                <w:kern w:val="0"/>
                <w:sz w:val="20"/>
                <w:szCs w:val="20"/>
                <w:lang w:val="en-US" w:eastAsia="zh-CN" w:bidi="ar-SA"/>
              </w:rPr>
            </w:pPr>
            <w:r>
              <w:rPr>
                <w:rFonts w:ascii="宋体" w:hAnsi="宋体" w:eastAsia="宋体" w:cs="宋体"/>
                <w:spacing w:val="-5"/>
                <w:sz w:val="20"/>
                <w:szCs w:val="20"/>
              </w:rPr>
              <w:t>时效指标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282" w:line="184" w:lineRule="auto"/>
              <w:rPr>
                <w:rFonts w:ascii="宋体" w:hAnsi="宋体" w:eastAsia="宋体" w:cs="Times New Roman"/>
                <w:kern w:val="0"/>
                <w:sz w:val="20"/>
                <w:szCs w:val="20"/>
                <w:lang w:val="en-US" w:eastAsia="zh-CN" w:bidi="ar-SA"/>
              </w:rPr>
            </w:pPr>
            <w:r>
              <w:rPr>
                <w:rFonts w:ascii="宋体" w:hAnsi="宋体" w:eastAsia="宋体" w:cs="宋体"/>
                <w:spacing w:val="-3"/>
                <w:sz w:val="20"/>
                <w:szCs w:val="20"/>
              </w:rPr>
              <w:t>改造完成及时率</w:t>
            </w:r>
          </w:p>
        </w:tc>
        <w:tc>
          <w:tcPr>
            <w:tcW w:w="1100" w:type="dxa"/>
            <w:tcBorders>
              <w:top w:val="single" w:color="auto" w:sz="4" w:space="0"/>
              <w:left w:val="single" w:color="auto" w:sz="4" w:space="0"/>
              <w:bottom w:val="single" w:color="auto" w:sz="4" w:space="0"/>
              <w:right w:val="single" w:color="auto" w:sz="4" w:space="0"/>
            </w:tcBorders>
            <w:vAlign w:val="top"/>
          </w:tcPr>
          <w:p>
            <w:pPr>
              <w:spacing w:before="282" w:line="184" w:lineRule="auto"/>
              <w:rPr>
                <w:rFonts w:hint="default" w:ascii="宋体" w:hAnsi="宋体" w:eastAsia="宋体" w:cs="Times New Roman"/>
                <w:kern w:val="0"/>
                <w:sz w:val="20"/>
                <w:szCs w:val="20"/>
                <w:lang w:val="en-US" w:eastAsia="zh-CN" w:bidi="ar-SA"/>
              </w:rPr>
            </w:pPr>
            <w:r>
              <w:rPr>
                <w:rFonts w:hint="eastAsia" w:ascii="宋体" w:hAnsi="宋体" w:eastAsia="宋体" w:cs="宋体"/>
                <w:spacing w:val="-6"/>
                <w:sz w:val="20"/>
                <w:szCs w:val="20"/>
                <w:lang w:val="en-US" w:eastAsia="zh-CN"/>
              </w:rPr>
              <w:t>=</w:t>
            </w:r>
            <w:r>
              <w:rPr>
                <w:rFonts w:ascii="宋体" w:hAnsi="宋体" w:eastAsia="宋体" w:cs="宋体"/>
                <w:spacing w:val="-6"/>
                <w:sz w:val="20"/>
                <w:szCs w:val="20"/>
              </w:rPr>
              <w:t>100%</w:t>
            </w:r>
          </w:p>
        </w:tc>
      </w:tr>
      <w:tr>
        <w:tblPrEx>
          <w:tblCellMar>
            <w:top w:w="0" w:type="dxa"/>
            <w:left w:w="108" w:type="dxa"/>
            <w:bottom w:w="0" w:type="dxa"/>
            <w:right w:w="108" w:type="dxa"/>
          </w:tblCellMar>
        </w:tblPrEx>
        <w:trPr>
          <w:trHeight w:val="454"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50" w:type="dxa"/>
            <w:tcBorders>
              <w:top w:val="single" w:color="auto" w:sz="4" w:space="0"/>
              <w:left w:val="single" w:color="auto" w:sz="4" w:space="0"/>
              <w:bottom w:val="single" w:color="auto" w:sz="4" w:space="0"/>
              <w:right w:val="single" w:color="auto" w:sz="4" w:space="0"/>
            </w:tcBorders>
            <w:vAlign w:val="top"/>
          </w:tcPr>
          <w:p>
            <w:pPr>
              <w:spacing w:before="174" w:line="184" w:lineRule="auto"/>
              <w:rPr>
                <w:rFonts w:hint="eastAsia" w:ascii="宋体" w:hAnsi="宋体" w:eastAsia="宋体" w:cs="宋体"/>
                <w:kern w:val="2"/>
                <w:sz w:val="20"/>
                <w:szCs w:val="20"/>
                <w:lang w:val="en-US" w:eastAsia="zh-CN" w:bidi="ar-SA"/>
              </w:rPr>
            </w:pPr>
            <w:r>
              <w:rPr>
                <w:rFonts w:ascii="宋体" w:hAnsi="宋体" w:eastAsia="宋体" w:cs="宋体"/>
                <w:spacing w:val="-3"/>
                <w:sz w:val="20"/>
                <w:szCs w:val="20"/>
              </w:rPr>
              <w:t>成本指标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74" w:line="184" w:lineRule="auto"/>
              <w:ind w:firstLine="128" w:firstLineChars="0"/>
              <w:rPr>
                <w:rFonts w:hint="eastAsia" w:ascii="宋体" w:hAnsi="宋体" w:eastAsia="宋体" w:cs="宋体"/>
                <w:kern w:val="2"/>
                <w:sz w:val="20"/>
                <w:szCs w:val="20"/>
                <w:lang w:val="en-US" w:eastAsia="zh-CN" w:bidi="ar-SA"/>
              </w:rPr>
            </w:pPr>
            <w:r>
              <w:rPr>
                <w:rFonts w:ascii="宋体" w:hAnsi="宋体" w:eastAsia="宋体" w:cs="宋体"/>
                <w:spacing w:val="-4"/>
                <w:sz w:val="20"/>
                <w:szCs w:val="20"/>
              </w:rPr>
              <w:t>费用控制率</w:t>
            </w:r>
          </w:p>
        </w:tc>
        <w:tc>
          <w:tcPr>
            <w:tcW w:w="892" w:type="dxa"/>
            <w:tcBorders>
              <w:top w:val="single" w:color="auto" w:sz="4" w:space="0"/>
              <w:left w:val="single" w:color="auto" w:sz="4" w:space="0"/>
              <w:bottom w:val="single" w:color="auto" w:sz="4" w:space="0"/>
              <w:right w:val="single" w:color="auto" w:sz="4" w:space="0"/>
            </w:tcBorders>
            <w:vAlign w:val="top"/>
          </w:tcPr>
          <w:p>
            <w:pPr>
              <w:spacing w:before="174" w:line="184" w:lineRule="auto"/>
              <w:rPr>
                <w:rFonts w:ascii="宋体" w:hAnsi="宋体"/>
                <w:kern w:val="0"/>
                <w:sz w:val="20"/>
                <w:szCs w:val="20"/>
              </w:rPr>
            </w:pPr>
            <w:r>
              <w:rPr>
                <w:rFonts w:ascii="宋体" w:hAnsi="宋体" w:eastAsia="宋体" w:cs="宋体"/>
                <w:spacing w:val="-5"/>
                <w:sz w:val="20"/>
                <w:szCs w:val="20"/>
              </w:rPr>
              <w:t>≤100%</w:t>
            </w:r>
          </w:p>
        </w:tc>
        <w:tc>
          <w:tcPr>
            <w:tcW w:w="1357" w:type="dxa"/>
            <w:tcBorders>
              <w:top w:val="single" w:color="auto" w:sz="4" w:space="0"/>
              <w:left w:val="single" w:color="auto" w:sz="4" w:space="0"/>
              <w:bottom w:val="single" w:color="auto" w:sz="4" w:space="0"/>
              <w:right w:val="single" w:color="auto" w:sz="4" w:space="0"/>
            </w:tcBorders>
            <w:vAlign w:val="top"/>
          </w:tcPr>
          <w:p>
            <w:pPr>
              <w:spacing w:before="174" w:line="184" w:lineRule="auto"/>
              <w:rPr>
                <w:rFonts w:hint="eastAsia" w:ascii="宋体" w:hAnsi="宋体" w:eastAsia="宋体" w:cs="Times New Roman"/>
                <w:kern w:val="0"/>
                <w:sz w:val="20"/>
                <w:szCs w:val="20"/>
                <w:lang w:val="en-US" w:eastAsia="zh-CN" w:bidi="ar-SA"/>
              </w:rPr>
            </w:pPr>
            <w:r>
              <w:rPr>
                <w:rFonts w:ascii="宋体" w:hAnsi="宋体" w:eastAsia="宋体" w:cs="宋体"/>
                <w:spacing w:val="-3"/>
                <w:sz w:val="20"/>
                <w:szCs w:val="20"/>
              </w:rPr>
              <w:t>成本指标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174" w:line="184" w:lineRule="auto"/>
              <w:ind w:firstLine="128" w:firstLineChars="0"/>
              <w:rPr>
                <w:rFonts w:hint="eastAsia" w:ascii="宋体" w:hAnsi="宋体" w:eastAsia="宋体" w:cs="Times New Roman"/>
                <w:kern w:val="0"/>
                <w:sz w:val="20"/>
                <w:szCs w:val="20"/>
                <w:lang w:val="en-US" w:eastAsia="zh-CN" w:bidi="ar-SA"/>
              </w:rPr>
            </w:pPr>
            <w:r>
              <w:rPr>
                <w:rFonts w:ascii="宋体" w:hAnsi="宋体" w:eastAsia="宋体" w:cs="宋体"/>
                <w:spacing w:val="-4"/>
                <w:sz w:val="20"/>
                <w:szCs w:val="20"/>
              </w:rPr>
              <w:t>费用控制率</w:t>
            </w:r>
          </w:p>
        </w:tc>
        <w:tc>
          <w:tcPr>
            <w:tcW w:w="1100" w:type="dxa"/>
            <w:tcBorders>
              <w:top w:val="single" w:color="auto" w:sz="4" w:space="0"/>
              <w:left w:val="single" w:color="auto" w:sz="4" w:space="0"/>
              <w:bottom w:val="single" w:color="auto" w:sz="4" w:space="0"/>
              <w:right w:val="single" w:color="auto" w:sz="4" w:space="0"/>
            </w:tcBorders>
            <w:vAlign w:val="top"/>
          </w:tcPr>
          <w:p>
            <w:pPr>
              <w:spacing w:before="174" w:line="184" w:lineRule="auto"/>
              <w:rPr>
                <w:rFonts w:ascii="宋体" w:hAnsi="宋体" w:eastAsia="宋体" w:cs="Times New Roman"/>
                <w:kern w:val="0"/>
                <w:sz w:val="20"/>
                <w:szCs w:val="20"/>
                <w:lang w:val="en-US" w:eastAsia="zh-CN" w:bidi="ar-SA"/>
              </w:rPr>
            </w:pPr>
            <w:r>
              <w:rPr>
                <w:rFonts w:ascii="宋体" w:hAnsi="宋体" w:eastAsia="宋体" w:cs="宋体"/>
                <w:spacing w:val="-5"/>
                <w:sz w:val="20"/>
                <w:szCs w:val="20"/>
              </w:rPr>
              <w:t>≤100%</w:t>
            </w:r>
          </w:p>
        </w:tc>
      </w:tr>
      <w:tr>
        <w:tblPrEx>
          <w:tblCellMar>
            <w:top w:w="0" w:type="dxa"/>
            <w:left w:w="108" w:type="dxa"/>
            <w:bottom w:w="0" w:type="dxa"/>
            <w:right w:w="108" w:type="dxa"/>
          </w:tblCellMar>
        </w:tblPrEx>
        <w:trPr>
          <w:trHeight w:val="580"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kern w:val="0"/>
                <w:sz w:val="20"/>
                <w:szCs w:val="20"/>
                <w:lang w:eastAsia="zh-CN"/>
              </w:rPr>
            </w:pPr>
            <w:r>
              <w:rPr>
                <w:rFonts w:hint="eastAsia" w:ascii="宋体" w:hAnsi="宋体"/>
                <w:kern w:val="0"/>
                <w:sz w:val="20"/>
                <w:szCs w:val="20"/>
                <w:lang w:eastAsia="zh-CN"/>
              </w:rPr>
              <w:t>效益指标</w:t>
            </w:r>
          </w:p>
        </w:tc>
        <w:tc>
          <w:tcPr>
            <w:tcW w:w="1050" w:type="dxa"/>
            <w:tcBorders>
              <w:top w:val="single" w:color="auto" w:sz="4" w:space="0"/>
              <w:left w:val="single" w:color="auto" w:sz="4" w:space="0"/>
              <w:bottom w:val="single" w:color="auto" w:sz="4" w:space="0"/>
              <w:right w:val="single" w:color="auto" w:sz="4" w:space="0"/>
            </w:tcBorders>
            <w:vAlign w:val="top"/>
          </w:tcPr>
          <w:p>
            <w:pPr>
              <w:spacing w:before="159" w:line="184" w:lineRule="auto"/>
              <w:rPr>
                <w:rFonts w:hint="eastAsia" w:ascii="宋体" w:hAnsi="宋体" w:eastAsia="宋体"/>
                <w:kern w:val="0"/>
                <w:sz w:val="20"/>
                <w:szCs w:val="20"/>
                <w:lang w:eastAsia="zh-CN"/>
              </w:rPr>
            </w:pPr>
            <w:r>
              <w:rPr>
                <w:rFonts w:ascii="宋体" w:hAnsi="宋体" w:eastAsia="宋体" w:cs="宋体"/>
                <w:spacing w:val="-2"/>
                <w:sz w:val="20"/>
                <w:szCs w:val="20"/>
              </w:rPr>
              <w:t>社会效益</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244" w:line="184" w:lineRule="auto"/>
              <w:ind w:firstLine="121" w:firstLineChars="0"/>
              <w:rPr>
                <w:rFonts w:ascii="宋体" w:hAnsi="宋体" w:eastAsia="宋体" w:cs="宋体"/>
                <w:kern w:val="2"/>
                <w:sz w:val="20"/>
                <w:szCs w:val="20"/>
                <w:lang w:val="en-US" w:eastAsia="zh-CN" w:bidi="ar-SA"/>
              </w:rPr>
            </w:pPr>
            <w:r>
              <w:rPr>
                <w:rFonts w:ascii="宋体" w:hAnsi="宋体" w:eastAsia="宋体" w:cs="宋体"/>
                <w:spacing w:val="-2"/>
                <w:sz w:val="20"/>
                <w:szCs w:val="20"/>
              </w:rPr>
              <w:t>消除安全隐患</w:t>
            </w:r>
          </w:p>
        </w:tc>
        <w:tc>
          <w:tcPr>
            <w:tcW w:w="892" w:type="dxa"/>
            <w:tcBorders>
              <w:top w:val="single" w:color="auto" w:sz="4" w:space="0"/>
              <w:left w:val="single" w:color="auto" w:sz="4" w:space="0"/>
              <w:bottom w:val="single" w:color="auto" w:sz="4" w:space="0"/>
              <w:right w:val="single" w:color="auto" w:sz="4" w:space="0"/>
            </w:tcBorders>
            <w:vAlign w:val="top"/>
          </w:tcPr>
          <w:p>
            <w:pPr>
              <w:spacing w:before="244" w:line="184" w:lineRule="auto"/>
              <w:rPr>
                <w:rFonts w:ascii="宋体" w:hAnsi="宋体" w:eastAsia="宋体" w:cs="宋体"/>
                <w:kern w:val="2"/>
                <w:sz w:val="20"/>
                <w:szCs w:val="20"/>
                <w:lang w:val="en-US" w:eastAsia="zh-CN" w:bidi="ar-SA"/>
              </w:rPr>
            </w:pPr>
            <w:r>
              <w:rPr>
                <w:rFonts w:ascii="宋体" w:hAnsi="宋体" w:eastAsia="宋体" w:cs="宋体"/>
                <w:spacing w:val="-5"/>
                <w:sz w:val="20"/>
                <w:szCs w:val="20"/>
              </w:rPr>
              <w:t>有效</w:t>
            </w:r>
          </w:p>
        </w:tc>
        <w:tc>
          <w:tcPr>
            <w:tcW w:w="1357" w:type="dxa"/>
            <w:tcBorders>
              <w:top w:val="single" w:color="auto" w:sz="4" w:space="0"/>
              <w:left w:val="single" w:color="auto" w:sz="4" w:space="0"/>
              <w:bottom w:val="single" w:color="auto" w:sz="4" w:space="0"/>
              <w:right w:val="single" w:color="auto" w:sz="4" w:space="0"/>
            </w:tcBorders>
            <w:vAlign w:val="top"/>
          </w:tcPr>
          <w:p>
            <w:pPr>
              <w:spacing w:before="159" w:line="184" w:lineRule="auto"/>
              <w:rPr>
                <w:rFonts w:hint="eastAsia" w:ascii="宋体" w:hAnsi="宋体" w:eastAsia="宋体"/>
                <w:kern w:val="0"/>
                <w:sz w:val="20"/>
                <w:szCs w:val="20"/>
                <w:lang w:eastAsia="zh-CN"/>
              </w:rPr>
            </w:pPr>
            <w:r>
              <w:rPr>
                <w:rFonts w:ascii="宋体" w:hAnsi="宋体" w:eastAsia="宋体" w:cs="宋体"/>
                <w:spacing w:val="-2"/>
                <w:sz w:val="20"/>
                <w:szCs w:val="20"/>
              </w:rPr>
              <w:t>社会效益</w:t>
            </w:r>
          </w:p>
        </w:tc>
        <w:tc>
          <w:tcPr>
            <w:tcW w:w="1635" w:type="dxa"/>
            <w:tcBorders>
              <w:top w:val="single" w:color="auto" w:sz="4" w:space="0"/>
              <w:left w:val="single" w:color="auto" w:sz="4" w:space="0"/>
              <w:bottom w:val="single" w:color="auto" w:sz="4" w:space="0"/>
              <w:right w:val="single" w:color="auto" w:sz="4" w:space="0"/>
            </w:tcBorders>
            <w:vAlign w:val="top"/>
          </w:tcPr>
          <w:p>
            <w:pPr>
              <w:spacing w:before="244" w:line="184" w:lineRule="auto"/>
              <w:ind w:firstLine="121" w:firstLineChars="0"/>
              <w:rPr>
                <w:rFonts w:hint="eastAsia" w:ascii="宋体" w:hAnsi="宋体" w:eastAsia="宋体" w:cs="宋体"/>
                <w:kern w:val="2"/>
                <w:sz w:val="20"/>
                <w:szCs w:val="20"/>
                <w:lang w:val="en-US" w:eastAsia="zh-CN" w:bidi="ar-SA"/>
              </w:rPr>
            </w:pPr>
            <w:r>
              <w:rPr>
                <w:rFonts w:ascii="宋体" w:hAnsi="宋体" w:eastAsia="宋体" w:cs="宋体"/>
                <w:spacing w:val="-2"/>
                <w:sz w:val="20"/>
                <w:szCs w:val="20"/>
              </w:rPr>
              <w:t>消除安全隐患</w:t>
            </w:r>
          </w:p>
        </w:tc>
        <w:tc>
          <w:tcPr>
            <w:tcW w:w="1100" w:type="dxa"/>
            <w:tcBorders>
              <w:top w:val="single" w:color="auto" w:sz="4" w:space="0"/>
              <w:left w:val="single" w:color="auto" w:sz="4" w:space="0"/>
              <w:bottom w:val="single" w:color="auto" w:sz="4" w:space="0"/>
              <w:right w:val="single" w:color="auto" w:sz="4" w:space="0"/>
            </w:tcBorders>
            <w:vAlign w:val="top"/>
          </w:tcPr>
          <w:p>
            <w:pPr>
              <w:spacing w:before="244" w:line="184" w:lineRule="auto"/>
              <w:rPr>
                <w:rFonts w:ascii="宋体" w:hAnsi="宋体"/>
                <w:kern w:val="0"/>
                <w:sz w:val="20"/>
                <w:szCs w:val="20"/>
              </w:rPr>
            </w:pPr>
            <w:r>
              <w:rPr>
                <w:rFonts w:ascii="宋体" w:hAnsi="宋体" w:eastAsia="宋体" w:cs="宋体"/>
                <w:spacing w:val="-5"/>
                <w:sz w:val="20"/>
                <w:szCs w:val="20"/>
              </w:rPr>
              <w:t>有效</w:t>
            </w:r>
          </w:p>
        </w:tc>
      </w:tr>
      <w:tr>
        <w:tblPrEx>
          <w:tblCellMar>
            <w:top w:w="0" w:type="dxa"/>
            <w:left w:w="108" w:type="dxa"/>
            <w:bottom w:w="0" w:type="dxa"/>
            <w:right w:w="108" w:type="dxa"/>
          </w:tblCellMar>
        </w:tblPrEx>
        <w:trPr>
          <w:trHeight w:val="580"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left w:val="single" w:color="auto" w:sz="4" w:space="0"/>
              <w:right w:val="single" w:color="auto" w:sz="4" w:space="0"/>
            </w:tcBorders>
            <w:vAlign w:val="center"/>
          </w:tcPr>
          <w:p>
            <w:pPr>
              <w:widowControl/>
              <w:jc w:val="left"/>
              <w:rPr>
                <w:rFonts w:hint="eastAsia" w:ascii="宋体" w:hAnsi="宋体"/>
                <w:kern w:val="0"/>
                <w:sz w:val="20"/>
                <w:szCs w:val="20"/>
                <w:lang w:eastAsia="zh-CN"/>
              </w:rPr>
            </w:pPr>
          </w:p>
        </w:tc>
        <w:tc>
          <w:tcPr>
            <w:tcW w:w="1050" w:type="dxa"/>
            <w:tcBorders>
              <w:top w:val="single" w:color="auto" w:sz="4" w:space="0"/>
              <w:left w:val="single" w:color="auto" w:sz="4" w:space="0"/>
              <w:bottom w:val="single" w:color="auto" w:sz="4" w:space="0"/>
              <w:right w:val="single" w:color="auto" w:sz="4" w:space="0"/>
            </w:tcBorders>
            <w:vAlign w:val="top"/>
          </w:tcPr>
          <w:p>
            <w:pPr>
              <w:spacing w:before="159" w:line="184" w:lineRule="auto"/>
              <w:rPr>
                <w:rFonts w:ascii="宋体" w:hAnsi="宋体" w:eastAsia="宋体" w:cs="宋体"/>
                <w:spacing w:val="-2"/>
                <w:sz w:val="20"/>
                <w:szCs w:val="20"/>
              </w:rPr>
            </w:pPr>
            <w:r>
              <w:rPr>
                <w:rFonts w:ascii="宋体" w:hAnsi="宋体" w:eastAsia="宋体" w:cs="宋体"/>
                <w:spacing w:val="-2"/>
                <w:sz w:val="20"/>
                <w:szCs w:val="20"/>
              </w:rPr>
              <w:t>社会效益</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62" w:line="236" w:lineRule="auto"/>
              <w:ind w:left="118" w:leftChars="0" w:right="100" w:rightChars="0"/>
              <w:rPr>
                <w:rFonts w:ascii="宋体" w:hAnsi="宋体" w:eastAsia="宋体" w:cs="宋体"/>
                <w:spacing w:val="-2"/>
                <w:sz w:val="20"/>
                <w:szCs w:val="20"/>
              </w:rPr>
            </w:pPr>
            <w:r>
              <w:rPr>
                <w:rFonts w:ascii="宋体" w:hAnsi="宋体" w:eastAsia="宋体" w:cs="宋体"/>
                <w:spacing w:val="-4"/>
                <w:sz w:val="20"/>
                <w:szCs w:val="20"/>
              </w:rPr>
              <w:t>保障正常办公秩序，提高工</w:t>
            </w:r>
            <w:r>
              <w:rPr>
                <w:rFonts w:ascii="宋体" w:hAnsi="宋体" w:eastAsia="宋体" w:cs="宋体"/>
                <w:spacing w:val="3"/>
                <w:sz w:val="20"/>
                <w:szCs w:val="20"/>
              </w:rPr>
              <w:t xml:space="preserve"> </w:t>
            </w:r>
            <w:r>
              <w:rPr>
                <w:rFonts w:ascii="宋体" w:hAnsi="宋体" w:eastAsia="宋体" w:cs="宋体"/>
                <w:spacing w:val="-3"/>
                <w:sz w:val="20"/>
                <w:szCs w:val="20"/>
              </w:rPr>
              <w:t>作效率</w:t>
            </w:r>
          </w:p>
        </w:tc>
        <w:tc>
          <w:tcPr>
            <w:tcW w:w="892" w:type="dxa"/>
            <w:tcBorders>
              <w:top w:val="single" w:color="auto" w:sz="4" w:space="0"/>
              <w:left w:val="single" w:color="auto" w:sz="4" w:space="0"/>
              <w:bottom w:val="single" w:color="auto" w:sz="4" w:space="0"/>
              <w:right w:val="single" w:color="auto" w:sz="4" w:space="0"/>
            </w:tcBorders>
            <w:vAlign w:val="top"/>
          </w:tcPr>
          <w:p>
            <w:pPr>
              <w:spacing w:before="218" w:line="184" w:lineRule="auto"/>
              <w:rPr>
                <w:rFonts w:ascii="宋体" w:hAnsi="宋体" w:eastAsia="宋体" w:cs="宋体"/>
                <w:kern w:val="2"/>
                <w:sz w:val="20"/>
                <w:szCs w:val="20"/>
                <w:lang w:val="en-US" w:eastAsia="zh-CN" w:bidi="ar-SA"/>
              </w:rPr>
            </w:pPr>
            <w:r>
              <w:rPr>
                <w:rFonts w:ascii="宋体" w:hAnsi="宋体" w:eastAsia="宋体" w:cs="宋体"/>
                <w:spacing w:val="-5"/>
                <w:sz w:val="20"/>
                <w:szCs w:val="20"/>
              </w:rPr>
              <w:t>保障</w:t>
            </w:r>
          </w:p>
        </w:tc>
        <w:tc>
          <w:tcPr>
            <w:tcW w:w="1357" w:type="dxa"/>
            <w:tcBorders>
              <w:top w:val="single" w:color="auto" w:sz="4" w:space="0"/>
              <w:left w:val="single" w:color="auto" w:sz="4" w:space="0"/>
              <w:bottom w:val="single" w:color="auto" w:sz="4" w:space="0"/>
              <w:right w:val="single" w:color="auto" w:sz="4" w:space="0"/>
            </w:tcBorders>
            <w:vAlign w:val="top"/>
          </w:tcPr>
          <w:p>
            <w:pPr>
              <w:spacing w:before="159" w:line="184" w:lineRule="auto"/>
              <w:rPr>
                <w:rFonts w:ascii="宋体" w:hAnsi="宋体" w:eastAsia="宋体" w:cs="宋体"/>
                <w:spacing w:val="-2"/>
                <w:sz w:val="20"/>
                <w:szCs w:val="20"/>
              </w:rPr>
            </w:pPr>
            <w:r>
              <w:rPr>
                <w:rFonts w:ascii="宋体" w:hAnsi="宋体" w:eastAsia="宋体" w:cs="宋体"/>
                <w:spacing w:val="-2"/>
                <w:sz w:val="20"/>
                <w:szCs w:val="20"/>
              </w:rPr>
              <w:t>社会效益</w:t>
            </w:r>
          </w:p>
        </w:tc>
        <w:tc>
          <w:tcPr>
            <w:tcW w:w="1635" w:type="dxa"/>
            <w:tcBorders>
              <w:top w:val="single" w:color="auto" w:sz="4" w:space="0"/>
              <w:left w:val="single" w:color="auto" w:sz="4" w:space="0"/>
              <w:bottom w:val="single" w:color="auto" w:sz="4" w:space="0"/>
              <w:right w:val="single" w:color="auto" w:sz="4" w:space="0"/>
            </w:tcBorders>
            <w:vAlign w:val="top"/>
          </w:tcPr>
          <w:p>
            <w:pPr>
              <w:spacing w:before="62" w:line="236" w:lineRule="auto"/>
              <w:ind w:left="118" w:leftChars="0" w:right="100" w:rightChars="0"/>
              <w:rPr>
                <w:rFonts w:ascii="宋体" w:hAnsi="宋体" w:eastAsia="宋体" w:cs="宋体"/>
                <w:spacing w:val="-2"/>
                <w:sz w:val="20"/>
                <w:szCs w:val="20"/>
              </w:rPr>
            </w:pPr>
            <w:r>
              <w:rPr>
                <w:rFonts w:ascii="宋体" w:hAnsi="宋体" w:eastAsia="宋体" w:cs="宋体"/>
                <w:spacing w:val="-4"/>
                <w:sz w:val="20"/>
                <w:szCs w:val="20"/>
              </w:rPr>
              <w:t>保障正常办公秩序，提高工</w:t>
            </w:r>
            <w:r>
              <w:rPr>
                <w:rFonts w:ascii="宋体" w:hAnsi="宋体" w:eastAsia="宋体" w:cs="宋体"/>
                <w:spacing w:val="3"/>
                <w:sz w:val="20"/>
                <w:szCs w:val="20"/>
              </w:rPr>
              <w:t xml:space="preserve"> </w:t>
            </w:r>
            <w:r>
              <w:rPr>
                <w:rFonts w:ascii="宋体" w:hAnsi="宋体" w:eastAsia="宋体" w:cs="宋体"/>
                <w:spacing w:val="-3"/>
                <w:sz w:val="20"/>
                <w:szCs w:val="20"/>
              </w:rPr>
              <w:t>作效率</w:t>
            </w:r>
          </w:p>
        </w:tc>
        <w:tc>
          <w:tcPr>
            <w:tcW w:w="1100" w:type="dxa"/>
            <w:tcBorders>
              <w:top w:val="single" w:color="auto" w:sz="4" w:space="0"/>
              <w:left w:val="single" w:color="auto" w:sz="4" w:space="0"/>
              <w:bottom w:val="single" w:color="auto" w:sz="4" w:space="0"/>
              <w:right w:val="single" w:color="auto" w:sz="4" w:space="0"/>
            </w:tcBorders>
            <w:vAlign w:val="top"/>
          </w:tcPr>
          <w:p>
            <w:pPr>
              <w:spacing w:before="218" w:line="184" w:lineRule="auto"/>
              <w:rPr>
                <w:rFonts w:ascii="宋体" w:hAnsi="宋体" w:eastAsia="宋体" w:cs="宋体"/>
                <w:spacing w:val="-4"/>
                <w:sz w:val="20"/>
                <w:szCs w:val="20"/>
              </w:rPr>
            </w:pPr>
            <w:r>
              <w:rPr>
                <w:rFonts w:ascii="宋体" w:hAnsi="宋体" w:eastAsia="宋体" w:cs="宋体"/>
                <w:spacing w:val="-5"/>
                <w:sz w:val="20"/>
                <w:szCs w:val="20"/>
              </w:rPr>
              <w:t>保障</w:t>
            </w:r>
          </w:p>
        </w:tc>
      </w:tr>
      <w:tr>
        <w:tblPrEx>
          <w:tblCellMar>
            <w:top w:w="0" w:type="dxa"/>
            <w:left w:w="108" w:type="dxa"/>
            <w:bottom w:w="0" w:type="dxa"/>
            <w:right w:w="108" w:type="dxa"/>
          </w:tblCellMar>
        </w:tblPrEx>
        <w:trPr>
          <w:trHeight w:val="875"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kern w:val="0"/>
                <w:sz w:val="20"/>
                <w:szCs w:val="20"/>
                <w:lang w:eastAsia="zh-CN"/>
              </w:rPr>
            </w:pPr>
          </w:p>
        </w:tc>
        <w:tc>
          <w:tcPr>
            <w:tcW w:w="1050" w:type="dxa"/>
            <w:tcBorders>
              <w:top w:val="single" w:color="auto" w:sz="4" w:space="0"/>
              <w:left w:val="single" w:color="auto" w:sz="4" w:space="0"/>
              <w:bottom w:val="single" w:color="auto" w:sz="4" w:space="0"/>
              <w:right w:val="single" w:color="auto" w:sz="4" w:space="0"/>
            </w:tcBorders>
            <w:vAlign w:val="top"/>
          </w:tcPr>
          <w:p>
            <w:pPr>
              <w:spacing w:before="352" w:line="184" w:lineRule="auto"/>
              <w:rPr>
                <w:rFonts w:hint="eastAsia" w:ascii="宋体" w:hAnsi="宋体"/>
                <w:kern w:val="0"/>
                <w:sz w:val="20"/>
                <w:szCs w:val="20"/>
              </w:rPr>
            </w:pPr>
            <w:r>
              <w:rPr>
                <w:rFonts w:ascii="宋体" w:hAnsi="宋体" w:eastAsia="宋体" w:cs="宋体"/>
                <w:spacing w:val="-2"/>
                <w:sz w:val="20"/>
                <w:szCs w:val="20"/>
              </w:rPr>
              <w:t>可持续影响指标</w:t>
            </w:r>
          </w:p>
        </w:tc>
        <w:tc>
          <w:tcPr>
            <w:tcW w:w="1666" w:type="dxa"/>
            <w:gridSpan w:val="2"/>
            <w:tcBorders>
              <w:top w:val="single" w:color="auto" w:sz="4" w:space="0"/>
              <w:left w:val="single" w:color="auto" w:sz="4" w:space="0"/>
              <w:bottom w:val="single" w:color="auto" w:sz="4" w:space="0"/>
              <w:right w:val="single" w:color="auto" w:sz="4" w:space="0"/>
            </w:tcBorders>
            <w:vAlign w:val="top"/>
          </w:tcPr>
          <w:p>
            <w:pPr>
              <w:spacing w:before="195" w:line="288" w:lineRule="auto"/>
              <w:ind w:right="116" w:rightChars="0"/>
              <w:jc w:val="left"/>
              <w:rPr>
                <w:rFonts w:hint="eastAsia" w:ascii="宋体" w:hAnsi="宋体" w:eastAsia="宋体" w:cs="宋体"/>
                <w:kern w:val="2"/>
                <w:sz w:val="20"/>
                <w:szCs w:val="20"/>
                <w:lang w:val="en-US" w:eastAsia="zh-CN" w:bidi="ar-SA"/>
              </w:rPr>
            </w:pPr>
            <w:r>
              <w:rPr>
                <w:rFonts w:ascii="宋体" w:hAnsi="宋体" w:eastAsia="宋体" w:cs="宋体"/>
                <w:spacing w:val="-1"/>
                <w:sz w:val="20"/>
                <w:szCs w:val="20"/>
              </w:rPr>
              <w:t>完善机关运行保障机制</w:t>
            </w:r>
          </w:p>
        </w:tc>
        <w:tc>
          <w:tcPr>
            <w:tcW w:w="892" w:type="dxa"/>
            <w:tcBorders>
              <w:top w:val="single" w:color="auto" w:sz="4" w:space="0"/>
              <w:left w:val="single" w:color="auto" w:sz="4" w:space="0"/>
              <w:bottom w:val="single" w:color="auto" w:sz="4" w:space="0"/>
              <w:right w:val="single" w:color="auto" w:sz="4" w:space="0"/>
            </w:tcBorders>
            <w:vAlign w:val="top"/>
          </w:tcPr>
          <w:p>
            <w:pPr>
              <w:spacing w:before="205" w:line="184" w:lineRule="auto"/>
              <w:rPr>
                <w:rFonts w:hint="eastAsia" w:ascii="宋体" w:hAnsi="宋体" w:eastAsia="宋体" w:cs="宋体"/>
                <w:kern w:val="2"/>
                <w:sz w:val="20"/>
                <w:szCs w:val="20"/>
                <w:lang w:val="en-US" w:eastAsia="zh-CN" w:bidi="ar-SA"/>
              </w:rPr>
            </w:pPr>
            <w:r>
              <w:rPr>
                <w:rFonts w:ascii="宋体" w:hAnsi="宋体" w:eastAsia="宋体" w:cs="宋体"/>
                <w:spacing w:val="-6"/>
                <w:sz w:val="20"/>
                <w:szCs w:val="20"/>
              </w:rPr>
              <w:t>完善</w:t>
            </w:r>
          </w:p>
        </w:tc>
        <w:tc>
          <w:tcPr>
            <w:tcW w:w="1357" w:type="dxa"/>
            <w:tcBorders>
              <w:top w:val="single" w:color="auto" w:sz="4" w:space="0"/>
              <w:left w:val="single" w:color="auto" w:sz="4" w:space="0"/>
              <w:bottom w:val="single" w:color="auto" w:sz="4" w:space="0"/>
              <w:right w:val="single" w:color="auto" w:sz="4" w:space="0"/>
            </w:tcBorders>
            <w:vAlign w:val="top"/>
          </w:tcPr>
          <w:p>
            <w:pPr>
              <w:spacing w:before="352" w:line="184" w:lineRule="auto"/>
              <w:rPr>
                <w:rFonts w:hint="eastAsia" w:ascii="宋体" w:hAnsi="宋体"/>
                <w:kern w:val="0"/>
                <w:sz w:val="20"/>
                <w:szCs w:val="20"/>
              </w:rPr>
            </w:pPr>
            <w:r>
              <w:rPr>
                <w:rFonts w:ascii="宋体" w:hAnsi="宋体" w:eastAsia="宋体" w:cs="宋体"/>
                <w:spacing w:val="-2"/>
                <w:sz w:val="20"/>
                <w:szCs w:val="20"/>
              </w:rPr>
              <w:t>可持续影响指标</w:t>
            </w:r>
          </w:p>
        </w:tc>
        <w:tc>
          <w:tcPr>
            <w:tcW w:w="1635" w:type="dxa"/>
            <w:tcBorders>
              <w:top w:val="single" w:color="auto" w:sz="4" w:space="0"/>
              <w:left w:val="single" w:color="auto" w:sz="4" w:space="0"/>
              <w:bottom w:val="single" w:color="auto" w:sz="4" w:space="0"/>
              <w:right w:val="single" w:color="auto" w:sz="4" w:space="0"/>
            </w:tcBorders>
            <w:vAlign w:val="top"/>
          </w:tcPr>
          <w:p>
            <w:pPr>
              <w:spacing w:before="195" w:line="288" w:lineRule="auto"/>
              <w:ind w:right="116" w:rightChars="0"/>
              <w:jc w:val="left"/>
              <w:rPr>
                <w:rFonts w:hint="eastAsia" w:ascii="宋体" w:hAnsi="宋体" w:eastAsia="宋体" w:cs="宋体"/>
                <w:kern w:val="2"/>
                <w:sz w:val="20"/>
                <w:szCs w:val="20"/>
                <w:lang w:val="en-US" w:eastAsia="zh-CN" w:bidi="ar-SA"/>
              </w:rPr>
            </w:pPr>
            <w:r>
              <w:rPr>
                <w:rFonts w:ascii="宋体" w:hAnsi="宋体" w:eastAsia="宋体" w:cs="宋体"/>
                <w:spacing w:val="-1"/>
                <w:sz w:val="20"/>
                <w:szCs w:val="20"/>
              </w:rPr>
              <w:t>完善机关运行保障机制</w:t>
            </w:r>
          </w:p>
        </w:tc>
        <w:tc>
          <w:tcPr>
            <w:tcW w:w="1100" w:type="dxa"/>
            <w:tcBorders>
              <w:top w:val="single" w:color="auto" w:sz="4" w:space="0"/>
              <w:left w:val="single" w:color="auto" w:sz="4" w:space="0"/>
              <w:bottom w:val="single" w:color="auto" w:sz="4" w:space="0"/>
              <w:right w:val="single" w:color="auto" w:sz="4" w:space="0"/>
            </w:tcBorders>
            <w:vAlign w:val="top"/>
          </w:tcPr>
          <w:p>
            <w:pPr>
              <w:spacing w:before="205" w:line="184" w:lineRule="auto"/>
              <w:rPr>
                <w:rFonts w:hint="eastAsia" w:ascii="宋体" w:hAnsi="宋体"/>
                <w:kern w:val="0"/>
                <w:sz w:val="20"/>
                <w:szCs w:val="20"/>
              </w:rPr>
            </w:pPr>
            <w:r>
              <w:rPr>
                <w:rFonts w:ascii="宋体" w:hAnsi="宋体" w:eastAsia="宋体" w:cs="宋体"/>
                <w:spacing w:val="-6"/>
                <w:sz w:val="20"/>
                <w:szCs w:val="20"/>
              </w:rPr>
              <w:t>完善</w:t>
            </w:r>
          </w:p>
        </w:tc>
      </w:tr>
      <w:tr>
        <w:tblPrEx>
          <w:tblCellMar>
            <w:top w:w="0" w:type="dxa"/>
            <w:left w:w="108" w:type="dxa"/>
            <w:bottom w:w="0" w:type="dxa"/>
            <w:right w:w="108" w:type="dxa"/>
          </w:tblCellMar>
        </w:tblPrEx>
        <w:trPr>
          <w:trHeight w:val="669" w:hRule="atLeast"/>
          <w:jc w:val="center"/>
        </w:trPr>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20"/>
                <w:szCs w:val="20"/>
              </w:rPr>
            </w:pP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0"/>
                <w:szCs w:val="20"/>
              </w:rPr>
            </w:pPr>
            <w:r>
              <w:rPr>
                <w:rFonts w:hint="eastAsia" w:ascii="宋体" w:hAnsi="宋体"/>
                <w:kern w:val="0"/>
                <w:sz w:val="20"/>
                <w:szCs w:val="20"/>
              </w:rPr>
              <w:t>满意度指标</w:t>
            </w:r>
          </w:p>
        </w:tc>
        <w:tc>
          <w:tcPr>
            <w:tcW w:w="2716" w:type="dxa"/>
            <w:gridSpan w:val="3"/>
            <w:tcBorders>
              <w:top w:val="single" w:color="auto" w:sz="4" w:space="0"/>
              <w:left w:val="single" w:color="auto" w:sz="4" w:space="0"/>
              <w:bottom w:val="single" w:color="auto" w:sz="4" w:space="0"/>
              <w:right w:val="single" w:color="auto" w:sz="4" w:space="0"/>
            </w:tcBorders>
            <w:vAlign w:val="center"/>
          </w:tcPr>
          <w:p>
            <w:pPr>
              <w:spacing w:before="228" w:line="184" w:lineRule="auto"/>
              <w:rPr>
                <w:rFonts w:hint="eastAsia" w:ascii="宋体" w:hAnsi="宋体" w:eastAsia="宋体" w:cs="宋体"/>
                <w:kern w:val="2"/>
                <w:sz w:val="20"/>
                <w:szCs w:val="20"/>
                <w:lang w:val="en-US" w:eastAsia="zh-CN" w:bidi="ar-SA"/>
              </w:rPr>
            </w:pPr>
            <w:r>
              <w:rPr>
                <w:rFonts w:ascii="宋体" w:hAnsi="宋体" w:eastAsia="宋体" w:cs="宋体"/>
                <w:spacing w:val="-2"/>
                <w:sz w:val="20"/>
                <w:szCs w:val="20"/>
              </w:rPr>
              <w:t>职工满意度</w:t>
            </w:r>
          </w:p>
        </w:tc>
        <w:tc>
          <w:tcPr>
            <w:tcW w:w="892" w:type="dxa"/>
            <w:tcBorders>
              <w:top w:val="single" w:color="auto" w:sz="4" w:space="0"/>
              <w:left w:val="single" w:color="auto" w:sz="4" w:space="0"/>
              <w:bottom w:val="single" w:color="auto" w:sz="4" w:space="0"/>
              <w:right w:val="single" w:color="auto" w:sz="4" w:space="0"/>
            </w:tcBorders>
            <w:vAlign w:val="top"/>
          </w:tcPr>
          <w:p>
            <w:pPr>
              <w:spacing w:before="228" w:line="184" w:lineRule="auto"/>
              <w:rPr>
                <w:rFonts w:hint="default" w:ascii="宋体" w:hAnsi="宋体" w:eastAsia="宋体"/>
                <w:kern w:val="0"/>
                <w:sz w:val="20"/>
                <w:szCs w:val="20"/>
                <w:lang w:val="en-US" w:eastAsia="zh-CN"/>
              </w:rPr>
            </w:pPr>
            <w:r>
              <w:rPr>
                <w:rFonts w:ascii="宋体" w:hAnsi="宋体" w:eastAsia="宋体" w:cs="宋体"/>
                <w:spacing w:val="-7"/>
                <w:sz w:val="20"/>
                <w:szCs w:val="20"/>
              </w:rPr>
              <w:t>≥98%</w:t>
            </w:r>
          </w:p>
        </w:tc>
        <w:tc>
          <w:tcPr>
            <w:tcW w:w="2992" w:type="dxa"/>
            <w:gridSpan w:val="2"/>
            <w:tcBorders>
              <w:top w:val="single" w:color="auto" w:sz="4" w:space="0"/>
              <w:left w:val="single" w:color="auto" w:sz="4" w:space="0"/>
              <w:bottom w:val="single" w:color="auto" w:sz="4" w:space="0"/>
              <w:right w:val="single" w:color="auto" w:sz="4" w:space="0"/>
            </w:tcBorders>
            <w:vAlign w:val="center"/>
          </w:tcPr>
          <w:p>
            <w:pPr>
              <w:spacing w:before="228" w:line="184" w:lineRule="auto"/>
              <w:rPr>
                <w:rFonts w:hint="eastAsia" w:ascii="宋体" w:hAnsi="宋体" w:eastAsia="宋体" w:cs="宋体"/>
                <w:kern w:val="2"/>
                <w:sz w:val="20"/>
                <w:szCs w:val="20"/>
                <w:lang w:val="en-US" w:eastAsia="zh-CN" w:bidi="ar-SA"/>
              </w:rPr>
            </w:pPr>
            <w:r>
              <w:rPr>
                <w:rFonts w:ascii="宋体" w:hAnsi="宋体" w:eastAsia="宋体" w:cs="宋体"/>
                <w:spacing w:val="-2"/>
                <w:sz w:val="20"/>
                <w:szCs w:val="20"/>
              </w:rPr>
              <w:t>职工满意度</w:t>
            </w:r>
          </w:p>
        </w:tc>
        <w:tc>
          <w:tcPr>
            <w:tcW w:w="1100" w:type="dxa"/>
            <w:tcBorders>
              <w:top w:val="single" w:color="auto" w:sz="4" w:space="0"/>
              <w:left w:val="single" w:color="auto" w:sz="4" w:space="0"/>
              <w:bottom w:val="single" w:color="auto" w:sz="4" w:space="0"/>
              <w:right w:val="single" w:color="auto" w:sz="4" w:space="0"/>
            </w:tcBorders>
            <w:vAlign w:val="top"/>
          </w:tcPr>
          <w:p>
            <w:pPr>
              <w:spacing w:before="228" w:line="184" w:lineRule="auto"/>
              <w:rPr>
                <w:rFonts w:hint="eastAsia" w:ascii="宋体" w:hAnsi="宋体" w:eastAsia="宋体" w:cs="宋体"/>
                <w:kern w:val="2"/>
                <w:sz w:val="20"/>
                <w:szCs w:val="20"/>
                <w:lang w:val="en-US" w:eastAsia="zh-CN" w:bidi="ar-SA"/>
              </w:rPr>
            </w:pPr>
            <w:r>
              <w:rPr>
                <w:rFonts w:ascii="宋体" w:hAnsi="宋体" w:eastAsia="宋体" w:cs="宋体"/>
                <w:spacing w:val="-7"/>
                <w:sz w:val="20"/>
                <w:szCs w:val="20"/>
              </w:rPr>
              <w:t>≥98%</w:t>
            </w:r>
          </w:p>
        </w:tc>
      </w:tr>
    </w:tbl>
    <w:p/>
    <w:p>
      <w:pPr>
        <w:rPr>
          <w:rFonts w:ascii="微软雅黑"/>
          <w:sz w:val="21"/>
        </w:rPr>
      </w:pPr>
    </w:p>
    <w:p>
      <w:pPr>
        <w:rPr>
          <w:rFonts w:ascii="微软雅黑"/>
          <w:sz w:val="21"/>
        </w:rPr>
      </w:pPr>
    </w:p>
    <w:p>
      <w:pPr>
        <w:rPr>
          <w:rFonts w:ascii="微软雅黑"/>
          <w:sz w:val="21"/>
        </w:rPr>
      </w:pPr>
    </w:p>
    <w:p>
      <w:pPr>
        <w:rPr>
          <w:rFonts w:ascii="微软雅黑"/>
          <w:sz w:val="21"/>
        </w:rPr>
      </w:pPr>
    </w:p>
    <w:p>
      <w:pPr>
        <w:spacing w:line="241" w:lineRule="auto"/>
        <w:rPr>
          <w:rFonts w:ascii="微软雅黑"/>
          <w:sz w:val="21"/>
        </w:rPr>
      </w:pPr>
    </w:p>
    <w:p>
      <w:pPr>
        <w:spacing w:line="241" w:lineRule="auto"/>
        <w:rPr>
          <w:rFonts w:ascii="微软雅黑"/>
          <w:sz w:val="21"/>
        </w:rPr>
      </w:pPr>
    </w:p>
    <w:p>
      <w:pPr>
        <w:spacing w:line="241" w:lineRule="auto"/>
        <w:rPr>
          <w:rFonts w:ascii="微软雅黑"/>
          <w:sz w:val="21"/>
        </w:rPr>
      </w:pPr>
    </w:p>
    <w:p>
      <w:pPr>
        <w:spacing w:line="241" w:lineRule="auto"/>
        <w:rPr>
          <w:rFonts w:ascii="微软雅黑"/>
          <w:sz w:val="21"/>
        </w:rPr>
      </w:pPr>
    </w:p>
    <w:p>
      <w:pPr>
        <w:spacing w:line="241" w:lineRule="auto"/>
        <w:rPr>
          <w:rFonts w:ascii="微软雅黑"/>
          <w:sz w:val="21"/>
        </w:rPr>
      </w:pPr>
    </w:p>
    <w:p>
      <w:pPr>
        <w:spacing w:line="241" w:lineRule="auto"/>
        <w:rPr>
          <w:rFonts w:ascii="微软雅黑"/>
          <w:sz w:val="21"/>
        </w:rPr>
      </w:pPr>
    </w:p>
    <w:p>
      <w:pPr>
        <w:spacing w:before="170" w:line="188" w:lineRule="auto"/>
        <w:ind w:firstLine="32"/>
        <w:rPr>
          <w:rFonts w:ascii="黑体" w:hAnsi="黑体" w:eastAsia="黑体" w:cs="黑体"/>
          <w:sz w:val="52"/>
          <w:szCs w:val="52"/>
        </w:rPr>
      </w:pPr>
      <w:r>
        <w:rPr>
          <w:rFonts w:ascii="黑体" w:hAnsi="黑体" w:eastAsia="黑体" w:cs="黑体"/>
          <w:spacing w:val="-5"/>
          <w:sz w:val="52"/>
          <w:szCs w:val="52"/>
        </w:rPr>
        <w:t>第四部分</w:t>
      </w:r>
    </w:p>
    <w:p>
      <w:pPr>
        <w:spacing w:line="260" w:lineRule="auto"/>
        <w:rPr>
          <w:rFonts w:ascii="微软雅黑"/>
          <w:sz w:val="21"/>
        </w:rPr>
      </w:pPr>
    </w:p>
    <w:p>
      <w:pPr>
        <w:spacing w:line="260" w:lineRule="auto"/>
        <w:rPr>
          <w:rFonts w:ascii="微软雅黑"/>
          <w:sz w:val="21"/>
        </w:rPr>
      </w:pPr>
    </w:p>
    <w:p>
      <w:pPr>
        <w:spacing w:line="260" w:lineRule="auto"/>
        <w:rPr>
          <w:rFonts w:ascii="微软雅黑"/>
          <w:sz w:val="21"/>
        </w:rPr>
      </w:pPr>
    </w:p>
    <w:p>
      <w:pPr>
        <w:spacing w:before="169" w:line="188" w:lineRule="auto"/>
        <w:ind w:firstLine="3151"/>
        <w:rPr>
          <w:rFonts w:ascii="黑体" w:hAnsi="黑体" w:eastAsia="黑体" w:cs="黑体"/>
          <w:sz w:val="52"/>
          <w:szCs w:val="52"/>
        </w:rPr>
      </w:pPr>
      <w:r>
        <w:rPr>
          <w:rFonts w:ascii="黑体" w:hAnsi="黑体" w:eastAsia="黑体" w:cs="黑体"/>
          <w:spacing w:val="-6"/>
          <w:sz w:val="52"/>
          <w:szCs w:val="52"/>
        </w:rPr>
        <w:t>名词解释</w:t>
      </w:r>
    </w:p>
    <w:p>
      <w:pPr>
        <w:spacing w:line="245" w:lineRule="auto"/>
        <w:rPr>
          <w:rFonts w:ascii="微软雅黑"/>
          <w:sz w:val="21"/>
        </w:rPr>
      </w:pPr>
    </w:p>
    <w:p>
      <w:pPr>
        <w:spacing w:line="245" w:lineRule="auto"/>
        <w:rPr>
          <w:rFonts w:ascii="微软雅黑"/>
          <w:sz w:val="21"/>
        </w:rPr>
      </w:pPr>
    </w:p>
    <w:p>
      <w:pPr>
        <w:spacing w:line="245" w:lineRule="auto"/>
        <w:rPr>
          <w:rFonts w:ascii="微软雅黑"/>
          <w:sz w:val="21"/>
        </w:rPr>
      </w:pPr>
    </w:p>
    <w:p>
      <w:pPr>
        <w:spacing w:line="245" w:lineRule="auto"/>
        <w:rPr>
          <w:rFonts w:ascii="微软雅黑"/>
          <w:sz w:val="21"/>
        </w:rPr>
      </w:pPr>
    </w:p>
    <w:p>
      <w:pPr>
        <w:spacing w:line="245" w:lineRule="auto"/>
        <w:rPr>
          <w:rFonts w:ascii="微软雅黑"/>
          <w:sz w:val="21"/>
        </w:rPr>
      </w:pPr>
    </w:p>
    <w:p>
      <w:pPr>
        <w:spacing w:line="245" w:lineRule="auto"/>
        <w:rPr>
          <w:rFonts w:ascii="微软雅黑"/>
          <w:sz w:val="21"/>
        </w:rPr>
      </w:pPr>
    </w:p>
    <w:p>
      <w:pPr>
        <w:spacing w:line="245" w:lineRule="auto"/>
        <w:rPr>
          <w:rFonts w:ascii="微软雅黑"/>
          <w:sz w:val="21"/>
        </w:rPr>
      </w:pPr>
    </w:p>
    <w:p>
      <w:pPr>
        <w:spacing w:line="245" w:lineRule="auto"/>
        <w:rPr>
          <w:rFonts w:ascii="微软雅黑"/>
          <w:sz w:val="21"/>
        </w:rPr>
      </w:pPr>
    </w:p>
    <w:p>
      <w:pPr>
        <w:spacing w:line="245" w:lineRule="auto"/>
        <w:rPr>
          <w:rFonts w:ascii="微软雅黑"/>
          <w:sz w:val="21"/>
        </w:rPr>
      </w:pPr>
    </w:p>
    <w:p>
      <w:pPr>
        <w:spacing w:line="245" w:lineRule="auto"/>
        <w:rPr>
          <w:rFonts w:ascii="微软雅黑"/>
          <w:sz w:val="21"/>
        </w:rPr>
      </w:pPr>
    </w:p>
    <w:p>
      <w:pPr>
        <w:spacing w:line="245" w:lineRule="auto"/>
        <w:rPr>
          <w:rFonts w:ascii="微软雅黑"/>
          <w:sz w:val="21"/>
        </w:rPr>
      </w:pPr>
    </w:p>
    <w:p>
      <w:pPr>
        <w:spacing w:line="245" w:lineRule="auto"/>
        <w:rPr>
          <w:rFonts w:ascii="微软雅黑"/>
          <w:sz w:val="21"/>
        </w:rPr>
      </w:pPr>
    </w:p>
    <w:p>
      <w:pPr>
        <w:spacing w:line="245" w:lineRule="auto"/>
        <w:rPr>
          <w:rFonts w:ascii="微软雅黑"/>
          <w:sz w:val="21"/>
        </w:rPr>
      </w:pPr>
    </w:p>
    <w:p>
      <w:pPr>
        <w:spacing w:line="245" w:lineRule="auto"/>
        <w:rPr>
          <w:rFonts w:ascii="微软雅黑"/>
          <w:sz w:val="21"/>
        </w:rPr>
      </w:pPr>
    </w:p>
    <w:p>
      <w:pPr>
        <w:spacing w:line="245" w:lineRule="auto"/>
        <w:rPr>
          <w:rFonts w:ascii="微软雅黑"/>
          <w:sz w:val="21"/>
        </w:rPr>
      </w:pPr>
    </w:p>
    <w:p>
      <w:pPr>
        <w:spacing w:line="246" w:lineRule="auto"/>
        <w:rPr>
          <w:rFonts w:ascii="微软雅黑"/>
          <w:sz w:val="21"/>
        </w:rPr>
      </w:pPr>
    </w:p>
    <w:p>
      <w:pPr>
        <w:spacing w:line="246" w:lineRule="auto"/>
        <w:rPr>
          <w:rFonts w:ascii="微软雅黑"/>
          <w:sz w:val="21"/>
        </w:rPr>
      </w:pPr>
    </w:p>
    <w:p>
      <w:pPr>
        <w:spacing w:line="246" w:lineRule="auto"/>
        <w:rPr>
          <w:rFonts w:ascii="微软雅黑"/>
          <w:sz w:val="21"/>
        </w:rPr>
      </w:pPr>
    </w:p>
    <w:p/>
    <w:p/>
    <w:p>
      <w:pPr>
        <w:rPr>
          <w:rFonts w:hint="eastAsia" w:ascii="黑体" w:hAnsi="黑体" w:eastAsia="黑体"/>
          <w:sz w:val="32"/>
          <w:szCs w:val="32"/>
          <w:highlight w:val="none"/>
        </w:rPr>
      </w:pPr>
      <w:r>
        <w:rPr>
          <w:rFonts w:hint="eastAsia" w:ascii="黑体" w:hAnsi="黑体" w:eastAsia="黑体"/>
          <w:sz w:val="32"/>
          <w:szCs w:val="32"/>
          <w:highlight w:val="none"/>
        </w:rPr>
        <w:br w:type="page"/>
      </w:r>
    </w:p>
    <w:p>
      <w:pPr>
        <w:spacing w:line="580" w:lineRule="exact"/>
        <w:ind w:firstLine="600"/>
        <w:rPr>
          <w:rFonts w:ascii="仿宋_GB2312" w:eastAsia="仿宋_GB2312"/>
          <w:sz w:val="32"/>
          <w:szCs w:val="32"/>
          <w:highlight w:val="none"/>
        </w:rPr>
      </w:pPr>
      <w:r>
        <w:rPr>
          <w:rFonts w:hint="eastAsia" w:ascii="黑体" w:hAnsi="黑体" w:eastAsia="黑体"/>
          <w:sz w:val="32"/>
          <w:szCs w:val="32"/>
          <w:highlight w:val="none"/>
        </w:rPr>
        <w:t>一、财政拨款收入：</w:t>
      </w:r>
      <w:r>
        <w:rPr>
          <w:rFonts w:hint="eastAsia" w:ascii="仿宋_GB2312" w:eastAsia="仿宋_GB2312"/>
          <w:sz w:val="32"/>
          <w:szCs w:val="32"/>
          <w:highlight w:val="none"/>
        </w:rPr>
        <w:t>指由</w:t>
      </w:r>
      <w:r>
        <w:rPr>
          <w:rFonts w:hint="eastAsia" w:ascii="仿宋_GB2312" w:eastAsia="仿宋_GB2312"/>
          <w:sz w:val="32"/>
          <w:szCs w:val="32"/>
          <w:highlight w:val="none"/>
          <w:lang w:val="en-US" w:eastAsia="zh-CN"/>
        </w:rPr>
        <w:t>县</w:t>
      </w:r>
      <w:r>
        <w:rPr>
          <w:rFonts w:hint="eastAsia" w:ascii="仿宋_GB2312" w:eastAsia="仿宋_GB2312"/>
          <w:sz w:val="32"/>
          <w:szCs w:val="32"/>
          <w:highlight w:val="none"/>
        </w:rPr>
        <w:t>级财政拨款形成的收入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按现行管理制度，</w:t>
      </w:r>
      <w:r>
        <w:rPr>
          <w:rFonts w:hint="eastAsia" w:ascii="仿宋_GB2312" w:eastAsia="仿宋_GB2312"/>
          <w:sz w:val="32"/>
          <w:szCs w:val="32"/>
          <w:highlight w:val="none"/>
          <w:lang w:val="en-US" w:eastAsia="zh-CN"/>
        </w:rPr>
        <w:t>县</w:t>
      </w:r>
      <w:r>
        <w:rPr>
          <w:rFonts w:hint="eastAsia" w:ascii="仿宋_GB2312" w:eastAsia="仿宋_GB2312"/>
          <w:sz w:val="32"/>
          <w:szCs w:val="32"/>
          <w:highlight w:val="none"/>
        </w:rPr>
        <w:t>级</w:t>
      </w:r>
      <w:r>
        <w:rPr>
          <w:rFonts w:hint="eastAsia" w:ascii="仿宋_GB2312" w:eastAsia="仿宋_GB2312"/>
          <w:sz w:val="32"/>
          <w:szCs w:val="32"/>
          <w:highlight w:val="none"/>
          <w:lang w:eastAsia="zh-CN"/>
        </w:rPr>
        <w:t>单位</w:t>
      </w:r>
      <w:r>
        <w:rPr>
          <w:rFonts w:hint="eastAsia" w:ascii="仿宋_GB2312" w:eastAsia="仿宋_GB2312"/>
          <w:sz w:val="32"/>
          <w:szCs w:val="32"/>
          <w:highlight w:val="none"/>
        </w:rPr>
        <w:t>预算中反映的财政拨款包括一般公共预算拨款、政府性基金预算拨款和国有资本经营预算拨款。</w:t>
      </w:r>
    </w:p>
    <w:p>
      <w:pPr>
        <w:spacing w:line="580" w:lineRule="exact"/>
        <w:ind w:firstLine="600"/>
        <w:rPr>
          <w:rFonts w:ascii="仿宋_GB2312" w:eastAsia="仿宋_GB2312"/>
          <w:sz w:val="32"/>
          <w:szCs w:val="32"/>
          <w:highlight w:val="none"/>
        </w:rPr>
      </w:pPr>
      <w:r>
        <w:rPr>
          <w:rFonts w:hint="eastAsia" w:ascii="黑体" w:hAnsi="黑体" w:eastAsia="黑体"/>
          <w:sz w:val="32"/>
          <w:szCs w:val="32"/>
          <w:highlight w:val="none"/>
        </w:rPr>
        <w:t>二、财政专户管理资金：</w:t>
      </w:r>
      <w:r>
        <w:rPr>
          <w:rFonts w:hint="eastAsia" w:ascii="仿宋_GB2312" w:eastAsia="仿宋_GB2312"/>
          <w:sz w:val="32"/>
          <w:szCs w:val="32"/>
          <w:highlight w:val="none"/>
        </w:rPr>
        <w:t>指缴入财政专户、实行专项管理的高中以上学费、住宿费、高校委托培养费、函大、电大、夜大及短训班培训费等教育收费。</w:t>
      </w:r>
    </w:p>
    <w:p>
      <w:pPr>
        <w:spacing w:line="580" w:lineRule="exact"/>
        <w:ind w:firstLine="600"/>
        <w:rPr>
          <w:rFonts w:hint="eastAsia" w:ascii="仿宋_GB2312" w:eastAsia="仿宋_GB2312"/>
          <w:sz w:val="32"/>
          <w:szCs w:val="32"/>
          <w:highlight w:val="none"/>
        </w:rPr>
      </w:pPr>
      <w:r>
        <w:rPr>
          <w:rFonts w:hint="eastAsia" w:ascii="黑体" w:hAnsi="黑体" w:eastAsia="黑体"/>
          <w:sz w:val="32"/>
          <w:szCs w:val="32"/>
          <w:highlight w:val="none"/>
        </w:rPr>
        <w:t>三、事业收入：</w:t>
      </w:r>
      <w:r>
        <w:rPr>
          <w:rFonts w:hint="eastAsia" w:ascii="仿宋_GB2312" w:eastAsia="仿宋_GB2312"/>
          <w:sz w:val="32"/>
          <w:szCs w:val="32"/>
          <w:highlight w:val="none"/>
        </w:rPr>
        <w:t>指事业单位开展专业业务活动及辅助活动所取得的收入。</w:t>
      </w:r>
    </w:p>
    <w:p>
      <w:pPr>
        <w:spacing w:line="580" w:lineRule="exact"/>
        <w:ind w:firstLine="600"/>
        <w:rPr>
          <w:rFonts w:hint="eastAsia" w:ascii="仿宋_GB2312" w:eastAsia="仿宋_GB2312"/>
          <w:sz w:val="32"/>
          <w:szCs w:val="32"/>
          <w:highlight w:val="none"/>
        </w:rPr>
      </w:pPr>
      <w:r>
        <w:rPr>
          <w:rFonts w:hint="eastAsia" w:ascii="黑体" w:hAnsi="黑体" w:eastAsia="黑体"/>
          <w:sz w:val="32"/>
          <w:szCs w:val="32"/>
          <w:highlight w:val="none"/>
        </w:rPr>
        <w:t>四、事业单位经营收入：</w:t>
      </w:r>
      <w:r>
        <w:rPr>
          <w:rFonts w:hint="eastAsia" w:ascii="仿宋_GB2312" w:eastAsia="仿宋_GB2312"/>
          <w:sz w:val="32"/>
          <w:szCs w:val="32"/>
          <w:highlight w:val="none"/>
        </w:rPr>
        <w:t>指事业单位在专业业务活动及其辅助活动之外开展非独立核算经营活动取得的收入。</w:t>
      </w:r>
    </w:p>
    <w:p>
      <w:pPr>
        <w:spacing w:line="580" w:lineRule="exact"/>
        <w:ind w:firstLine="600"/>
        <w:rPr>
          <w:rFonts w:ascii="仿宋_GB2312" w:eastAsia="仿宋_GB2312"/>
          <w:sz w:val="32"/>
          <w:szCs w:val="32"/>
          <w:highlight w:val="none"/>
        </w:rPr>
      </w:pPr>
      <w:r>
        <w:rPr>
          <w:rFonts w:hint="eastAsia" w:ascii="黑体" w:hAnsi="黑体" w:eastAsia="黑体"/>
          <w:sz w:val="32"/>
          <w:szCs w:val="32"/>
          <w:highlight w:val="none"/>
          <w:lang w:val="en-US" w:eastAsia="zh-CN"/>
        </w:rPr>
        <w:t>五</w:t>
      </w:r>
      <w:r>
        <w:rPr>
          <w:rFonts w:hint="eastAsia" w:ascii="黑体" w:hAnsi="黑体" w:eastAsia="黑体"/>
          <w:sz w:val="32"/>
          <w:szCs w:val="32"/>
          <w:highlight w:val="none"/>
        </w:rPr>
        <w:t>、上级补助收入：</w:t>
      </w:r>
      <w:r>
        <w:rPr>
          <w:rFonts w:hint="eastAsia" w:ascii="仿宋_GB2312" w:eastAsia="仿宋_GB2312"/>
          <w:sz w:val="32"/>
          <w:szCs w:val="32"/>
          <w:highlight w:val="none"/>
        </w:rPr>
        <w:t>指单位从主管部门和上级单位取得的非财政补助收入。</w:t>
      </w:r>
    </w:p>
    <w:p>
      <w:pPr>
        <w:spacing w:line="580" w:lineRule="exact"/>
        <w:ind w:firstLine="600"/>
        <w:rPr>
          <w:rFonts w:hint="eastAsia" w:ascii="仿宋_GB2312" w:eastAsia="仿宋_GB2312"/>
          <w:sz w:val="32"/>
          <w:szCs w:val="32"/>
          <w:highlight w:val="none"/>
        </w:rPr>
      </w:pPr>
      <w:r>
        <w:rPr>
          <w:rFonts w:hint="eastAsia" w:ascii="黑体" w:hAnsi="黑体" w:eastAsia="黑体"/>
          <w:sz w:val="32"/>
          <w:szCs w:val="32"/>
          <w:highlight w:val="none"/>
          <w:lang w:val="en-US" w:eastAsia="zh-CN"/>
        </w:rPr>
        <w:t>六、</w:t>
      </w:r>
      <w:r>
        <w:rPr>
          <w:rFonts w:hint="eastAsia" w:ascii="黑体" w:hAnsi="黑体" w:eastAsia="黑体"/>
          <w:sz w:val="32"/>
          <w:szCs w:val="32"/>
          <w:highlight w:val="none"/>
        </w:rPr>
        <w:t>附属单位上缴收入：</w:t>
      </w:r>
      <w:r>
        <w:rPr>
          <w:rFonts w:hint="eastAsia" w:ascii="仿宋_GB2312" w:eastAsia="仿宋_GB2312"/>
          <w:sz w:val="32"/>
          <w:szCs w:val="32"/>
          <w:highlight w:val="none"/>
        </w:rPr>
        <w:t>指本单位所属纳入</w:t>
      </w:r>
      <w:r>
        <w:rPr>
          <w:rFonts w:hint="eastAsia" w:ascii="仿宋_GB2312" w:eastAsia="仿宋_GB2312"/>
          <w:sz w:val="32"/>
          <w:szCs w:val="32"/>
          <w:highlight w:val="none"/>
          <w:lang w:eastAsia="zh-CN"/>
        </w:rPr>
        <w:t>单位</w:t>
      </w:r>
      <w:r>
        <w:rPr>
          <w:rFonts w:hint="eastAsia" w:ascii="仿宋_GB2312" w:eastAsia="仿宋_GB2312"/>
          <w:sz w:val="32"/>
          <w:szCs w:val="32"/>
          <w:highlight w:val="none"/>
        </w:rPr>
        <w:t>预算编报范围的单位按有关规定上缴的收入。</w:t>
      </w:r>
    </w:p>
    <w:p>
      <w:pPr>
        <w:spacing w:line="580" w:lineRule="exact"/>
        <w:ind w:firstLine="600"/>
        <w:rPr>
          <w:rFonts w:hint="eastAsia" w:ascii="仿宋_GB2312" w:eastAsia="仿宋_GB2312"/>
          <w:sz w:val="32"/>
          <w:szCs w:val="32"/>
          <w:highlight w:val="none"/>
        </w:rPr>
      </w:pP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、其他收入：</w:t>
      </w:r>
      <w:r>
        <w:rPr>
          <w:rFonts w:hint="eastAsia" w:ascii="仿宋_GB2312" w:eastAsia="仿宋_GB2312"/>
          <w:sz w:val="32"/>
          <w:szCs w:val="32"/>
          <w:highlight w:val="none"/>
        </w:rPr>
        <w:t>指除上述“财政拨款收入”、</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财政专户管理资金收入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“事业收入”、“事业单位经营收入”</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上级补助收入</w:t>
      </w:r>
      <w:r>
        <w:rPr>
          <w:rFonts w:hint="eastAsia" w:ascii="仿宋_GB2312" w:eastAsia="仿宋_GB2312"/>
          <w:sz w:val="32"/>
          <w:szCs w:val="32"/>
          <w:highlight w:val="none"/>
          <w:lang w:eastAsia="zh-CN"/>
        </w:rPr>
        <w:t>”、“附属单位上缴收入”</w:t>
      </w:r>
      <w:r>
        <w:rPr>
          <w:rFonts w:hint="eastAsia" w:ascii="仿宋_GB2312" w:eastAsia="仿宋_GB2312"/>
          <w:sz w:val="32"/>
          <w:szCs w:val="32"/>
          <w:highlight w:val="none"/>
        </w:rPr>
        <w:t>等以外的</w:t>
      </w:r>
      <w:r>
        <w:rPr>
          <w:rFonts w:hint="eastAsia" w:ascii="仿宋_GB2312" w:eastAsia="仿宋_GB2312"/>
          <w:sz w:val="32"/>
          <w:szCs w:val="32"/>
          <w:highlight w:val="none"/>
          <w:lang w:val="en-US" w:eastAsia="zh-CN"/>
        </w:rPr>
        <w:t>当年</w:t>
      </w:r>
      <w:r>
        <w:rPr>
          <w:rFonts w:hint="eastAsia" w:ascii="仿宋_GB2312" w:eastAsia="仿宋_GB2312"/>
          <w:sz w:val="32"/>
          <w:szCs w:val="32"/>
          <w:highlight w:val="none"/>
        </w:rPr>
        <w:t>收入。</w:t>
      </w:r>
    </w:p>
    <w:p>
      <w:pPr>
        <w:spacing w:line="580" w:lineRule="exact"/>
        <w:ind w:firstLine="600"/>
        <w:rPr>
          <w:rFonts w:hint="eastAsia" w:ascii="仿宋_GB2312" w:eastAsia="仿宋_GB2312"/>
          <w:sz w:val="32"/>
          <w:szCs w:val="32"/>
          <w:highlight w:val="none"/>
        </w:rPr>
      </w:pPr>
      <w:r>
        <w:rPr>
          <w:rFonts w:hint="eastAsia" w:ascii="黑体" w:hAnsi="黑体" w:eastAsia="黑体"/>
          <w:sz w:val="32"/>
          <w:szCs w:val="32"/>
          <w:highlight w:val="none"/>
          <w:lang w:val="en-US" w:eastAsia="zh-CN"/>
        </w:rPr>
        <w:t>八</w:t>
      </w:r>
      <w:r>
        <w:rPr>
          <w:rFonts w:hint="eastAsia" w:ascii="黑体" w:hAnsi="黑体" w:eastAsia="黑体"/>
          <w:sz w:val="32"/>
          <w:szCs w:val="32"/>
          <w:highlight w:val="none"/>
        </w:rPr>
        <w:t>、事业基金弥补收支差额：</w:t>
      </w:r>
      <w:r>
        <w:rPr>
          <w:rFonts w:hint="eastAsia" w:ascii="仿宋_GB2312" w:eastAsia="仿宋_GB2312"/>
          <w:sz w:val="32"/>
          <w:szCs w:val="32"/>
          <w:highlight w:val="none"/>
        </w:rPr>
        <w:t>指在预计用当年的“财政拨款收入”、“财政专户管理资金收入”、“事业收入”、“事业单位经营收入”“上级补助收入”、“附属单位上缴收入”等不足以安排当年支出的情况下，使用以前年度积累的事业基金（事业单位当年收支相抵后按国家规定提取、用于弥补以后年度收支差额的基金）弥补本年度收支缺口的资金。</w:t>
      </w:r>
    </w:p>
    <w:p>
      <w:pPr>
        <w:spacing w:line="580" w:lineRule="exact"/>
        <w:ind w:firstLine="600"/>
        <w:rPr>
          <w:rFonts w:ascii="仿宋_GB2312" w:eastAsia="仿宋_GB2312"/>
          <w:sz w:val="32"/>
          <w:szCs w:val="32"/>
          <w:highlight w:val="none"/>
        </w:rPr>
      </w:pPr>
      <w:r>
        <w:rPr>
          <w:rFonts w:hint="eastAsia" w:ascii="黑体" w:hAnsi="黑体" w:eastAsia="黑体"/>
          <w:sz w:val="32"/>
          <w:szCs w:val="32"/>
          <w:highlight w:val="none"/>
          <w:lang w:val="en-US" w:eastAsia="zh-CN"/>
        </w:rPr>
        <w:t>九、</w:t>
      </w:r>
      <w:r>
        <w:rPr>
          <w:rFonts w:hint="eastAsia" w:ascii="黑体" w:hAnsi="黑体" w:eastAsia="黑体"/>
          <w:sz w:val="32"/>
          <w:szCs w:val="32"/>
          <w:highlight w:val="none"/>
        </w:rPr>
        <w:t>上年结转</w:t>
      </w:r>
      <w:r>
        <w:rPr>
          <w:rFonts w:hint="eastAsia" w:ascii="黑体" w:hAnsi="黑体" w:eastAsia="黑体"/>
          <w:sz w:val="32"/>
          <w:szCs w:val="32"/>
          <w:highlight w:val="none"/>
          <w:lang w:val="en-US" w:eastAsia="zh-CN"/>
        </w:rPr>
        <w:t>结余</w:t>
      </w:r>
      <w:r>
        <w:rPr>
          <w:rFonts w:hint="eastAsia" w:ascii="黑体" w:hAnsi="黑体" w:eastAsia="黑体"/>
          <w:sz w:val="32"/>
          <w:szCs w:val="32"/>
          <w:highlight w:val="none"/>
        </w:rPr>
        <w:t>：</w:t>
      </w:r>
      <w:r>
        <w:rPr>
          <w:rFonts w:hint="eastAsia" w:ascii="仿宋_GB2312" w:eastAsia="仿宋_GB2312"/>
          <w:sz w:val="32"/>
          <w:szCs w:val="32"/>
          <w:highlight w:val="none"/>
        </w:rPr>
        <w:t>指以前年度尚未完成、结转到本年仍按原规定用途继续使用的资金。</w:t>
      </w:r>
    </w:p>
    <w:p>
      <w:pPr>
        <w:spacing w:line="580" w:lineRule="exact"/>
        <w:ind w:firstLine="600"/>
        <w:rPr>
          <w:rFonts w:ascii="仿宋_GB2312" w:eastAsia="仿宋_GB2312"/>
          <w:sz w:val="32"/>
          <w:szCs w:val="32"/>
          <w:highlight w:val="none"/>
        </w:rPr>
      </w:pPr>
      <w:r>
        <w:rPr>
          <w:rFonts w:hint="eastAsia" w:ascii="黑体" w:hAnsi="黑体" w:eastAsia="黑体"/>
          <w:sz w:val="32"/>
          <w:szCs w:val="32"/>
          <w:highlight w:val="none"/>
          <w:lang w:val="en-US" w:eastAsia="zh-CN"/>
        </w:rPr>
        <w:t>十</w:t>
      </w:r>
      <w:r>
        <w:rPr>
          <w:rFonts w:hint="eastAsia" w:ascii="黑体" w:hAnsi="黑体" w:eastAsia="黑体"/>
          <w:sz w:val="32"/>
          <w:szCs w:val="32"/>
          <w:highlight w:val="none"/>
        </w:rPr>
        <w:t>、基本支出：</w:t>
      </w:r>
      <w:r>
        <w:rPr>
          <w:rFonts w:hint="eastAsia" w:ascii="仿宋_GB2312" w:eastAsia="仿宋_GB2312"/>
          <w:sz w:val="32"/>
          <w:szCs w:val="32"/>
          <w:highlight w:val="none"/>
        </w:rPr>
        <w:t>指为保障机构正常运转、完成日常工作任务而发生的人员经费和日常公用经费。</w:t>
      </w:r>
    </w:p>
    <w:p>
      <w:pPr>
        <w:spacing w:line="580" w:lineRule="exact"/>
        <w:ind w:firstLine="600"/>
        <w:rPr>
          <w:rFonts w:ascii="仿宋_GB2312" w:eastAsia="仿宋_GB2312"/>
          <w:sz w:val="32"/>
          <w:szCs w:val="32"/>
          <w:highlight w:val="none"/>
        </w:rPr>
      </w:pPr>
      <w:r>
        <w:rPr>
          <w:rFonts w:hint="eastAsia" w:ascii="黑体" w:hAnsi="黑体" w:eastAsia="黑体"/>
          <w:sz w:val="32"/>
          <w:szCs w:val="32"/>
          <w:highlight w:val="none"/>
          <w:lang w:val="en-US" w:eastAsia="zh-CN"/>
        </w:rPr>
        <w:t>十一</w:t>
      </w:r>
      <w:r>
        <w:rPr>
          <w:rFonts w:hint="eastAsia" w:ascii="黑体" w:hAnsi="黑体" w:eastAsia="黑体"/>
          <w:sz w:val="32"/>
          <w:szCs w:val="32"/>
          <w:highlight w:val="none"/>
        </w:rPr>
        <w:t>、项目支出：</w:t>
      </w:r>
      <w:r>
        <w:rPr>
          <w:rFonts w:hint="eastAsia" w:ascii="仿宋_GB2312" w:eastAsia="仿宋_GB2312"/>
          <w:sz w:val="32"/>
          <w:szCs w:val="32"/>
          <w:highlight w:val="none"/>
        </w:rPr>
        <w:t>指在基本支出之外为完成特定任务和事业发展目标所发生的支出。</w:t>
      </w:r>
    </w:p>
    <w:p>
      <w:pPr>
        <w:spacing w:line="580" w:lineRule="exact"/>
        <w:ind w:firstLine="600"/>
        <w:rPr>
          <w:rFonts w:ascii="仿宋_GB2312" w:eastAsia="仿宋_GB2312"/>
          <w:sz w:val="32"/>
          <w:szCs w:val="32"/>
          <w:highlight w:val="none"/>
        </w:rPr>
      </w:pPr>
      <w:r>
        <w:rPr>
          <w:rFonts w:hint="eastAsia" w:ascii="黑体" w:hAnsi="黑体" w:eastAsia="黑体"/>
          <w:sz w:val="32"/>
          <w:szCs w:val="32"/>
          <w:highlight w:val="none"/>
        </w:rPr>
        <w:t>十</w:t>
      </w:r>
      <w:r>
        <w:rPr>
          <w:rFonts w:hint="eastAsia" w:ascii="黑体" w:hAnsi="黑体" w:eastAsia="黑体"/>
          <w:sz w:val="32"/>
          <w:szCs w:val="32"/>
          <w:highlight w:val="none"/>
          <w:lang w:val="en-US" w:eastAsia="zh-CN"/>
        </w:rPr>
        <w:t>二</w:t>
      </w:r>
      <w:r>
        <w:rPr>
          <w:rFonts w:hint="eastAsia" w:ascii="黑体" w:hAnsi="黑体" w:eastAsia="黑体"/>
          <w:sz w:val="32"/>
          <w:szCs w:val="32"/>
          <w:highlight w:val="none"/>
        </w:rPr>
        <w:t>、“三公”经费：</w:t>
      </w:r>
      <w:r>
        <w:rPr>
          <w:rFonts w:hint="eastAsia" w:ascii="仿宋_GB2312" w:eastAsia="仿宋_GB2312"/>
          <w:sz w:val="32"/>
          <w:szCs w:val="32"/>
          <w:highlight w:val="none"/>
        </w:rPr>
        <w:t>指</w:t>
      </w:r>
      <w:r>
        <w:rPr>
          <w:rFonts w:hint="eastAsia" w:ascii="仿宋_GB2312" w:eastAsia="仿宋_GB2312"/>
          <w:sz w:val="32"/>
          <w:szCs w:val="32"/>
          <w:highlight w:val="none"/>
          <w:lang w:val="en-US" w:eastAsia="zh-CN"/>
        </w:rPr>
        <w:t>县</w:t>
      </w:r>
      <w:r>
        <w:rPr>
          <w:rFonts w:hint="eastAsia" w:ascii="仿宋_GB2312" w:eastAsia="仿宋_GB2312"/>
          <w:sz w:val="32"/>
          <w:szCs w:val="32"/>
          <w:highlight w:val="none"/>
        </w:rPr>
        <w:t>级部门</w:t>
      </w:r>
      <w:r>
        <w:rPr>
          <w:rFonts w:hint="eastAsia" w:ascii="仿宋_GB2312" w:eastAsia="仿宋_GB2312"/>
          <w:sz w:val="32"/>
          <w:szCs w:val="32"/>
          <w:highlight w:val="none"/>
          <w:lang w:val="en-US" w:eastAsia="zh-CN"/>
        </w:rPr>
        <w:t>单位</w:t>
      </w:r>
      <w:r>
        <w:rPr>
          <w:rFonts w:hint="eastAsia" w:ascii="仿宋_GB2312" w:eastAsia="仿宋_GB2312"/>
          <w:sz w:val="32"/>
          <w:szCs w:val="32"/>
          <w:highlight w:val="none"/>
        </w:rPr>
        <w:t>用一般公共预算财政拨款安排的因公出国（境）费、公务用车购置及运行费和公务接待费。其中，因公出国（境）费反映单位公务出国（境）的国际差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接待（含外宾接待）支出。</w:t>
      </w:r>
    </w:p>
    <w:p>
      <w:pPr>
        <w:spacing w:line="580" w:lineRule="exact"/>
        <w:ind w:firstLine="600"/>
        <w:rPr>
          <w:rFonts w:ascii="仿宋_GB2312" w:eastAsia="仿宋_GB2312"/>
          <w:sz w:val="32"/>
          <w:szCs w:val="32"/>
          <w:highlight w:val="none"/>
        </w:rPr>
      </w:pPr>
      <w:r>
        <w:rPr>
          <w:rFonts w:hint="eastAsia" w:ascii="黑体" w:hAnsi="黑体" w:eastAsia="黑体"/>
          <w:sz w:val="32"/>
          <w:szCs w:val="32"/>
          <w:highlight w:val="none"/>
        </w:rPr>
        <w:t>十</w:t>
      </w:r>
      <w:r>
        <w:rPr>
          <w:rFonts w:hint="eastAsia" w:ascii="黑体" w:hAnsi="黑体" w:eastAsia="黑体"/>
          <w:sz w:val="32"/>
          <w:szCs w:val="32"/>
          <w:highlight w:val="none"/>
          <w:lang w:val="en-US" w:eastAsia="zh-CN"/>
        </w:rPr>
        <w:t>三</w:t>
      </w:r>
      <w:r>
        <w:rPr>
          <w:rFonts w:hint="eastAsia" w:ascii="黑体" w:hAnsi="黑体" w:eastAsia="黑体"/>
          <w:sz w:val="32"/>
          <w:szCs w:val="32"/>
          <w:highlight w:val="none"/>
        </w:rPr>
        <w:t>、机关运行经费：</w:t>
      </w:r>
      <w:r>
        <w:rPr>
          <w:rFonts w:hint="eastAsia" w:ascii="仿宋_GB2312" w:eastAsia="仿宋_GB2312"/>
          <w:sz w:val="32"/>
          <w:szCs w:val="32"/>
          <w:highlight w:val="none"/>
        </w:rPr>
        <w:t>指</w:t>
      </w:r>
      <w:r>
        <w:rPr>
          <w:rFonts w:hint="eastAsia" w:ascii="仿宋_GB2312" w:eastAsia="仿宋_GB2312"/>
          <w:sz w:val="32"/>
          <w:szCs w:val="32"/>
          <w:highlight w:val="none"/>
          <w:lang w:val="en-US" w:eastAsia="zh-CN"/>
        </w:rPr>
        <w:t>县</w:t>
      </w:r>
      <w:r>
        <w:rPr>
          <w:rFonts w:hint="eastAsia" w:ascii="仿宋_GB2312" w:eastAsia="仿宋_GB2312"/>
          <w:sz w:val="32"/>
          <w:szCs w:val="32"/>
          <w:highlight w:val="none"/>
        </w:rPr>
        <w:t>级行政单位（包括参照公务员法管理的事业单位）的财政拨款公用经费，包括办公及印刷费、邮电费、差旅费、会议费、福利费、日常维修费、专用材料及一般设备购置费、办公用房水电费、办公用房取暖费、办公用房物业管理费、公务用车运行维护费以及其他费用。</w:t>
      </w:r>
    </w:p>
    <w:p>
      <w:pPr>
        <w:spacing w:before="14" w:line="301" w:lineRule="auto"/>
        <w:ind w:left="31" w:firstLine="608"/>
        <w:rPr>
          <w:rFonts w:hint="eastAsia" w:ascii="仿宋" w:hAnsi="仿宋" w:eastAsia="仿宋" w:cs="仿宋"/>
          <w:spacing w:val="-1"/>
          <w:sz w:val="32"/>
          <w:szCs w:val="32"/>
          <w:lang w:val="en-US" w:eastAsia="zh-CN"/>
        </w:rPr>
      </w:pPr>
      <w:r>
        <w:rPr>
          <w:rFonts w:hint="eastAsia" w:ascii="黑体" w:hAnsi="黑体" w:eastAsia="黑体"/>
          <w:sz w:val="32"/>
          <w:szCs w:val="32"/>
          <w:highlight w:val="none"/>
        </w:rPr>
        <w:t>十</w:t>
      </w:r>
      <w:r>
        <w:rPr>
          <w:rFonts w:hint="eastAsia" w:ascii="黑体" w:hAnsi="黑体" w:eastAsia="黑体"/>
          <w:sz w:val="32"/>
          <w:szCs w:val="32"/>
          <w:highlight w:val="none"/>
          <w:lang w:val="en-US" w:eastAsia="zh-CN"/>
        </w:rPr>
        <w:t>四</w:t>
      </w:r>
      <w:r>
        <w:rPr>
          <w:rFonts w:hint="eastAsia" w:ascii="黑体" w:hAnsi="黑体" w:eastAsia="黑体"/>
          <w:sz w:val="32"/>
          <w:szCs w:val="32"/>
          <w:highlight w:val="none"/>
        </w:rPr>
        <w:t>、社会保障和就业支出（类）行政事业单位养老支出（款）机关事业单位基本养老保险缴费支出（项）</w:t>
      </w:r>
      <w:r>
        <w:rPr>
          <w:rFonts w:ascii="仿宋" w:hAnsi="仿宋" w:eastAsia="仿宋" w:cs="仿宋"/>
          <w:spacing w:val="-86"/>
          <w:sz w:val="30"/>
          <w:szCs w:val="30"/>
        </w:rPr>
        <w:t>：</w:t>
      </w:r>
      <w:r>
        <w:rPr>
          <w:rFonts w:ascii="仿宋" w:hAnsi="仿宋" w:eastAsia="仿宋" w:cs="仿宋"/>
          <w:spacing w:val="-1"/>
          <w:sz w:val="32"/>
          <w:szCs w:val="32"/>
        </w:rPr>
        <w:t>指</w:t>
      </w:r>
      <w:r>
        <w:rPr>
          <w:rFonts w:hint="eastAsia" w:ascii="仿宋" w:hAnsi="仿宋" w:eastAsia="仿宋" w:cs="仿宋"/>
          <w:spacing w:val="-1"/>
          <w:sz w:val="32"/>
          <w:szCs w:val="32"/>
          <w:lang w:val="en-US" w:eastAsia="zh-CN"/>
        </w:rPr>
        <w:t>高</w:t>
      </w:r>
    </w:p>
    <w:p>
      <w:pPr>
        <w:spacing w:before="14" w:line="301" w:lineRule="auto"/>
        <w:rPr>
          <w:rFonts w:ascii="仿宋" w:hAnsi="仿宋" w:eastAsia="仿宋" w:cs="仿宋"/>
          <w:spacing w:val="-2"/>
          <w:sz w:val="32"/>
          <w:szCs w:val="32"/>
        </w:rPr>
      </w:pPr>
      <w:r>
        <w:rPr>
          <w:rFonts w:hint="eastAsia" w:ascii="仿宋" w:hAnsi="仿宋" w:eastAsia="仿宋" w:cs="仿宋"/>
          <w:spacing w:val="-1"/>
          <w:sz w:val="32"/>
          <w:szCs w:val="32"/>
          <w:lang w:val="en-US" w:eastAsia="zh-CN"/>
        </w:rPr>
        <w:t>青县交通运输局</w:t>
      </w:r>
      <w:r>
        <w:rPr>
          <w:rFonts w:ascii="仿宋" w:hAnsi="仿宋" w:eastAsia="仿宋" w:cs="仿宋"/>
          <w:spacing w:val="-1"/>
          <w:sz w:val="32"/>
          <w:szCs w:val="32"/>
        </w:rPr>
        <w:t>用于</w:t>
      </w:r>
      <w:r>
        <w:rPr>
          <w:rFonts w:hint="eastAsia" w:ascii="仿宋" w:hAnsi="仿宋" w:eastAsia="仿宋" w:cs="仿宋"/>
          <w:spacing w:val="-1"/>
          <w:sz w:val="32"/>
          <w:szCs w:val="32"/>
          <w:lang w:val="en-US" w:eastAsia="zh-CN"/>
        </w:rPr>
        <w:t>职工</w:t>
      </w:r>
      <w:r>
        <w:rPr>
          <w:rFonts w:ascii="仿宋" w:hAnsi="仿宋" w:eastAsia="仿宋" w:cs="仿宋"/>
          <w:spacing w:val="-2"/>
          <w:sz w:val="32"/>
          <w:szCs w:val="32"/>
        </w:rPr>
        <w:t>基本养老保险缴费业务安排的支出。</w:t>
      </w:r>
    </w:p>
    <w:p>
      <w:pPr>
        <w:spacing w:before="14" w:line="301" w:lineRule="auto"/>
        <w:ind w:left="31" w:firstLine="608"/>
        <w:rPr>
          <w:rFonts w:ascii="仿宋" w:hAnsi="仿宋" w:eastAsia="仿宋" w:cs="仿宋"/>
          <w:sz w:val="32"/>
          <w:szCs w:val="32"/>
        </w:rPr>
      </w:pPr>
      <w:r>
        <w:rPr>
          <w:rFonts w:hint="eastAsia" w:ascii="黑体" w:hAnsi="黑体" w:eastAsia="黑体"/>
          <w:sz w:val="32"/>
          <w:szCs w:val="32"/>
          <w:highlight w:val="none"/>
        </w:rPr>
        <w:t>十</w:t>
      </w:r>
      <w:r>
        <w:rPr>
          <w:rFonts w:hint="eastAsia" w:ascii="黑体" w:hAnsi="黑体" w:eastAsia="黑体"/>
          <w:sz w:val="32"/>
          <w:szCs w:val="32"/>
          <w:highlight w:val="none"/>
          <w:lang w:val="en-US" w:eastAsia="zh-CN"/>
        </w:rPr>
        <w:t>五</w:t>
      </w:r>
      <w:r>
        <w:rPr>
          <w:rFonts w:hint="eastAsia" w:ascii="黑体" w:hAnsi="黑体" w:eastAsia="黑体"/>
          <w:sz w:val="32"/>
          <w:szCs w:val="32"/>
          <w:highlight w:val="none"/>
        </w:rPr>
        <w:t>、卫生健康支出（类）行政事业单位医疗（款）事业单位医疗（项）</w:t>
      </w:r>
      <w:r>
        <w:rPr>
          <w:rFonts w:ascii="仿宋" w:hAnsi="仿宋" w:eastAsia="仿宋" w:cs="仿宋"/>
          <w:spacing w:val="-77"/>
          <w:sz w:val="32"/>
          <w:szCs w:val="32"/>
        </w:rPr>
        <w:t>：</w:t>
      </w:r>
      <w:r>
        <w:rPr>
          <w:rFonts w:ascii="仿宋" w:hAnsi="仿宋" w:eastAsia="仿宋" w:cs="仿宋"/>
          <w:spacing w:val="-2"/>
          <w:sz w:val="32"/>
          <w:szCs w:val="32"/>
        </w:rPr>
        <w:t>指</w:t>
      </w:r>
      <w:r>
        <w:rPr>
          <w:rFonts w:hint="eastAsia" w:ascii="仿宋" w:hAnsi="仿宋" w:eastAsia="仿宋" w:cs="仿宋"/>
          <w:spacing w:val="-1"/>
          <w:sz w:val="32"/>
          <w:szCs w:val="32"/>
          <w:lang w:val="en-US" w:eastAsia="zh-CN"/>
        </w:rPr>
        <w:t>高青县交通运输</w:t>
      </w:r>
      <w:r>
        <w:rPr>
          <w:rFonts w:ascii="仿宋" w:hAnsi="仿宋" w:eastAsia="仿宋" w:cs="仿宋"/>
          <w:spacing w:val="-2"/>
          <w:sz w:val="32"/>
          <w:szCs w:val="32"/>
        </w:rPr>
        <w:t>局用于职工基本医疗保险缴费业务</w:t>
      </w:r>
      <w:r>
        <w:rPr>
          <w:rFonts w:ascii="仿宋" w:hAnsi="仿宋" w:eastAsia="仿宋" w:cs="仿宋"/>
          <w:spacing w:val="-4"/>
          <w:sz w:val="32"/>
          <w:szCs w:val="32"/>
        </w:rPr>
        <w:t>安排的支出。</w:t>
      </w:r>
    </w:p>
    <w:p>
      <w:pPr>
        <w:spacing w:before="272" w:line="301" w:lineRule="auto"/>
        <w:ind w:left="32" w:right="131" w:firstLine="607"/>
        <w:rPr>
          <w:rFonts w:ascii="仿宋" w:hAnsi="仿宋" w:eastAsia="仿宋" w:cs="仿宋"/>
          <w:spacing w:val="-2"/>
          <w:sz w:val="32"/>
          <w:szCs w:val="32"/>
        </w:rPr>
      </w:pPr>
      <w:r>
        <w:rPr>
          <w:rFonts w:hint="eastAsia" w:ascii="黑体" w:hAnsi="黑体" w:eastAsia="黑体"/>
          <w:sz w:val="32"/>
          <w:szCs w:val="32"/>
          <w:highlight w:val="none"/>
        </w:rPr>
        <w:t>十</w:t>
      </w:r>
      <w:r>
        <w:rPr>
          <w:rFonts w:hint="eastAsia" w:ascii="黑体" w:hAnsi="黑体" w:eastAsia="黑体"/>
          <w:sz w:val="32"/>
          <w:szCs w:val="32"/>
          <w:highlight w:val="none"/>
          <w:lang w:val="en-US" w:eastAsia="zh-CN"/>
        </w:rPr>
        <w:t>六</w:t>
      </w:r>
      <w:r>
        <w:rPr>
          <w:rFonts w:hint="eastAsia" w:ascii="黑体" w:hAnsi="黑体" w:eastAsia="黑体"/>
          <w:sz w:val="32"/>
          <w:szCs w:val="32"/>
          <w:highlight w:val="none"/>
        </w:rPr>
        <w:t>、卫生健康支出（类）行政事业单位医疗（款）公务员医疗补助（项）</w:t>
      </w:r>
      <w:r>
        <w:rPr>
          <w:rFonts w:ascii="仿宋" w:hAnsi="仿宋" w:eastAsia="仿宋" w:cs="仿宋"/>
          <w:spacing w:val="-14"/>
          <w:sz w:val="30"/>
          <w:szCs w:val="30"/>
          <w14:textOutline w14:w="5448" w14:cap="sq" w14:cmpd="sng">
            <w14:solidFill>
              <w14:srgbClr w14:val="000000"/>
            </w14:solidFill>
            <w14:prstDash w14:val="solid"/>
            <w14:bevel/>
          </w14:textOutline>
        </w:rPr>
        <w:t>：</w:t>
      </w:r>
      <w:r>
        <w:rPr>
          <w:rFonts w:hint="eastAsia" w:ascii="仿宋" w:hAnsi="仿宋" w:eastAsia="仿宋" w:cs="仿宋"/>
          <w:spacing w:val="-2"/>
          <w:sz w:val="32"/>
          <w:szCs w:val="32"/>
          <w:lang w:val="en-US" w:eastAsia="zh-CN"/>
        </w:rPr>
        <w:t>指高青县交通运输</w:t>
      </w:r>
      <w:r>
        <w:rPr>
          <w:rFonts w:ascii="仿宋" w:hAnsi="仿宋" w:eastAsia="仿宋" w:cs="仿宋"/>
          <w:spacing w:val="-2"/>
          <w:sz w:val="32"/>
          <w:szCs w:val="32"/>
        </w:rPr>
        <w:t>局用于公务员医疗补助缴费业务安排的支出。</w:t>
      </w:r>
    </w:p>
    <w:p>
      <w:pPr>
        <w:spacing w:before="272" w:line="301" w:lineRule="auto"/>
        <w:ind w:left="32" w:right="131" w:firstLine="607"/>
        <w:jc w:val="left"/>
        <w:rPr>
          <w:rFonts w:ascii="仿宋" w:hAnsi="仿宋" w:eastAsia="仿宋" w:cs="仿宋"/>
          <w:sz w:val="32"/>
          <w:szCs w:val="32"/>
        </w:rPr>
      </w:pPr>
      <w:r>
        <w:rPr>
          <w:rFonts w:hint="eastAsia" w:ascii="黑体" w:hAnsi="黑体" w:eastAsia="黑体"/>
          <w:sz w:val="32"/>
          <w:szCs w:val="32"/>
          <w:highlight w:val="none"/>
        </w:rPr>
        <w:t>十</w:t>
      </w: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、住房保障支出（类）住房改革支出（款）住房公积金（项</w:t>
      </w:r>
      <w:r>
        <w:rPr>
          <w:rFonts w:hint="eastAsia" w:ascii="黑体" w:hAnsi="黑体" w:eastAsia="黑体"/>
          <w:sz w:val="32"/>
          <w:szCs w:val="32"/>
          <w:highlight w:val="none"/>
          <w:lang w:eastAsia="zh-CN"/>
        </w:rPr>
        <w:t>）</w:t>
      </w:r>
      <w:r>
        <w:rPr>
          <w:rFonts w:hint="eastAsia" w:ascii="黑体" w:hAnsi="黑体" w:eastAsia="黑体"/>
          <w:sz w:val="32"/>
          <w:szCs w:val="32"/>
          <w:highlight w:val="none"/>
        </w:rPr>
        <w:t>：</w:t>
      </w:r>
      <w:r>
        <w:rPr>
          <w:rFonts w:ascii="仿宋" w:hAnsi="仿宋" w:eastAsia="仿宋" w:cs="仿宋"/>
          <w:spacing w:val="-1"/>
          <w:sz w:val="32"/>
          <w:szCs w:val="32"/>
        </w:rPr>
        <w:t>指</w:t>
      </w:r>
      <w:r>
        <w:rPr>
          <w:rFonts w:hint="eastAsia" w:ascii="仿宋" w:hAnsi="仿宋" w:eastAsia="仿宋" w:cs="仿宋"/>
          <w:spacing w:val="-2"/>
          <w:sz w:val="32"/>
          <w:szCs w:val="32"/>
          <w:lang w:val="en-US" w:eastAsia="zh-CN"/>
        </w:rPr>
        <w:t>高青县交通运输</w:t>
      </w:r>
      <w:r>
        <w:rPr>
          <w:rFonts w:ascii="仿宋" w:hAnsi="仿宋" w:eastAsia="仿宋" w:cs="仿宋"/>
          <w:spacing w:val="-2"/>
          <w:sz w:val="32"/>
          <w:szCs w:val="32"/>
        </w:rPr>
        <w:t>局</w:t>
      </w:r>
      <w:r>
        <w:rPr>
          <w:rFonts w:hint="eastAsia" w:ascii="仿宋" w:hAnsi="仿宋" w:eastAsia="仿宋" w:cs="仿宋"/>
          <w:spacing w:val="-2"/>
          <w:sz w:val="32"/>
          <w:szCs w:val="32"/>
          <w:lang w:val="en-US" w:eastAsia="zh-CN"/>
        </w:rPr>
        <w:t>用于</w:t>
      </w:r>
      <w:r>
        <w:rPr>
          <w:rFonts w:ascii="仿宋" w:hAnsi="仿宋" w:eastAsia="仿宋" w:cs="仿宋"/>
          <w:spacing w:val="-1"/>
          <w:sz w:val="32"/>
          <w:szCs w:val="32"/>
        </w:rPr>
        <w:t>按人力资源和社会保障部、财政部规定</w:t>
      </w:r>
      <w:r>
        <w:rPr>
          <w:rFonts w:ascii="仿宋" w:hAnsi="仿宋" w:eastAsia="仿宋" w:cs="仿宋"/>
          <w:spacing w:val="-3"/>
          <w:sz w:val="32"/>
          <w:szCs w:val="32"/>
        </w:rPr>
        <w:t>的基本工资和津贴补贴以及规定比例为职工缴纳的住房公积金。</w:t>
      </w:r>
    </w:p>
    <w:p>
      <w:pPr>
        <w:spacing w:line="240" w:lineRule="auto"/>
        <w:ind w:left="0" w:right="0" w:firstLine="640" w:firstLineChars="200"/>
        <w:jc w:val="left"/>
        <w:rPr>
          <w:rFonts w:hint="eastAsia" w:ascii="仿宋" w:hAnsi="仿宋" w:eastAsia="仿宋" w:cs="仿宋"/>
          <w:sz w:val="32"/>
          <w:szCs w:val="32"/>
          <w:highlight w:val="none"/>
        </w:rPr>
      </w:pPr>
      <w:r>
        <w:rPr>
          <w:rFonts w:hint="eastAsia" w:ascii="黑体" w:hAnsi="黑体" w:eastAsia="黑体"/>
          <w:sz w:val="32"/>
          <w:szCs w:val="32"/>
          <w:highlight w:val="none"/>
        </w:rPr>
        <w:t>十</w:t>
      </w:r>
      <w:r>
        <w:rPr>
          <w:rFonts w:hint="eastAsia" w:ascii="黑体" w:hAnsi="黑体" w:eastAsia="黑体"/>
          <w:sz w:val="32"/>
          <w:szCs w:val="32"/>
          <w:highlight w:val="none"/>
          <w:lang w:val="en-US" w:eastAsia="zh-CN"/>
        </w:rPr>
        <w:t>八</w:t>
      </w:r>
      <w:r>
        <w:rPr>
          <w:rFonts w:hint="eastAsia" w:ascii="黑体" w:hAnsi="黑体" w:eastAsia="黑体"/>
          <w:sz w:val="32"/>
          <w:szCs w:val="32"/>
          <w:highlight w:val="none"/>
        </w:rPr>
        <w:t>、交通运输支出（类）公路水路运输（款）行政</w:t>
      </w:r>
      <w:r>
        <w:rPr>
          <w:rFonts w:hint="eastAsia" w:ascii="黑体" w:hAnsi="黑体" w:eastAsia="黑体"/>
          <w:sz w:val="32"/>
          <w:szCs w:val="32"/>
          <w:highlight w:val="none"/>
          <w:lang w:val="en-US" w:eastAsia="zh-CN"/>
        </w:rPr>
        <w:t>运行</w:t>
      </w:r>
      <w:r>
        <w:rPr>
          <w:rFonts w:hint="eastAsia" w:ascii="黑体" w:hAnsi="黑体" w:eastAsia="黑体"/>
          <w:sz w:val="32"/>
          <w:szCs w:val="32"/>
          <w:highlight w:val="none"/>
        </w:rPr>
        <w:t>（项）</w:t>
      </w:r>
      <w:r>
        <w:rPr>
          <w:rFonts w:hint="eastAsia" w:ascii="黑体" w:hAnsi="黑体" w:eastAsia="黑体"/>
          <w:sz w:val="32"/>
          <w:szCs w:val="32"/>
          <w:highlight w:val="none"/>
          <w:lang w:eastAsia="zh-CN"/>
        </w:rPr>
        <w:t>：</w:t>
      </w:r>
      <w:r>
        <w:rPr>
          <w:rFonts w:hint="eastAsia" w:ascii="仿宋" w:hAnsi="仿宋" w:eastAsia="仿宋" w:cs="仿宋"/>
          <w:sz w:val="32"/>
          <w:szCs w:val="32"/>
          <w:highlight w:val="none"/>
        </w:rPr>
        <w:t>指</w:t>
      </w:r>
      <w:r>
        <w:rPr>
          <w:rFonts w:hint="eastAsia" w:ascii="仿宋" w:hAnsi="仿宋" w:eastAsia="仿宋" w:cs="仿宋"/>
          <w:spacing w:val="-2"/>
          <w:sz w:val="32"/>
          <w:szCs w:val="32"/>
          <w:highlight w:val="none"/>
          <w:lang w:val="en-US" w:eastAsia="zh-CN"/>
        </w:rPr>
        <w:t>高青县交通运输</w:t>
      </w:r>
      <w:r>
        <w:rPr>
          <w:rFonts w:hint="eastAsia" w:ascii="仿宋" w:hAnsi="仿宋" w:eastAsia="仿宋" w:cs="仿宋"/>
          <w:spacing w:val="-2"/>
          <w:sz w:val="32"/>
          <w:szCs w:val="32"/>
          <w:highlight w:val="none"/>
        </w:rPr>
        <w:t>局</w:t>
      </w:r>
      <w:r>
        <w:rPr>
          <w:rFonts w:hint="eastAsia" w:ascii="仿宋" w:hAnsi="仿宋" w:eastAsia="仿宋" w:cs="仿宋"/>
          <w:sz w:val="32"/>
          <w:szCs w:val="32"/>
          <w:highlight w:val="none"/>
        </w:rPr>
        <w:t>用于保障机构正常运行、开展日常工作的基本支出。</w:t>
      </w:r>
    </w:p>
    <w:p>
      <w:pPr>
        <w:spacing w:before="2" w:line="357" w:lineRule="auto"/>
        <w:ind w:right="46"/>
        <w:rPr>
          <w:rFonts w:ascii="仿宋" w:hAnsi="仿宋" w:eastAsia="仿宋" w:cs="仿宋"/>
          <w:sz w:val="30"/>
          <w:szCs w:val="30"/>
        </w:rPr>
      </w:pPr>
    </w:p>
    <w:sectPr>
      <w:headerReference r:id="rId18" w:type="default"/>
      <w:footerReference r:id="rId19" w:type="default"/>
      <w:pgSz w:w="11906" w:h="16839"/>
      <w:pgMar w:top="1431" w:right="1748" w:bottom="1435" w:left="1785" w:header="0" w:footer="126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小标宋_GBK"/>
    <w:panose1 w:val="02010601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exact"/>
      <w:rPr>
        <w:rFonts w:ascii="宋体" w:hAnsi="宋体" w:eastAsia="宋体" w:cs="宋体"/>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281"/>
      </w:tabs>
      <w:spacing w:line="167" w:lineRule="exact"/>
      <w:ind w:firstLine="3693"/>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23</w:t>
                    </w:r>
                    <w:r>
                      <w:fldChar w:fldCharType="end"/>
                    </w:r>
                  </w:p>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eastAsia="宋体"/>
                        <w:lang w:val="en-US" w:eastAsia="zh-CN"/>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5063"/>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28</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eastAsia="宋体"/>
                        <w:lang w:val="en-US" w:eastAsia="zh-CN"/>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eastAsia="zh-CN"/>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exact"/>
      <w:ind w:firstLine="3900"/>
      <w:rPr>
        <w:rFonts w:ascii="宋体" w:hAnsi="宋体" w:eastAsia="宋体" w:cs="宋体"/>
        <w:sz w:val="24"/>
        <w:szCs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r>
      <w:rPr>
        <w:rFonts w:ascii="宋体" w:hAnsi="宋体" w:eastAsia="宋体" w:cs="宋体"/>
        <w:spacing w:val="10"/>
        <w:position w:val="-3"/>
        <w:sz w:val="24"/>
        <w:szCs w:val="24"/>
      </w:rPr>
      <w:t xml:space="preserve"> </w:t>
    </w:r>
    <w:r>
      <w:rPr>
        <w:rFonts w:ascii="Times New Roman" w:hAnsi="Times New Roman" w:eastAsia="Times New Roman" w:cs="Times New Roman"/>
        <w:spacing w:val="3"/>
        <w:w w:val="101"/>
        <w:position w:val="-3"/>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微软雅黑"/>
        <w:sz w:val="2"/>
      </w:rPr>
    </w:pPr>
    <w:r>
      <w:rPr>
        <w:sz w:val="2"/>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4" w:lineRule="exact"/>
      <w:ind w:firstLine="7345"/>
      <w:rPr>
        <w:rFonts w:ascii="宋体" w:hAnsi="宋体" w:eastAsia="宋体" w:cs="宋体"/>
        <w:sz w:val="24"/>
        <w:szCs w:val="24"/>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r>
      <w:drawing>
        <wp:anchor distT="0" distB="0" distL="0" distR="0" simplePos="0" relativeHeight="251659264" behindDoc="0" locked="0" layoutInCell="0" allowOverlap="1">
          <wp:simplePos x="0" y="0"/>
          <wp:positionH relativeFrom="page">
            <wp:posOffset>3629025</wp:posOffset>
          </wp:positionH>
          <wp:positionV relativeFrom="page">
            <wp:posOffset>1952625</wp:posOffset>
          </wp:positionV>
          <wp:extent cx="6278245" cy="74231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6278244" cy="742315"/>
                  </a:xfrm>
                  <a:prstGeom prst="rect">
                    <a:avLst/>
                  </a:prstGeom>
                </pic:spPr>
              </pic:pic>
            </a:graphicData>
          </a:graphic>
        </wp:anchor>
      </w:drawing>
    </w:r>
    <w:r>
      <w:rPr>
        <w:rFonts w:ascii="宋体" w:hAnsi="宋体" w:eastAsia="宋体" w:cs="宋体"/>
        <w:spacing w:val="10"/>
        <w:position w:val="-3"/>
        <w:sz w:val="24"/>
        <w:szCs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exact"/>
      <w:ind w:firstLine="5978"/>
      <w:rPr>
        <w:rFonts w:ascii="宋体" w:hAnsi="宋体" w:eastAsia="宋体" w:cs="宋体"/>
        <w:sz w:val="24"/>
        <w:szCs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exact"/>
      <w:ind w:firstLine="6832"/>
      <w:rPr>
        <w:rFonts w:hint="default" w:ascii="宋体" w:hAnsi="宋体" w:eastAsia="宋体" w:cs="宋体"/>
        <w:sz w:val="24"/>
        <w:szCs w:val="24"/>
        <w:lang w:val="en-US" w:eastAsia="zh-CN"/>
      </w:rPr>
    </w:pP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r>
      <w:rPr>
        <w:rFonts w:hint="default"/>
        <w:sz w:val="24"/>
        <w:lang w:val="en-US"/>
      </w:rPr>
      <mc:AlternateContent>
        <mc:Choice Requires="wps">
          <w:drawing>
            <wp:anchor distT="0" distB="0" distL="114300" distR="114300" simplePos="0" relativeHeight="251663360" behindDoc="0" locked="0" layoutInCell="1" allowOverlap="1">
              <wp:simplePos x="0" y="0"/>
              <wp:positionH relativeFrom="margin">
                <wp:posOffset>4283710</wp:posOffset>
              </wp:positionH>
              <wp:positionV relativeFrom="paragraph">
                <wp:posOffset>190500</wp:posOffset>
              </wp:positionV>
              <wp:extent cx="76200" cy="7874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76200" cy="78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p>
                          <w:pPr>
                            <w:pStyle w:val="3"/>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37.3pt;margin-top:15pt;height:6.2pt;width:6pt;mso-position-horizontal-relative:margin;z-index:251663360;mso-width-relative:page;mso-height-relative:page;" filled="f" stroked="f" coordsize="21600,21600" o:gfxdata="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T1gXPXAAAACQEAAA8AAAAAAAAAAQAgAAAAIgAAAGRycy9kb3ducmV2&#10;LnhtbFBLAQIUABQAAAAIAIdO4kDST1veNgIAAGEEAAAOAAAAAAAAAAEAIAAAACYBAABkcnMvZTJv&#10;RG9jLnhtbFBLBQYAAAAABgAGAFkBAADOBQAAAAA=&#10;">
              <v:fill on="f" focussize="0,0"/>
              <v:stroke on="f" weight="0.5pt"/>
              <v:imagedata o:title=""/>
              <o:lock v:ext="edit" aspectratio="f"/>
              <v:textbox inset="0mm,0mm,0mm,0mm">
                <w:txbxContent>
                  <w:p>
                    <w:pPr>
                      <w:pStyle w:val="3"/>
                    </w:pPr>
                  </w:p>
                  <w:p>
                    <w:pPr>
                      <w:pStyle w:val="3"/>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exact"/>
      <w:ind w:firstLine="5420"/>
      <w:rPr>
        <w:rFonts w:hint="default" w:ascii="宋体" w:hAnsi="宋体" w:eastAsia="宋体" w:cs="宋体"/>
        <w:sz w:val="24"/>
        <w:szCs w:val="24"/>
        <w:lang w:val="en-US" w:eastAsia="zh-CN"/>
      </w:rPr>
    </w:pPr>
    <w:r>
      <w:rPr>
        <w:sz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exact"/>
      <w:ind w:firstLine="6077"/>
      <w:rPr>
        <w:rFonts w:hint="default" w:ascii="宋体" w:hAnsi="宋体" w:eastAsia="宋体" w:cs="宋体"/>
        <w:sz w:val="24"/>
        <w:szCs w:val="24"/>
        <w:lang w:val="en-US" w:eastAsia="zh-CN"/>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exact"/>
      <w:ind w:firstLine="3693"/>
      <w:rPr>
        <w:rFonts w:hint="default" w:ascii="宋体" w:hAnsi="宋体" w:eastAsia="宋体" w:cs="宋体"/>
        <w:sz w:val="24"/>
        <w:szCs w:val="24"/>
        <w:lang w:val="en-US" w:eastAsia="zh-CN"/>
      </w:rPr>
    </w:pP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16</w:t>
                    </w:r>
                    <w:r>
                      <w:fldChar w:fldCharType="end"/>
                    </w:r>
                  </w:p>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margin">
                <wp:posOffset>2617470</wp:posOffset>
              </wp:positionH>
              <wp:positionV relativeFrom="paragraph">
                <wp:posOffset>-37465</wp:posOffset>
              </wp:positionV>
              <wp:extent cx="399415" cy="24193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399415" cy="241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6.1pt;margin-top:-2.95pt;height:19.05pt;width:31.45pt;mso-position-horizontal-relative:margin;z-index:251669504;mso-width-relative:page;mso-height-relative:page;" filled="f" stroked="f" coordsize="21600,21600" o:gfxdata="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Eu6P9gAAAAJAQAADwAAAAAAAAABACAAAAAiAAAAZHJzL2Rv&#10;d25yZXYueG1sUEsBAhQAFAAAAAgAh07iQGGM8tQ6AgAAYwQAAA4AAAAAAAAAAQAgAAAAJwEAAGRy&#10;cy9lMm9Eb2MueG1sUEsFBgAAAAAGAAYAWQEAANMFAAAAAA==&#10;">
              <v:fill on="f" focussize="0,0"/>
              <v:stroke on="f" weight="0.5pt"/>
              <v:imagedata o:title=""/>
              <o:lock v:ext="edit" aspectratio="f"/>
              <v:textbox inset="0mm,0mm,0mm,0mm">
                <w:txbxContent>
                  <w:p>
                    <w:pPr>
                      <w:rPr>
                        <w:rFonts w:hint="default"/>
                        <w:lang w:val="en-US" w:eastAsia="zh-CN"/>
                      </w:rPr>
                    </w:pP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margin">
                <wp:posOffset>2765425</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75pt;margin-top:0pt;height:144pt;width:144pt;mso-position-horizontal-relative:margin;mso-wrap-style:none;z-index:251667456;mso-width-relative:page;mso-height-relative:page;" filled="f" stroked="f" coordsize="21600,21600" o:gfxdata="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odloDVAAAACAEAAA8AAAAAAAAAAQAgAAAAIgAAAGRycy9kb3ducmV2LnhtbFBL&#10;AQIUABQAAAAIAIdO4kCk+9p2MgIAAGMEAAAOAAAAAAAAAAEAIAAAACQBAABkcnMvZTJvRG9jLnht&#10;bFBLBQYAAAAABgAGAFkBAADIBQAAAAA=&#10;">
              <v:fill on="f" focussize="0,0"/>
              <v:stroke on="f" weight="0.5pt"/>
              <v:imagedata o:title=""/>
              <o:lock v:ext="edit" aspectratio="f"/>
              <v:textbox inset="0mm,0mm,0mm,0mm" style="mso-fit-shape-to-text:t;">
                <w:txbxContent>
                  <w:p>
                    <w:pPr>
                      <w:pStyle w:val="3"/>
                      <w:rPr>
                        <w:rFonts w:hint="default" w:eastAsia="宋体"/>
                        <w:lang w:val="en-US" w:eastAsia="zh-CN"/>
                      </w:rPr>
                    </w:pP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margin">
                <wp:posOffset>2905125</wp:posOffset>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8.75pt;margin-top:0pt;height:144pt;width:144pt;mso-position-horizontal-relative:margin;mso-wrap-style:none;z-index:251668480;mso-width-relative:page;mso-height-relative:page;" filled="f" stroked="f" coordsize="21600,21600" o:gfxdata="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0Kc7PVAAAACAEAAA8AAAAAAAAAAQAgAAAAIgAAAGRycy9kb3ducmV2LnhtbFBL&#10;AQIUABQAAAAIAIdO4kD/W0FrMgIAAGMEAAAOAAAAAAAAAAEAIAAAACQBAABkcnMvZTJvRG9jLnht&#10;bFBLBQYAAAAABgAGAFkBAADIBQAAAAA=&#10;">
              <v:fill on="f" focussize="0,0"/>
              <v:stroke on="f" weight="0.5pt"/>
              <v:imagedata o:title=""/>
              <o:lock v:ext="edit" aspectratio="f"/>
              <v:textbox inset="0mm,0mm,0mm,0mm" style="mso-fit-shape-to-text:t;">
                <w:txbxContent>
                  <w:p>
                    <w:pPr>
                      <w:pStyle w:val="3"/>
                      <w:rPr>
                        <w:rFonts w:hint="default" w:eastAsia="宋体"/>
                        <w:lang w:val="en-US" w:eastAsia="zh-CN"/>
                      </w:rPr>
                    </w:pP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margin">
                <wp:posOffset>2813050</wp:posOffset>
              </wp:positionH>
              <wp:positionV relativeFrom="paragraph">
                <wp:posOffset>9525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5pt;margin-top:0.75pt;height:144pt;width:144pt;mso-position-horizontal-relative:margin;mso-wrap-style:none;z-index:251666432;mso-width-relative:page;mso-height-relative:page;" filled="f" stroked="f" coordsize="21600,21600" o:gfxdata="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2uxXNYAAAAJAQAADwAAAAAAAAABACAAAAAiAAAAZHJzL2Rvd25yZXYueG1s&#10;UEsBAhQAFAAAAAgAh07iQGGthHIzAgAAYwQAAA4AAAAAAAAAAQAgAAAAJQEAAGRycy9lMm9Eb2Mu&#10;eG1sUEsFBgAAAAAGAAYAWQEAAMoFAAAAAA==&#10;">
              <v:fill on="f" focussize="0,0"/>
              <v:stroke on="f" weight="0.5pt"/>
              <v:imagedata o:title=""/>
              <o:lock v:ext="edit" aspectratio="f"/>
              <v:textbox inset="0mm,0mm,0mm,0mm" style="mso-fit-shape-to-text:t;">
                <w:txbxContent>
                  <w:p>
                    <w:pPr>
                      <w:pStyle w:val="3"/>
                      <w:rPr>
                        <w:rFonts w:hint="default" w:eastAsia="宋体"/>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D06DF9"/>
    <w:multiLevelType w:val="multilevel"/>
    <w:tmpl w:val="63D06DF9"/>
    <w:lvl w:ilvl="0" w:tentative="0">
      <w:start w:val="1"/>
      <w:numFmt w:val="none"/>
      <w:lvlText w:val="一、"/>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U5ZTg3ZjM1NGI4YzQ3NGMzMTZiOTJmMDU4OGEyOTMifQ=="/>
  </w:docVars>
  <w:rsids>
    <w:rsidRoot w:val="00000000"/>
    <w:rsid w:val="00AB7A64"/>
    <w:rsid w:val="02BF4D9E"/>
    <w:rsid w:val="0433224A"/>
    <w:rsid w:val="04971097"/>
    <w:rsid w:val="052132CD"/>
    <w:rsid w:val="057F7754"/>
    <w:rsid w:val="082539F8"/>
    <w:rsid w:val="08A92C56"/>
    <w:rsid w:val="0A0976D6"/>
    <w:rsid w:val="0A8511F3"/>
    <w:rsid w:val="0AB17A25"/>
    <w:rsid w:val="0DCE08EE"/>
    <w:rsid w:val="0E8E205F"/>
    <w:rsid w:val="0FF51DD7"/>
    <w:rsid w:val="110E5BD1"/>
    <w:rsid w:val="11741D09"/>
    <w:rsid w:val="11C95381"/>
    <w:rsid w:val="11FB615B"/>
    <w:rsid w:val="12B64DD7"/>
    <w:rsid w:val="134E6759"/>
    <w:rsid w:val="15936855"/>
    <w:rsid w:val="160550C9"/>
    <w:rsid w:val="168B0A0F"/>
    <w:rsid w:val="18944412"/>
    <w:rsid w:val="1CBD54D9"/>
    <w:rsid w:val="1CD81789"/>
    <w:rsid w:val="1D0E66E8"/>
    <w:rsid w:val="1DDB1313"/>
    <w:rsid w:val="1E6257AE"/>
    <w:rsid w:val="1E692A51"/>
    <w:rsid w:val="1F256949"/>
    <w:rsid w:val="1F394904"/>
    <w:rsid w:val="1F8C6C4C"/>
    <w:rsid w:val="203F4CE0"/>
    <w:rsid w:val="20C75D9C"/>
    <w:rsid w:val="21135F28"/>
    <w:rsid w:val="217F5CB8"/>
    <w:rsid w:val="21BB449B"/>
    <w:rsid w:val="21E20569"/>
    <w:rsid w:val="22013579"/>
    <w:rsid w:val="23514CF6"/>
    <w:rsid w:val="23D11B84"/>
    <w:rsid w:val="23F7128D"/>
    <w:rsid w:val="247817C3"/>
    <w:rsid w:val="253F05F7"/>
    <w:rsid w:val="264B1FFF"/>
    <w:rsid w:val="26793695"/>
    <w:rsid w:val="272F6509"/>
    <w:rsid w:val="277255B9"/>
    <w:rsid w:val="293146FB"/>
    <w:rsid w:val="2A8B1472"/>
    <w:rsid w:val="2AF75C96"/>
    <w:rsid w:val="2B7146CD"/>
    <w:rsid w:val="2B956DFA"/>
    <w:rsid w:val="2BF46C74"/>
    <w:rsid w:val="2CE2539B"/>
    <w:rsid w:val="2D9139BA"/>
    <w:rsid w:val="2DBD030B"/>
    <w:rsid w:val="2F5A7DDB"/>
    <w:rsid w:val="2F8C5A7C"/>
    <w:rsid w:val="2F94153F"/>
    <w:rsid w:val="30751945"/>
    <w:rsid w:val="31386FB1"/>
    <w:rsid w:val="32BD6F90"/>
    <w:rsid w:val="34844E94"/>
    <w:rsid w:val="354E03E2"/>
    <w:rsid w:val="35521272"/>
    <w:rsid w:val="35586B6B"/>
    <w:rsid w:val="35F72828"/>
    <w:rsid w:val="36274A13"/>
    <w:rsid w:val="390414E4"/>
    <w:rsid w:val="394924A4"/>
    <w:rsid w:val="39AE31FE"/>
    <w:rsid w:val="3AB94B15"/>
    <w:rsid w:val="3B283FEC"/>
    <w:rsid w:val="3B2A0FAA"/>
    <w:rsid w:val="3B5B73B5"/>
    <w:rsid w:val="3CBE5AE4"/>
    <w:rsid w:val="3DAD4C3F"/>
    <w:rsid w:val="3F3E6DD2"/>
    <w:rsid w:val="40232F22"/>
    <w:rsid w:val="40473DBC"/>
    <w:rsid w:val="413B2D97"/>
    <w:rsid w:val="417967E7"/>
    <w:rsid w:val="41F52311"/>
    <w:rsid w:val="420F4022"/>
    <w:rsid w:val="425A621B"/>
    <w:rsid w:val="43032A2B"/>
    <w:rsid w:val="440A1978"/>
    <w:rsid w:val="45246F22"/>
    <w:rsid w:val="47655A72"/>
    <w:rsid w:val="48B84721"/>
    <w:rsid w:val="493D129C"/>
    <w:rsid w:val="49B93C25"/>
    <w:rsid w:val="4A276D26"/>
    <w:rsid w:val="4AFF39A7"/>
    <w:rsid w:val="4B2257F9"/>
    <w:rsid w:val="4C272AB6"/>
    <w:rsid w:val="4CA706AC"/>
    <w:rsid w:val="4E364281"/>
    <w:rsid w:val="4E5B0029"/>
    <w:rsid w:val="4E9051F3"/>
    <w:rsid w:val="4EA330F5"/>
    <w:rsid w:val="4ED82DC8"/>
    <w:rsid w:val="4F343D4D"/>
    <w:rsid w:val="4F660F12"/>
    <w:rsid w:val="50A3113A"/>
    <w:rsid w:val="512F46C7"/>
    <w:rsid w:val="51C615D4"/>
    <w:rsid w:val="52B00B89"/>
    <w:rsid w:val="53A40E0E"/>
    <w:rsid w:val="54617393"/>
    <w:rsid w:val="5472078A"/>
    <w:rsid w:val="54DA32B6"/>
    <w:rsid w:val="55683FFB"/>
    <w:rsid w:val="55AB1785"/>
    <w:rsid w:val="56796AED"/>
    <w:rsid w:val="56B201C6"/>
    <w:rsid w:val="56D73913"/>
    <w:rsid w:val="572B52CB"/>
    <w:rsid w:val="57DD24F9"/>
    <w:rsid w:val="583B614D"/>
    <w:rsid w:val="58533496"/>
    <w:rsid w:val="585D67FF"/>
    <w:rsid w:val="592F728C"/>
    <w:rsid w:val="59596610"/>
    <w:rsid w:val="59F754D4"/>
    <w:rsid w:val="59FE3A1C"/>
    <w:rsid w:val="5B55190F"/>
    <w:rsid w:val="5BBC1F62"/>
    <w:rsid w:val="5C163158"/>
    <w:rsid w:val="5CB7185D"/>
    <w:rsid w:val="5E0975A7"/>
    <w:rsid w:val="5E100D30"/>
    <w:rsid w:val="5E3345B8"/>
    <w:rsid w:val="604D1159"/>
    <w:rsid w:val="6260414F"/>
    <w:rsid w:val="6562566F"/>
    <w:rsid w:val="66262B41"/>
    <w:rsid w:val="663A3119"/>
    <w:rsid w:val="66A222B9"/>
    <w:rsid w:val="66FB2251"/>
    <w:rsid w:val="680B5B3B"/>
    <w:rsid w:val="69574D0D"/>
    <w:rsid w:val="69D65CD5"/>
    <w:rsid w:val="69F4646A"/>
    <w:rsid w:val="6A8D6CDC"/>
    <w:rsid w:val="6AEA5EDC"/>
    <w:rsid w:val="6C143DE1"/>
    <w:rsid w:val="6C991968"/>
    <w:rsid w:val="6CBF4A63"/>
    <w:rsid w:val="6D63353E"/>
    <w:rsid w:val="6FDE741A"/>
    <w:rsid w:val="70AE3223"/>
    <w:rsid w:val="70F62C32"/>
    <w:rsid w:val="71815AC9"/>
    <w:rsid w:val="71D84B40"/>
    <w:rsid w:val="7455597C"/>
    <w:rsid w:val="74836920"/>
    <w:rsid w:val="74AC7186"/>
    <w:rsid w:val="74FA6D1C"/>
    <w:rsid w:val="75BF3E29"/>
    <w:rsid w:val="76191423"/>
    <w:rsid w:val="76733B4F"/>
    <w:rsid w:val="76D872FF"/>
    <w:rsid w:val="77667371"/>
    <w:rsid w:val="77753BCB"/>
    <w:rsid w:val="77C720FB"/>
    <w:rsid w:val="78A83DBD"/>
    <w:rsid w:val="7AD7296F"/>
    <w:rsid w:val="7B3D17F2"/>
    <w:rsid w:val="7BDC361F"/>
    <w:rsid w:val="7C1475DC"/>
    <w:rsid w:val="7E0F753F"/>
    <w:rsid w:val="7E6107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chart" Target="charts/chart5.xml"/><Relationship Id="rId26" Type="http://schemas.openxmlformats.org/officeDocument/2006/relationships/image" Target="media/image2.emf"/><Relationship Id="rId25" Type="http://schemas.openxmlformats.org/officeDocument/2006/relationships/oleObject" Target="embeddings/oleObject1.bin"/><Relationship Id="rId24" Type="http://schemas.openxmlformats.org/officeDocument/2006/relationships/chart" Target="charts/chart4.xml"/><Relationship Id="rId23" Type="http://schemas.openxmlformats.org/officeDocument/2006/relationships/chart" Target="charts/chart3.xml"/><Relationship Id="rId22" Type="http://schemas.openxmlformats.org/officeDocument/2006/relationships/chart" Target="charts/chart2.xml"/><Relationship Id="rId21" Type="http://schemas.openxmlformats.org/officeDocument/2006/relationships/chart" Target="charts/chart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3.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sz="1600" b="0">
                <a:solidFill>
                  <a:sysClr val="windowText" lastClr="000000"/>
                </a:solidFill>
                <a:latin typeface="仿宋" panose="02010609060101010101" charset="-122"/>
                <a:ea typeface="仿宋" panose="02010609060101010101" charset="-122"/>
                <a:cs typeface="仿宋" panose="02010609060101010101" charset="-122"/>
              </a:rPr>
              <a:t>图</a:t>
            </a:r>
            <a:r>
              <a:rPr lang="en-US" altLang="zh-CN" sz="1600" b="0">
                <a:solidFill>
                  <a:sysClr val="windowText" lastClr="000000"/>
                </a:solidFill>
                <a:latin typeface="仿宋" panose="02010609060101010101" charset="-122"/>
                <a:ea typeface="仿宋" panose="02010609060101010101" charset="-122"/>
                <a:cs typeface="仿宋" panose="02010609060101010101" charset="-122"/>
              </a:rPr>
              <a:t>1</a:t>
            </a:r>
            <a:r>
              <a:rPr altLang="en-US" sz="1600" b="0">
                <a:solidFill>
                  <a:sysClr val="windowText" lastClr="000000"/>
                </a:solidFill>
                <a:latin typeface="仿宋" panose="02010609060101010101" charset="-122"/>
                <a:ea typeface="仿宋" panose="02010609060101010101" charset="-122"/>
                <a:cs typeface="仿宋" panose="02010609060101010101" charset="-122"/>
              </a:rPr>
              <a:t>：</a:t>
            </a:r>
            <a:r>
              <a:rPr sz="1600" b="0">
                <a:solidFill>
                  <a:sysClr val="windowText" lastClr="000000"/>
                </a:solidFill>
                <a:latin typeface="仿宋" panose="02010609060101010101" charset="-122"/>
                <a:ea typeface="仿宋" panose="02010609060101010101" charset="-122"/>
                <a:cs typeface="仿宋" panose="02010609060101010101" charset="-122"/>
              </a:rPr>
              <a:t>收入预算构成情况</a:t>
            </a:r>
            <a:r>
              <a:rPr lang="en-US" altLang="zh-CN" sz="1600" b="0">
                <a:solidFill>
                  <a:sysClr val="windowText" lastClr="000000"/>
                </a:solidFill>
                <a:latin typeface="仿宋" panose="02010609060101010101" charset="-122"/>
                <a:ea typeface="仿宋" panose="02010609060101010101" charset="-122"/>
                <a:cs typeface="仿宋" panose="02010609060101010101" charset="-122"/>
              </a:rPr>
              <a:t>  </a:t>
            </a:r>
            <a:r>
              <a:rPr sz="1600" b="0">
                <a:solidFill>
                  <a:sysClr val="windowText" lastClr="000000"/>
                </a:solidFill>
                <a:latin typeface="仿宋" panose="02010609060101010101" charset="-122"/>
                <a:ea typeface="仿宋" panose="02010609060101010101" charset="-122"/>
                <a:cs typeface="仿宋" panose="02010609060101010101" charset="-122"/>
              </a:rPr>
              <a:t>单位：万元</a:t>
            </a:r>
            <a:endParaRPr sz="1600" b="0">
              <a:solidFill>
                <a:sysClr val="windowText" lastClr="000000"/>
              </a:solidFill>
              <a:latin typeface="仿宋" panose="02010609060101010101" charset="-122"/>
              <a:ea typeface="仿宋" panose="02010609060101010101" charset="-122"/>
              <a:cs typeface="仿宋" panose="02010609060101010101" charset="-122"/>
            </a:endParaRPr>
          </a:p>
        </c:rich>
      </c:tx>
      <c:layout>
        <c:manualLayout>
          <c:xMode val="edge"/>
          <c:yMode val="edge"/>
          <c:x val="0.144942342073898"/>
          <c:y val="0.0289946032380572"/>
        </c:manualLayout>
      </c:layout>
      <c:overlay val="0"/>
      <c:spPr>
        <a:noFill/>
        <a:ln>
          <a:noFill/>
        </a:ln>
        <a:effectLst/>
      </c:spPr>
    </c:title>
    <c:autoTitleDeleted val="0"/>
    <c:plotArea>
      <c:layout/>
      <c:pieChart>
        <c:varyColors val="1"/>
        <c:ser>
          <c:idx val="0"/>
          <c:order val="0"/>
          <c:tx>
            <c:strRef>
              <c:f>Sheet1!$B$1</c:f>
              <c:strCache>
                <c:ptCount val="1"/>
                <c:pt idx="0">
                  <c:v>收支项目构成情况</c:v>
                </c:pt>
              </c:strCache>
            </c:strRef>
          </c:tx>
          <c:spPr>
            <a:solidFill>
              <a:schemeClr val="accent2"/>
            </a:solidFill>
          </c:spPr>
          <c:explosion val="0"/>
          <c:dPt>
            <c:idx val="0"/>
            <c:bubble3D val="0"/>
            <c:spPr>
              <a:solidFill>
                <a:schemeClr val="accent2"/>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2"/>
              </a:solidFill>
              <a:ln w="19050">
                <a:solidFill>
                  <a:schemeClr val="lt1"/>
                </a:solidFill>
              </a:ln>
              <a:effectLst/>
            </c:spPr>
          </c:dPt>
          <c:dPt>
            <c:idx val="3"/>
            <c:bubble3D val="0"/>
            <c:spPr>
              <a:solidFill>
                <a:schemeClr val="accent2"/>
              </a:solidFill>
              <a:ln w="19050">
                <a:solidFill>
                  <a:schemeClr val="lt1"/>
                </a:solidFill>
              </a:ln>
              <a:effectLst/>
            </c:spPr>
          </c:dPt>
          <c:dLbls>
            <c:dLbl>
              <c:idx val="0"/>
              <c:layout>
                <c:manualLayout>
                  <c:x val="0.23241863245705"/>
                  <c:y val="-0.040730404888142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050" b="1">
                        <a:latin typeface="楷体" panose="02010609060101010101" charset="-122"/>
                        <a:ea typeface="楷体" panose="02010609060101010101" charset="-122"/>
                        <a:cs typeface="楷体" panose="02010609060101010101" charset="-122"/>
                      </a:rPr>
                      <a:t>1422.43，</a:t>
                    </a:r>
                    <a:r>
                      <a:rPr lang="en-US" altLang="zh-CN" sz="1050" b="1">
                        <a:latin typeface="楷体" panose="02010609060101010101" charset="-122"/>
                        <a:ea typeface="楷体" panose="02010609060101010101" charset="-122"/>
                        <a:cs typeface="楷体" panose="02010609060101010101" charset="-122"/>
                      </a:rPr>
                      <a:t>100%</a:t>
                    </a:r>
                    <a:endParaRPr lang="en-US" altLang="zh-CN" sz="1050" b="1">
                      <a:latin typeface="楷体" panose="02010609060101010101" charset="-122"/>
                      <a:ea typeface="楷体" panose="02010609060101010101" charset="-122"/>
                      <a:cs typeface="楷体" panose="02010609060101010101" charset="-122"/>
                    </a:endParaRPr>
                  </a:p>
                </c:rich>
              </c:tx>
              <c:numFmt formatCode="General" sourceLinked="1"/>
              <c:spPr>
                <a:noFill/>
                <a:ln w="12700" cmpd="sng">
                  <a:noFill/>
                  <a:prstDash val="solid"/>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w="12700" cmpd="sng">
                <a:solidFill>
                  <a:schemeClr val="accent1"/>
                </a:solidFill>
                <a:prstDash val="solid"/>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财政拨款</c:v>
                </c:pt>
              </c:strCache>
            </c:strRef>
          </c:cat>
          <c:val>
            <c:numRef>
              <c:f>Sheet1!$B$2:$B$5</c:f>
              <c:numCache>
                <c:formatCode>General</c:formatCode>
                <c:ptCount val="4"/>
                <c:pt idx="0">
                  <c:v>1422.43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a:solidFill>
                  <a:sysClr val="windowText" lastClr="000000"/>
                </a:solidFill>
                <a:latin typeface="仿宋" panose="02010609060101010101" charset="-122"/>
                <a:ea typeface="仿宋" panose="02010609060101010101" charset="-122"/>
                <a:cs typeface="仿宋" panose="02010609060101010101" charset="-122"/>
              </a:rPr>
              <a:t>图</a:t>
            </a:r>
            <a:r>
              <a:rPr lang="en-US" altLang="zh-CN" sz="1600">
                <a:solidFill>
                  <a:sysClr val="windowText" lastClr="000000"/>
                </a:solidFill>
                <a:latin typeface="仿宋" panose="02010609060101010101" charset="-122"/>
                <a:ea typeface="仿宋" panose="02010609060101010101" charset="-122"/>
                <a:cs typeface="仿宋" panose="02010609060101010101" charset="-122"/>
              </a:rPr>
              <a:t>2</a:t>
            </a:r>
            <a:r>
              <a:rPr altLang="en-US" sz="1600">
                <a:solidFill>
                  <a:sysClr val="windowText" lastClr="000000"/>
                </a:solidFill>
                <a:latin typeface="仿宋" panose="02010609060101010101" charset="-122"/>
                <a:ea typeface="仿宋" panose="02010609060101010101" charset="-122"/>
                <a:cs typeface="仿宋" panose="02010609060101010101" charset="-122"/>
              </a:rPr>
              <a:t>：支出预算构成</a:t>
            </a:r>
            <a:r>
              <a:rPr sz="1600">
                <a:solidFill>
                  <a:sysClr val="windowText" lastClr="000000"/>
                </a:solidFill>
                <a:latin typeface="仿宋" panose="02010609060101010101" charset="-122"/>
                <a:ea typeface="仿宋" panose="02010609060101010101" charset="-122"/>
                <a:cs typeface="仿宋" panose="02010609060101010101" charset="-122"/>
              </a:rPr>
              <a:t>情况</a:t>
            </a:r>
            <a:r>
              <a:rPr lang="en-US" altLang="zh-CN" sz="1600">
                <a:solidFill>
                  <a:sysClr val="windowText" lastClr="000000"/>
                </a:solidFill>
                <a:latin typeface="仿宋" panose="02010609060101010101" charset="-122"/>
                <a:ea typeface="仿宋" panose="02010609060101010101" charset="-122"/>
                <a:cs typeface="仿宋" panose="02010609060101010101" charset="-122"/>
              </a:rPr>
              <a:t>    </a:t>
            </a:r>
            <a:r>
              <a:rPr sz="1600">
                <a:solidFill>
                  <a:sysClr val="windowText" lastClr="000000"/>
                </a:solidFill>
                <a:latin typeface="仿宋" panose="02010609060101010101" charset="-122"/>
                <a:ea typeface="仿宋" panose="02010609060101010101" charset="-122"/>
                <a:cs typeface="仿宋" panose="02010609060101010101" charset="-122"/>
              </a:rPr>
              <a:t>单位：万元</a:t>
            </a:r>
            <a:endParaRPr sz="1600">
              <a:solidFill>
                <a:sysClr val="windowText" lastClr="000000"/>
              </a:solidFill>
              <a:latin typeface="仿宋" panose="02010609060101010101" charset="-122"/>
              <a:ea typeface="仿宋" panose="02010609060101010101" charset="-122"/>
              <a:cs typeface="仿宋" panose="02010609060101010101" charset="-122"/>
            </a:endParaRPr>
          </a:p>
        </c:rich>
      </c:tx>
      <c:layout>
        <c:manualLayout>
          <c:xMode val="edge"/>
          <c:yMode val="edge"/>
          <c:x val="0.251866482367005"/>
          <c:y val="0.02"/>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a:solidFill>
              <a:schemeClr val="accent1"/>
            </a:solidFill>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1"/>
              </a:solidFill>
              <a:ln w="19050">
                <a:solidFill>
                  <a:schemeClr val="lt1"/>
                </a:solidFill>
              </a:ln>
              <a:effectLst/>
            </c:spPr>
          </c:dPt>
          <c:dPt>
            <c:idx val="3"/>
            <c:bubble3D val="0"/>
            <c:spPr>
              <a:solidFill>
                <a:schemeClr val="accent1"/>
              </a:solidFill>
              <a:ln w="19050">
                <a:solidFill>
                  <a:schemeClr val="lt1"/>
                </a:solidFill>
              </a:ln>
              <a:effectLst/>
            </c:spPr>
          </c:dPt>
          <c:dLbls>
            <c:dLbl>
              <c:idx val="0"/>
              <c:layout>
                <c:manualLayout>
                  <c:x val="0.0813202525409189"/>
                  <c:y val="0.0040046485251006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1050" b="1">
                        <a:latin typeface="楷体" panose="02010609060101010101" charset="-122"/>
                        <a:ea typeface="楷体" panose="02010609060101010101" charset="-122"/>
                        <a:cs typeface="楷体" panose="02010609060101010101" charset="-122"/>
                      </a:rPr>
                      <a:t>1377.43</a:t>
                    </a:r>
                    <a:r>
                      <a:rPr altLang="en-US" sz="1050" b="1">
                        <a:latin typeface="楷体" panose="02010609060101010101" charset="-122"/>
                        <a:ea typeface="楷体" panose="02010609060101010101" charset="-122"/>
                        <a:cs typeface="楷体" panose="02010609060101010101" charset="-122"/>
                      </a:rPr>
                      <a:t>、</a:t>
                    </a:r>
                    <a:r>
                      <a:rPr lang="en-US" altLang="zh-CN" sz="1050" b="1">
                        <a:latin typeface="楷体" panose="02010609060101010101" charset="-122"/>
                        <a:ea typeface="楷体" panose="02010609060101010101" charset="-122"/>
                        <a:cs typeface="楷体" panose="02010609060101010101" charset="-122"/>
                      </a:rPr>
                      <a:t> 96.84%</a:t>
                    </a:r>
                    <a:endParaRPr sz="1050" b="1">
                      <a:latin typeface="楷体" panose="02010609060101010101" charset="-122"/>
                      <a:ea typeface="楷体" panose="02010609060101010101" charset="-122"/>
                      <a:cs typeface="楷体" panose="02010609060101010101" charset="-122"/>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29831045406547"/>
                      <c:h val="0.121142330723169"/>
                    </c:manualLayout>
                  </c15:layout>
                </c:ext>
              </c:extLst>
            </c:dLbl>
            <c:dLbl>
              <c:idx val="1"/>
              <c:layout>
                <c:manualLayout>
                  <c:x val="0.0216506577593162"/>
                  <c:y val="-0.10131616660327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1050" b="1">
                        <a:latin typeface="楷体" panose="02010609060101010101" charset="-122"/>
                        <a:ea typeface="楷体" panose="02010609060101010101" charset="-122"/>
                        <a:cs typeface="楷体" panose="02010609060101010101" charset="-122"/>
                      </a:rPr>
                      <a:t>45.00</a:t>
                    </a:r>
                    <a:r>
                      <a:rPr altLang="en-US" sz="1050" b="1">
                        <a:latin typeface="楷体" panose="02010609060101010101" charset="-122"/>
                        <a:ea typeface="楷体" panose="02010609060101010101" charset="-122"/>
                        <a:cs typeface="楷体" panose="02010609060101010101" charset="-122"/>
                      </a:rPr>
                      <a:t>、</a:t>
                    </a:r>
                    <a:r>
                      <a:rPr lang="en-US" altLang="zh-CN" sz="1050" b="1">
                        <a:latin typeface="楷体" panose="02010609060101010101" charset="-122"/>
                        <a:ea typeface="楷体" panose="02010609060101010101" charset="-122"/>
                        <a:cs typeface="楷体" panose="02010609060101010101" charset="-122"/>
                      </a:rPr>
                      <a:t>3.16</a:t>
                    </a:r>
                    <a:r>
                      <a:rPr sz="1050" b="1">
                        <a:latin typeface="楷体" panose="02010609060101010101" charset="-122"/>
                        <a:ea typeface="楷体" panose="02010609060101010101" charset="-122"/>
                        <a:cs typeface="楷体" panose="02010609060101010101" charset="-122"/>
                      </a:rPr>
                      <a:t>%</a:t>
                    </a:r>
                    <a:endParaRPr sz="1050" b="1">
                      <a:latin typeface="楷体" panose="02010609060101010101" charset="-122"/>
                      <a:ea typeface="楷体" panose="02010609060101010101" charset="-122"/>
                      <a:cs typeface="楷体" panose="02010609060101010101" charset="-122"/>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271118484722798"/>
                      <c:h val="0.054524135235489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8.2</c:v>
                </c:pt>
                <c:pt idx="1">
                  <c:v>3.2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r>
              <a:rPr sz="1600" b="0">
                <a:solidFill>
                  <a:sysClr val="windowText" lastClr="000000"/>
                </a:solidFill>
                <a:latin typeface="仿宋" panose="02010609060101010101" charset="-122"/>
                <a:ea typeface="仿宋" panose="02010609060101010101" charset="-122"/>
                <a:cs typeface="仿宋" panose="02010609060101010101" charset="-122"/>
              </a:rPr>
              <a:t>图</a:t>
            </a:r>
            <a:r>
              <a:rPr lang="en-US" altLang="zh-CN" sz="1600" b="0">
                <a:solidFill>
                  <a:sysClr val="windowText" lastClr="000000"/>
                </a:solidFill>
                <a:latin typeface="仿宋" panose="02010609060101010101" charset="-122"/>
                <a:ea typeface="仿宋" panose="02010609060101010101" charset="-122"/>
                <a:cs typeface="仿宋" panose="02010609060101010101" charset="-122"/>
              </a:rPr>
              <a:t>3</a:t>
            </a:r>
            <a:r>
              <a:rPr sz="1600" b="0">
                <a:solidFill>
                  <a:sysClr val="windowText" lastClr="000000"/>
                </a:solidFill>
                <a:latin typeface="仿宋" panose="02010609060101010101" charset="-122"/>
                <a:ea typeface="仿宋" panose="02010609060101010101" charset="-122"/>
                <a:cs typeface="仿宋" panose="02010609060101010101" charset="-122"/>
              </a:rPr>
              <a:t>：财政拨款收入预算构成情况 </a:t>
            </a:r>
            <a:endParaRPr sz="1600" b="0">
              <a:solidFill>
                <a:sysClr val="windowText" lastClr="000000"/>
              </a:solidFill>
              <a:latin typeface="仿宋" panose="02010609060101010101" charset="-122"/>
              <a:ea typeface="仿宋" panose="02010609060101010101" charset="-122"/>
              <a:cs typeface="仿宋" panose="02010609060101010101" charset="-122"/>
            </a:endParaRPr>
          </a:p>
          <a:p>
            <a:pPr defTabSz="914400">
              <a:defRPr lang="zh-CN" sz="1800" b="1" i="0" u="none" strike="noStrike" kern="1200" cap="all" spc="150" baseline="0">
                <a:solidFill>
                  <a:schemeClr val="tx1">
                    <a:lumMod val="50000"/>
                    <a:lumOff val="50000"/>
                  </a:schemeClr>
                </a:solidFill>
                <a:latin typeface="+mn-lt"/>
                <a:ea typeface="+mn-ea"/>
                <a:cs typeface="+mn-cs"/>
              </a:defRPr>
            </a:pPr>
            <a:r>
              <a:rPr sz="1600" b="0">
                <a:solidFill>
                  <a:sysClr val="windowText" lastClr="000000"/>
                </a:solidFill>
                <a:latin typeface="仿宋" panose="02010609060101010101" charset="-122"/>
                <a:ea typeface="仿宋" panose="02010609060101010101" charset="-122"/>
                <a:cs typeface="仿宋" panose="02010609060101010101" charset="-122"/>
              </a:rPr>
              <a:t> 单位：万元</a:t>
            </a:r>
            <a:endParaRPr sz="1600" b="0">
              <a:solidFill>
                <a:sysClr val="windowText" lastClr="000000"/>
              </a:solidFill>
              <a:latin typeface="仿宋" panose="02010609060101010101" charset="-122"/>
              <a:ea typeface="仿宋" panose="02010609060101010101" charset="-122"/>
              <a:cs typeface="仿宋" panose="02010609060101010101" charset="-122"/>
            </a:endParaRPr>
          </a:p>
        </c:rich>
      </c:tx>
      <c:layout>
        <c:manualLayout>
          <c:xMode val="edge"/>
          <c:yMode val="edge"/>
          <c:x val="0.228375"/>
          <c:y val="0.02"/>
        </c:manualLayout>
      </c:layout>
      <c:overlay val="0"/>
      <c:spPr>
        <a:noFill/>
        <a:ln>
          <a:noFill/>
        </a:ln>
        <a:effectLst/>
      </c:spPr>
    </c:title>
    <c:autoTitleDeleted val="0"/>
    <c:plotArea>
      <c:layout/>
      <c:pieChart>
        <c:varyColors val="1"/>
        <c:ser>
          <c:idx val="0"/>
          <c:order val="0"/>
          <c:tx>
            <c:strRef>
              <c:f>Sheet1!$B$1</c:f>
              <c:strCache>
                <c:ptCount val="1"/>
                <c:pt idx="0">
                  <c:v>财政拨款收入预算</c:v>
                </c:pt>
              </c:strCache>
            </c:strRef>
          </c:tx>
          <c:spPr>
            <a:solidFill>
              <a:schemeClr val="accent1"/>
            </a:solidFill>
          </c:spPr>
          <c:explosion val="0"/>
          <c:dPt>
            <c:idx val="0"/>
            <c:bubble3D val="0"/>
            <c:spPr>
              <a:solidFill>
                <a:schemeClr val="accent1"/>
              </a:solidFill>
              <a:ln w="19050">
                <a:solidFill>
                  <a:schemeClr val="lt1"/>
                </a:solidFill>
              </a:ln>
              <a:effectLst>
                <a:innerShdw blurRad="114300">
                  <a:schemeClr val="accent1"/>
                </a:innerShdw>
              </a:effectLst>
            </c:spPr>
          </c:dPt>
          <c:dPt>
            <c:idx val="1"/>
            <c:bubble3D val="0"/>
            <c:spPr>
              <a:solidFill>
                <a:schemeClr val="accent1"/>
              </a:solidFill>
              <a:ln w="19050">
                <a:solidFill>
                  <a:schemeClr val="lt1"/>
                </a:solidFill>
              </a:ln>
              <a:effectLst>
                <a:innerShdw blurRad="114300">
                  <a:schemeClr val="accent2"/>
                </a:innerShdw>
              </a:effectLst>
            </c:spPr>
          </c:dPt>
          <c:dPt>
            <c:idx val="2"/>
            <c:bubble3D val="0"/>
            <c:spPr>
              <a:solidFill>
                <a:schemeClr val="accent1"/>
              </a:solidFill>
              <a:ln w="19050">
                <a:solidFill>
                  <a:schemeClr val="lt1"/>
                </a:solidFill>
              </a:ln>
              <a:effectLst>
                <a:innerShdw blurRad="114300">
                  <a:schemeClr val="accent3"/>
                </a:innerShdw>
              </a:effectLst>
            </c:spPr>
          </c:dPt>
          <c:dPt>
            <c:idx val="3"/>
            <c:bubble3D val="0"/>
            <c:spPr>
              <a:solidFill>
                <a:schemeClr val="accent1"/>
              </a:solidFill>
              <a:ln w="19050">
                <a:solidFill>
                  <a:schemeClr val="lt1"/>
                </a:solidFill>
              </a:ln>
              <a:effectLst>
                <a:innerShdw blurRad="114300">
                  <a:schemeClr val="accent4"/>
                </a:innerShdw>
              </a:effectLst>
            </c:spPr>
          </c:dPt>
          <c:dLbls>
            <c:dLbl>
              <c:idx val="0"/>
              <c:layout>
                <c:manualLayout>
                  <c:x val="0.308675365206946"/>
                  <c:y val="-0.017621098942536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050" b="1">
                        <a:latin typeface="楷体" panose="02010609060101010101" charset="-122"/>
                        <a:ea typeface="楷体" panose="02010609060101010101" charset="-122"/>
                        <a:cs typeface="楷体" panose="02010609060101010101" charset="-122"/>
                      </a:rPr>
                      <a:t>1422.43、100%</a:t>
                    </a:r>
                    <a:endParaRPr sz="1050" b="1">
                      <a:latin typeface="楷体" panose="02010609060101010101" charset="-122"/>
                      <a:ea typeface="楷体" panose="02010609060101010101" charset="-122"/>
                      <a:cs typeface="楷体" panose="02010609060101010101" charset="-122"/>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315906562847608"/>
                      <c:h val="0.10833503993446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Sheet1!$A$2:$A$5</c:f>
              <c:strCache>
                <c:ptCount val="4"/>
                <c:pt idx="0">
                  <c:v>一般公共预算</c:v>
                </c:pt>
              </c:strCache>
            </c:strRef>
          </c:cat>
          <c:val>
            <c:numRef>
              <c:f>Sheet1!$B$2:$B$5</c:f>
              <c:numCache>
                <c:formatCode>General</c:formatCode>
                <c:ptCount val="4"/>
                <c:pt idx="0">
                  <c:v>1422.43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1"/>
        <c:delete val="1"/>
      </c:legendEntry>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a:solidFill>
                  <a:sysClr val="windowText" lastClr="000000"/>
                </a:solidFill>
                <a:latin typeface="仿宋" panose="02010609060101010101" charset="-122"/>
                <a:ea typeface="仿宋" panose="02010609060101010101" charset="-122"/>
                <a:cs typeface="仿宋" panose="02010609060101010101" charset="-122"/>
              </a:rPr>
              <a:t>图</a:t>
            </a:r>
            <a:r>
              <a:rPr lang="en-US" altLang="zh-CN" sz="1600">
                <a:solidFill>
                  <a:sysClr val="windowText" lastClr="000000"/>
                </a:solidFill>
                <a:latin typeface="仿宋" panose="02010609060101010101" charset="-122"/>
                <a:ea typeface="仿宋" panose="02010609060101010101" charset="-122"/>
                <a:cs typeface="仿宋" panose="02010609060101010101" charset="-122"/>
              </a:rPr>
              <a:t>4</a:t>
            </a:r>
            <a:r>
              <a:rPr altLang="en-US" sz="1600">
                <a:solidFill>
                  <a:sysClr val="windowText" lastClr="000000"/>
                </a:solidFill>
                <a:latin typeface="仿宋" panose="02010609060101010101" charset="-122"/>
                <a:ea typeface="仿宋" panose="02010609060101010101" charset="-122"/>
                <a:cs typeface="仿宋" panose="02010609060101010101" charset="-122"/>
              </a:rPr>
              <a:t>：</a:t>
            </a:r>
            <a:r>
              <a:rPr sz="1600">
                <a:solidFill>
                  <a:sysClr val="windowText" lastClr="000000"/>
                </a:solidFill>
                <a:latin typeface="仿宋" panose="02010609060101010101" charset="-122"/>
                <a:ea typeface="仿宋" panose="02010609060101010101" charset="-122"/>
                <a:cs typeface="仿宋" panose="02010609060101010101" charset="-122"/>
              </a:rPr>
              <a:t>财政拨款支出预算构成情况</a:t>
            </a:r>
            <a:r>
              <a:rPr lang="en-US" altLang="zh-CN" sz="1600">
                <a:solidFill>
                  <a:sysClr val="windowText" lastClr="000000"/>
                </a:solidFill>
                <a:latin typeface="仿宋" panose="02010609060101010101" charset="-122"/>
                <a:ea typeface="仿宋" panose="02010609060101010101" charset="-122"/>
                <a:cs typeface="仿宋" panose="02010609060101010101" charset="-122"/>
              </a:rPr>
              <a:t>         </a:t>
            </a:r>
            <a:r>
              <a:rPr sz="1600">
                <a:solidFill>
                  <a:sysClr val="windowText" lastClr="000000"/>
                </a:solidFill>
                <a:latin typeface="仿宋" panose="02010609060101010101" charset="-122"/>
                <a:ea typeface="仿宋" panose="02010609060101010101" charset="-122"/>
                <a:cs typeface="仿宋" panose="02010609060101010101" charset="-122"/>
              </a:rPr>
              <a:t>单位：万元</a:t>
            </a:r>
            <a:endParaRPr sz="1600">
              <a:solidFill>
                <a:sysClr val="windowText" lastClr="000000"/>
              </a:solidFill>
              <a:latin typeface="仿宋" panose="02010609060101010101" charset="-122"/>
              <a:ea typeface="仿宋" panose="02010609060101010101" charset="-122"/>
              <a:cs typeface="仿宋" panose="02010609060101010101" charset="-122"/>
            </a:endParaRPr>
          </a:p>
        </c:rich>
      </c:tx>
      <c:layout>
        <c:manualLayout>
          <c:xMode val="edge"/>
          <c:yMode val="edge"/>
          <c:x val="0.232939714108142"/>
          <c:y val="0.00696864111498258"/>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975518624619841"/>
                  <c:y val="-0.032208824555337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050" b="1">
                        <a:latin typeface="楷体" panose="02010609060101010101" charset="-122"/>
                        <a:ea typeface="楷体" panose="02010609060101010101" charset="-122"/>
                        <a:cs typeface="楷体" panose="02010609060101010101" charset="-122"/>
                      </a:rPr>
                      <a:t>1126.43、</a:t>
                    </a:r>
                    <a:r>
                      <a:rPr lang="en-US" altLang="zh-CN" sz="1050" b="1">
                        <a:latin typeface="楷体" panose="02010609060101010101" charset="-122"/>
                        <a:ea typeface="楷体" panose="02010609060101010101" charset="-122"/>
                        <a:cs typeface="楷体" panose="02010609060101010101" charset="-122"/>
                      </a:rPr>
                      <a:t>79.19</a:t>
                    </a:r>
                    <a:r>
                      <a:rPr sz="1050" b="1">
                        <a:latin typeface="楷体" panose="02010609060101010101" charset="-122"/>
                        <a:ea typeface="楷体" panose="02010609060101010101" charset="-122"/>
                        <a:cs typeface="楷体" panose="02010609060101010101" charset="-122"/>
                      </a:rPr>
                      <a:t>%</a:t>
                    </a:r>
                    <a:endParaRPr sz="1050" b="1">
                      <a:latin typeface="楷体" panose="02010609060101010101" charset="-122"/>
                      <a:ea typeface="楷体" panose="02010609060101010101" charset="-122"/>
                      <a:cs typeface="楷体" panose="02010609060101010101" charset="-122"/>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247125"/>
                      <c:h val="0.0528333333333333"/>
                    </c:manualLayout>
                  </c15:layout>
                </c:ext>
              </c:extLst>
            </c:dLbl>
            <c:dLbl>
              <c:idx val="1"/>
              <c:layout>
                <c:manualLayout>
                  <c:x val="-0.0288891645987676"/>
                  <c:y val="0.016620809624546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b="1">
                        <a:latin typeface="楷体" panose="02010609060101010101" charset="-122"/>
                        <a:ea typeface="楷体" panose="02010609060101010101" charset="-122"/>
                      </a:rPr>
                      <a:t>125.53, </a:t>
                    </a:r>
                    <a:r>
                      <a:rPr lang="en-US" altLang="zh-CN" b="1">
                        <a:latin typeface="楷体" panose="02010609060101010101" charset="-122"/>
                        <a:ea typeface="楷体" panose="02010609060101010101" charset="-122"/>
                      </a:rPr>
                      <a:t>8.83</a:t>
                    </a:r>
                    <a:r>
                      <a:rPr b="1">
                        <a:latin typeface="楷体" panose="02010609060101010101" charset="-122"/>
                        <a:ea typeface="楷体" panose="02010609060101010101" charset="-122"/>
                      </a:rPr>
                      <a:t>%</a:t>
                    </a:r>
                    <a:endParaRPr b="1">
                      <a:latin typeface="楷体" panose="02010609060101010101" charset="-122"/>
                      <a:ea typeface="楷体" panose="02010609060101010101" charset="-122"/>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930187202390407"/>
                  <c:y val="0.058380653733730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latin typeface="楷体" panose="02010609060101010101" charset="-122"/>
                        <a:ea typeface="楷体" panose="02010609060101010101" charset="-122"/>
                        <a:cs typeface="楷体" panose="02010609060101010101" charset="-122"/>
                      </a:rPr>
                      <a:t>104.95</a:t>
                    </a:r>
                    <a:r>
                      <a:rPr altLang="en-US" b="1">
                        <a:latin typeface="楷体" panose="02010609060101010101" charset="-122"/>
                        <a:ea typeface="楷体" panose="02010609060101010101" charset="-122"/>
                        <a:cs typeface="楷体" panose="02010609060101010101" charset="-122"/>
                      </a:rPr>
                      <a:t>、</a:t>
                    </a:r>
                    <a:r>
                      <a:rPr lang="en-US" altLang="zh-CN" b="1">
                        <a:latin typeface="楷体" panose="02010609060101010101" charset="-122"/>
                        <a:ea typeface="楷体" panose="02010609060101010101" charset="-122"/>
                        <a:cs typeface="楷体" panose="02010609060101010101" charset="-122"/>
                      </a:rPr>
                      <a:t>7.37</a:t>
                    </a:r>
                    <a:r>
                      <a:rPr b="1">
                        <a:latin typeface="楷体" panose="02010609060101010101" charset="-122"/>
                        <a:ea typeface="楷体" panose="02010609060101010101" charset="-122"/>
                        <a:cs typeface="楷体" panose="02010609060101010101" charset="-122"/>
                      </a:rPr>
                      <a:t>%</a:t>
                    </a:r>
                    <a:endParaRPr b="1">
                      <a:latin typeface="楷体" panose="02010609060101010101" charset="-122"/>
                      <a:ea typeface="楷体" panose="02010609060101010101" charset="-122"/>
                      <a:cs typeface="楷体" panose="02010609060101010101" charset="-122"/>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16575"/>
                      <c:h val="0.0646417445482866"/>
                    </c:manualLayout>
                  </c15:layout>
                </c:ext>
              </c:extLst>
            </c:dLbl>
            <c:dLbl>
              <c:idx val="3"/>
              <c:layout>
                <c:manualLayout>
                  <c:x val="-0.164378770414243"/>
                  <c:y val="0.058825731195105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1050" b="1">
                        <a:latin typeface="楷体" panose="02010609060101010101" charset="-122"/>
                        <a:ea typeface="楷体" panose="02010609060101010101" charset="-122"/>
                        <a:cs typeface="楷体" panose="02010609060101010101" charset="-122"/>
                      </a:rPr>
                      <a:t>65.52</a:t>
                    </a:r>
                    <a:r>
                      <a:rPr altLang="en-US" sz="1050" b="1">
                        <a:latin typeface="楷体" panose="02010609060101010101" charset="-122"/>
                        <a:ea typeface="楷体" panose="02010609060101010101" charset="-122"/>
                        <a:cs typeface="楷体" panose="02010609060101010101" charset="-122"/>
                      </a:rPr>
                      <a:t>、</a:t>
                    </a:r>
                    <a:r>
                      <a:rPr lang="en-US" altLang="zh-CN" sz="1050" b="1">
                        <a:latin typeface="楷体" panose="02010609060101010101" charset="-122"/>
                        <a:ea typeface="楷体" panose="02010609060101010101" charset="-122"/>
                        <a:cs typeface="楷体" panose="02010609060101010101" charset="-122"/>
                      </a:rPr>
                      <a:t>4.61</a:t>
                    </a:r>
                    <a:r>
                      <a:rPr sz="1050" b="1">
                        <a:latin typeface="楷体" panose="02010609060101010101" charset="-122"/>
                        <a:ea typeface="楷体" panose="02010609060101010101" charset="-122"/>
                        <a:cs typeface="楷体" panose="02010609060101010101" charset="-122"/>
                      </a:rPr>
                      <a:t>%</a:t>
                    </a:r>
                    <a:endParaRPr sz="1050" b="1">
                      <a:latin typeface="楷体" panose="02010609060101010101" charset="-122"/>
                      <a:ea typeface="楷体" panose="02010609060101010101" charset="-122"/>
                      <a:cs typeface="楷体" panose="02010609060101010101" charset="-122"/>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179863269111249"/>
                      <c:h val="0.10150987224158"/>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交通运输（类）支出</c:v>
                </c:pt>
                <c:pt idx="1">
                  <c:v>社会保障和就业（类）支出</c:v>
                </c:pt>
                <c:pt idx="2">
                  <c:v>住房保障（类）支出</c:v>
                </c:pt>
                <c:pt idx="3">
                  <c:v>卫生健康（类）支出</c:v>
                </c:pt>
              </c:strCache>
            </c:strRef>
          </c:cat>
          <c:val>
            <c:numRef>
              <c:f>Sheet1!$B$2:$B$5</c:f>
              <c:numCache>
                <c:formatCode>General</c:formatCode>
                <c:ptCount val="4"/>
                <c:pt idx="0">
                  <c:v>1126.43</c:v>
                </c:pt>
                <c:pt idx="1">
                  <c:v>125.53</c:v>
                </c:pt>
                <c:pt idx="2">
                  <c:v>104.95</c:v>
                </c:pt>
                <c:pt idx="3">
                  <c:v>65.52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a:solidFill>
                  <a:sysClr val="windowText" lastClr="000000"/>
                </a:solidFill>
                <a:latin typeface="仿宋" panose="02010609060101010101" charset="-122"/>
                <a:ea typeface="仿宋" panose="02010609060101010101" charset="-122"/>
                <a:cs typeface="仿宋" panose="02010609060101010101" charset="-122"/>
              </a:rPr>
              <a:t>图</a:t>
            </a:r>
            <a:r>
              <a:rPr lang="en-US" altLang="zh-CN" sz="1600">
                <a:solidFill>
                  <a:sysClr val="windowText" lastClr="000000"/>
                </a:solidFill>
                <a:latin typeface="仿宋" panose="02010609060101010101" charset="-122"/>
                <a:ea typeface="仿宋" panose="02010609060101010101" charset="-122"/>
                <a:cs typeface="仿宋" panose="02010609060101010101" charset="-122"/>
              </a:rPr>
              <a:t>6</a:t>
            </a:r>
            <a:r>
              <a:rPr altLang="en-US" sz="1600">
                <a:solidFill>
                  <a:sysClr val="windowText" lastClr="000000"/>
                </a:solidFill>
                <a:latin typeface="仿宋" panose="02010609060101010101" charset="-122"/>
                <a:ea typeface="仿宋" panose="02010609060101010101" charset="-122"/>
                <a:cs typeface="仿宋" panose="02010609060101010101" charset="-122"/>
              </a:rPr>
              <a:t>：</a:t>
            </a:r>
            <a:r>
              <a:rPr sz="1600">
                <a:solidFill>
                  <a:sysClr val="windowText" lastClr="000000"/>
                </a:solidFill>
                <a:latin typeface="仿宋" panose="02010609060101010101" charset="-122"/>
                <a:ea typeface="仿宋" panose="02010609060101010101" charset="-122"/>
                <a:cs typeface="仿宋" panose="02010609060101010101" charset="-122"/>
              </a:rPr>
              <a:t>一般公共预算支出预算构成情况</a:t>
            </a:r>
            <a:r>
              <a:rPr lang="en-US" altLang="zh-CN" sz="1600">
                <a:solidFill>
                  <a:sysClr val="windowText" lastClr="000000"/>
                </a:solidFill>
                <a:latin typeface="仿宋" panose="02010609060101010101" charset="-122"/>
                <a:ea typeface="仿宋" panose="02010609060101010101" charset="-122"/>
                <a:cs typeface="仿宋" panose="02010609060101010101" charset="-122"/>
              </a:rPr>
              <a:t>   </a:t>
            </a:r>
            <a:endParaRPr lang="en-US" altLang="zh-CN" sz="1600">
              <a:solidFill>
                <a:sysClr val="windowText" lastClr="000000"/>
              </a:solidFill>
              <a:latin typeface="仿宋" panose="02010609060101010101" charset="-122"/>
              <a:ea typeface="仿宋" panose="02010609060101010101" charset="-122"/>
              <a:cs typeface="仿宋" panose="0201060906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rPr sz="1600">
                <a:solidFill>
                  <a:sysClr val="windowText" lastClr="000000"/>
                </a:solidFill>
                <a:latin typeface="仿宋" panose="02010609060101010101" charset="-122"/>
                <a:ea typeface="仿宋" panose="02010609060101010101" charset="-122"/>
                <a:cs typeface="仿宋" panose="02010609060101010101" charset="-122"/>
              </a:rPr>
              <a:t>单位：万元</a:t>
            </a:r>
            <a:endParaRPr sz="1600">
              <a:solidFill>
                <a:sysClr val="windowText" lastClr="000000"/>
              </a:solidFill>
              <a:latin typeface="仿宋" panose="02010609060101010101" charset="-122"/>
              <a:ea typeface="仿宋" panose="02010609060101010101" charset="-122"/>
              <a:cs typeface="仿宋" panose="02010609060101010101" charset="-122"/>
            </a:endParaRPr>
          </a:p>
        </c:rich>
      </c:tx>
      <c:layout>
        <c:manualLayout>
          <c:xMode val="edge"/>
          <c:yMode val="edge"/>
          <c:x val="0.152255117531125"/>
          <c:y val="0.0141370998963446"/>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975518624619841"/>
                  <c:y val="-0.032208824555337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1050" b="1">
                        <a:latin typeface="楷体" panose="02010609060101010101" charset="-122"/>
                        <a:ea typeface="楷体" panose="02010609060101010101" charset="-122"/>
                        <a:cs typeface="楷体" panose="02010609060101010101" charset="-122"/>
                      </a:rPr>
                      <a:t>1126.43、</a:t>
                    </a:r>
                    <a:r>
                      <a:rPr lang="en-US" altLang="zh-CN" sz="1050" b="1">
                        <a:latin typeface="楷体" panose="02010609060101010101" charset="-122"/>
                        <a:ea typeface="楷体" panose="02010609060101010101" charset="-122"/>
                        <a:cs typeface="楷体" panose="02010609060101010101" charset="-122"/>
                      </a:rPr>
                      <a:t>79.19</a:t>
                    </a:r>
                    <a:r>
                      <a:rPr sz="1050" b="1">
                        <a:latin typeface="楷体" panose="02010609060101010101" charset="-122"/>
                        <a:ea typeface="楷体" panose="02010609060101010101" charset="-122"/>
                        <a:cs typeface="楷体" panose="02010609060101010101" charset="-122"/>
                      </a:rPr>
                      <a:t>%</a:t>
                    </a:r>
                    <a:endParaRPr sz="1050" b="1">
                      <a:latin typeface="楷体" panose="02010609060101010101" charset="-122"/>
                      <a:ea typeface="楷体" panose="02010609060101010101" charset="-122"/>
                      <a:cs typeface="楷体" panose="02010609060101010101" charset="-122"/>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247125"/>
                      <c:h val="0.0528333333333333"/>
                    </c:manualLayout>
                  </c15:layout>
                </c:ext>
              </c:extLst>
            </c:dLbl>
            <c:dLbl>
              <c:idx val="1"/>
              <c:layout>
                <c:manualLayout>
                  <c:x val="-0.0288891645987676"/>
                  <c:y val="0.016620809624546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b="1">
                        <a:latin typeface="楷体" panose="02010609060101010101" charset="-122"/>
                        <a:ea typeface="楷体" panose="02010609060101010101" charset="-122"/>
                      </a:rPr>
                      <a:t>125.53, </a:t>
                    </a:r>
                    <a:r>
                      <a:rPr lang="en-US" altLang="zh-CN" b="1">
                        <a:latin typeface="楷体" panose="02010609060101010101" charset="-122"/>
                        <a:ea typeface="楷体" panose="02010609060101010101" charset="-122"/>
                      </a:rPr>
                      <a:t>8.83</a:t>
                    </a:r>
                    <a:r>
                      <a:rPr b="1">
                        <a:latin typeface="楷体" panose="02010609060101010101" charset="-122"/>
                        <a:ea typeface="楷体" panose="02010609060101010101" charset="-122"/>
                      </a:rPr>
                      <a:t>%</a:t>
                    </a:r>
                    <a:endParaRPr b="1">
                      <a:latin typeface="楷体" panose="02010609060101010101" charset="-122"/>
                      <a:ea typeface="楷体" panose="02010609060101010101" charset="-122"/>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930187202390407"/>
                  <c:y val="0.058380653733730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latin typeface="楷体" panose="02010609060101010101" charset="-122"/>
                        <a:ea typeface="楷体" panose="02010609060101010101" charset="-122"/>
                        <a:cs typeface="楷体" panose="02010609060101010101" charset="-122"/>
                      </a:rPr>
                      <a:t>104.95</a:t>
                    </a:r>
                    <a:r>
                      <a:rPr altLang="en-US" b="1">
                        <a:latin typeface="楷体" panose="02010609060101010101" charset="-122"/>
                        <a:ea typeface="楷体" panose="02010609060101010101" charset="-122"/>
                        <a:cs typeface="楷体" panose="02010609060101010101" charset="-122"/>
                      </a:rPr>
                      <a:t>、</a:t>
                    </a:r>
                    <a:r>
                      <a:rPr lang="en-US" altLang="zh-CN" b="1">
                        <a:latin typeface="楷体" panose="02010609060101010101" charset="-122"/>
                        <a:ea typeface="楷体" panose="02010609060101010101" charset="-122"/>
                        <a:cs typeface="楷体" panose="02010609060101010101" charset="-122"/>
                      </a:rPr>
                      <a:t>7.37</a:t>
                    </a:r>
                    <a:r>
                      <a:rPr b="1">
                        <a:latin typeface="楷体" panose="02010609060101010101" charset="-122"/>
                        <a:ea typeface="楷体" panose="02010609060101010101" charset="-122"/>
                        <a:cs typeface="楷体" panose="02010609060101010101" charset="-122"/>
                      </a:rPr>
                      <a:t>%</a:t>
                    </a:r>
                    <a:endParaRPr b="1">
                      <a:latin typeface="楷体" panose="02010609060101010101" charset="-122"/>
                      <a:ea typeface="楷体" panose="02010609060101010101" charset="-122"/>
                      <a:cs typeface="楷体" panose="02010609060101010101" charset="-122"/>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16575"/>
                      <c:h val="0.0646417445482866"/>
                    </c:manualLayout>
                  </c15:layout>
                </c:ext>
              </c:extLst>
            </c:dLbl>
            <c:dLbl>
              <c:idx val="3"/>
              <c:layout>
                <c:manualLayout>
                  <c:x val="-0.164378770414243"/>
                  <c:y val="0.058825731195105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sz="1050" b="1">
                        <a:latin typeface="楷体" panose="02010609060101010101" charset="-122"/>
                        <a:ea typeface="楷体" panose="02010609060101010101" charset="-122"/>
                        <a:cs typeface="楷体" panose="02010609060101010101" charset="-122"/>
                      </a:rPr>
                      <a:t>65.52</a:t>
                    </a:r>
                    <a:r>
                      <a:rPr altLang="en-US" sz="1050" b="1">
                        <a:latin typeface="楷体" panose="02010609060101010101" charset="-122"/>
                        <a:ea typeface="楷体" panose="02010609060101010101" charset="-122"/>
                        <a:cs typeface="楷体" panose="02010609060101010101" charset="-122"/>
                      </a:rPr>
                      <a:t>、</a:t>
                    </a:r>
                    <a:r>
                      <a:rPr lang="en-US" altLang="zh-CN" sz="1050" b="1">
                        <a:latin typeface="楷体" panose="02010609060101010101" charset="-122"/>
                        <a:ea typeface="楷体" panose="02010609060101010101" charset="-122"/>
                        <a:cs typeface="楷体" panose="02010609060101010101" charset="-122"/>
                      </a:rPr>
                      <a:t>4.61</a:t>
                    </a:r>
                    <a:r>
                      <a:rPr sz="1050" b="1">
                        <a:latin typeface="楷体" panose="02010609060101010101" charset="-122"/>
                        <a:ea typeface="楷体" panose="02010609060101010101" charset="-122"/>
                        <a:cs typeface="楷体" panose="02010609060101010101" charset="-122"/>
                      </a:rPr>
                      <a:t>%</a:t>
                    </a:r>
                    <a:endParaRPr sz="1050" b="1">
                      <a:latin typeface="楷体" panose="02010609060101010101" charset="-122"/>
                      <a:ea typeface="楷体" panose="02010609060101010101" charset="-122"/>
                      <a:cs typeface="楷体" panose="02010609060101010101" charset="-122"/>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179863269111249"/>
                      <c:h val="0.10150987224158"/>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交通运输（类）支出</c:v>
                </c:pt>
                <c:pt idx="1">
                  <c:v>社会保障和就业（类）支出</c:v>
                </c:pt>
                <c:pt idx="2">
                  <c:v>住房保障（类）支出</c:v>
                </c:pt>
                <c:pt idx="3">
                  <c:v>卫生健康（类）支出</c:v>
                </c:pt>
              </c:strCache>
            </c:strRef>
          </c:cat>
          <c:val>
            <c:numRef>
              <c:f>Sheet1!$B$2:$B$5</c:f>
              <c:numCache>
                <c:formatCode>General</c:formatCode>
                <c:ptCount val="4"/>
                <c:pt idx="0">
                  <c:v>1126.43</c:v>
                </c:pt>
                <c:pt idx="1">
                  <c:v>125.53</c:v>
                </c:pt>
                <c:pt idx="2">
                  <c:v>104.95</c:v>
                </c:pt>
                <c:pt idx="3">
                  <c:v>65.52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9257</Words>
  <Characters>12990</Characters>
  <TotalTime>4</TotalTime>
  <ScaleCrop>false</ScaleCrop>
  <LinksUpToDate>false</LinksUpToDate>
  <CharactersWithSpaces>14104</CharactersWithSpaces>
  <Application>WPS Office_11.1.0.12313_F1E327BC-269C-435d-A152-05C5408002CA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2022-04-09T02:26:00Z</dcterms:created>
  <dc:creator>gqxjt</dc:creator>
  <cp:lastModifiedBy>清荷</cp:lastModifiedBy>
  <cp:lastPrinted>2022-06-01T07:34:00Z</cp:lastPrinted>
  <dcterms:modified xsi:type="dcterms:W3CDTF">2022-09-02T01:47:17Z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2022-04-09T10:26:24Z</vt:filetime>
  </property>
  <property fmtid="{D5CDD505-2E9C-101B-9397-08002B2CF9AE}" pid="4" name="KSOProductBuildVer">
    <vt:lpwstr>2052-11.1.0.12313</vt:lpwstr>
  </property>
  <property fmtid="{D5CDD505-2E9C-101B-9397-08002B2CF9AE}" pid="5" name="ICV">
    <vt:lpwstr>AB3B876F81BB4B90B90CB46C02705466</vt:lpwstr>
  </property>
</Properties>
</file>