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D6E26">
      <w:pPr>
        <w:spacing w:line="240" w:lineRule="auto"/>
        <w:ind w:firstLine="0"/>
        <w:rPr>
          <w:rFonts w:ascii="黑体" w:hAnsi="黑体" w:eastAsia="黑体"/>
        </w:rPr>
      </w:pPr>
    </w:p>
    <w:p w14:paraId="093AD678">
      <w:pPr>
        <w:spacing w:line="240" w:lineRule="auto"/>
        <w:ind w:firstLine="0"/>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val="en-US" w:eastAsia="zh-CN"/>
        </w:rPr>
        <w:t>高青县交通运输局</w:t>
      </w:r>
    </w:p>
    <w:p w14:paraId="39297D9B">
      <w:pPr>
        <w:spacing w:line="240" w:lineRule="auto"/>
        <w:ind w:firstLine="0"/>
        <w:jc w:val="center"/>
        <w:rPr>
          <w:rFonts w:ascii="仿宋_GB2312" w:eastAsia="仿宋_GB2312"/>
        </w:rPr>
      </w:pPr>
      <w:r>
        <w:rPr>
          <w:rFonts w:hint="eastAsia" w:ascii="方正小标宋简体" w:hAnsi="黑体" w:eastAsia="方正小标宋简体"/>
          <w:sz w:val="44"/>
          <w:szCs w:val="44"/>
          <w:lang w:val="en-US" w:eastAsia="zh-CN"/>
        </w:rPr>
        <w:t>2025年</w:t>
      </w:r>
      <w:r>
        <w:rPr>
          <w:rFonts w:hint="eastAsia" w:ascii="方正小标宋简体" w:hAnsi="黑体" w:eastAsia="方正小标宋简体"/>
          <w:sz w:val="44"/>
          <w:szCs w:val="44"/>
        </w:rPr>
        <w:t>政府信息公开工作年度报告</w:t>
      </w:r>
    </w:p>
    <w:p w14:paraId="60D93B67">
      <w:pPr>
        <w:spacing w:line="600" w:lineRule="exact"/>
        <w:ind w:firstLine="640" w:firstLineChars="200"/>
        <w:rPr>
          <w:rFonts w:hint="eastAsia" w:ascii="仿宋_GB2312" w:eastAsia="仿宋_GB2312"/>
        </w:rPr>
      </w:pPr>
    </w:p>
    <w:p w14:paraId="376BCBD9">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79AC31BD">
      <w:pPr>
        <w:spacing w:line="600" w:lineRule="exact"/>
        <w:ind w:firstLine="640" w:firstLineChars="200"/>
        <w:rPr>
          <w:rFonts w:ascii="仿宋_GB2312" w:hAnsi="黑体" w:eastAsia="仿宋_GB2312"/>
        </w:rPr>
      </w:pPr>
      <w:r>
        <w:rPr>
          <w:rFonts w:hint="eastAsia" w:ascii="仿宋_GB2312" w:eastAsia="仿宋_GB2312"/>
        </w:rPr>
        <w:t>报告中所列数据统计期限自202</w:t>
      </w:r>
      <w:r>
        <w:rPr>
          <w:rFonts w:hint="eastAsia" w:ascii="仿宋_GB2312" w:eastAsia="仿宋_GB2312"/>
          <w:lang w:val="en-US" w:eastAsia="zh-CN"/>
        </w:rPr>
        <w:t>5</w:t>
      </w:r>
      <w:r>
        <w:rPr>
          <w:rFonts w:hint="eastAsia" w:ascii="仿宋_GB2312" w:eastAsia="仿宋_GB2312"/>
        </w:rPr>
        <w:t>年1月1日始，至202</w:t>
      </w:r>
      <w:r>
        <w:rPr>
          <w:rFonts w:hint="eastAsia" w:ascii="仿宋_GB2312" w:eastAsia="仿宋_GB2312"/>
          <w:lang w:val="en-US" w:eastAsia="zh-CN"/>
        </w:rPr>
        <w:t>5</w:t>
      </w:r>
      <w:r>
        <w:rPr>
          <w:rFonts w:hint="eastAsia" w:ascii="仿宋_GB2312" w:eastAsia="仿宋_GB2312"/>
        </w:rPr>
        <w:t>年12月31日止。报告电子版可在高青县人民政府门户网站（www.gaoqing.gov.cn）查阅和下载。如对报告内容有疑问，请与高青县XX局办公室联系（地址：</w:t>
      </w:r>
      <w:r>
        <w:rPr>
          <w:rFonts w:eastAsia="仿宋_GB2312"/>
          <w:szCs w:val="32"/>
        </w:rPr>
        <w:t>山东省淄博市高青县黄河路106号；邮编：256300；电话：0533-6961548；传真：0533-6961548；邮箱：gqjtjbgs@zb.shandong.cn</w:t>
      </w:r>
      <w:r>
        <w:rPr>
          <w:rFonts w:hint="eastAsia" w:ascii="仿宋_GB2312" w:eastAsia="仿宋_GB2312"/>
        </w:rPr>
        <w:t>）。</w:t>
      </w:r>
    </w:p>
    <w:p w14:paraId="62B76258">
      <w:pPr>
        <w:spacing w:line="600" w:lineRule="exact"/>
        <w:ind w:firstLine="640" w:firstLineChars="200"/>
        <w:rPr>
          <w:rFonts w:ascii="黑体" w:hAnsi="黑体" w:eastAsia="黑体"/>
          <w:szCs w:val="32"/>
        </w:rPr>
      </w:pPr>
      <w:r>
        <w:rPr>
          <w:rFonts w:hint="eastAsia" w:ascii="黑体" w:hAnsi="黑体" w:eastAsia="黑体"/>
          <w:szCs w:val="32"/>
        </w:rPr>
        <w:t>一、总体情况</w:t>
      </w:r>
    </w:p>
    <w:p w14:paraId="59588324">
      <w:pPr>
        <w:spacing w:line="60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lang w:val="en-US" w:eastAsia="zh-CN"/>
        </w:rPr>
        <w:t>5</w:t>
      </w:r>
      <w:r>
        <w:rPr>
          <w:rFonts w:hint="eastAsia" w:ascii="仿宋_GB2312" w:eastAsia="仿宋_GB2312"/>
          <w:szCs w:val="32"/>
        </w:rPr>
        <w:t>年，高青县</w:t>
      </w:r>
      <w:r>
        <w:rPr>
          <w:rFonts w:hint="eastAsia" w:ascii="仿宋_GB2312" w:eastAsia="仿宋_GB2312"/>
          <w:szCs w:val="32"/>
          <w:lang w:val="en-US" w:eastAsia="zh-CN"/>
        </w:rPr>
        <w:t>交通运输</w:t>
      </w:r>
      <w:r>
        <w:rPr>
          <w:rFonts w:hint="eastAsia" w:ascii="仿宋_GB2312" w:eastAsia="仿宋_GB2312"/>
          <w:szCs w:val="32"/>
        </w:rPr>
        <w:t>局坚持以习近平新时代中国特色社会主义思想为指导，认真落实国家和省市县政务公开工作部署，依托</w:t>
      </w:r>
      <w:r>
        <w:rPr>
          <w:rFonts w:hint="eastAsia" w:ascii="仿宋_GB2312" w:eastAsia="仿宋_GB2312"/>
          <w:szCs w:val="32"/>
          <w:lang w:eastAsia="zh-CN"/>
        </w:rPr>
        <w:t>政府网站</w:t>
      </w:r>
      <w:r>
        <w:rPr>
          <w:rFonts w:hint="eastAsia" w:ascii="仿宋_GB2312" w:eastAsia="仿宋_GB2312"/>
          <w:szCs w:val="32"/>
        </w:rPr>
        <w:t>、新媒体等渠道，优化公开形式，及时回应群众关切，持续提升政务公开实效和交通运输服务水平。</w:t>
      </w:r>
    </w:p>
    <w:p w14:paraId="1EAFF643">
      <w:pPr>
        <w:spacing w:line="600" w:lineRule="exact"/>
        <w:jc w:val="left"/>
        <w:rPr>
          <w:rFonts w:ascii="楷体_GB2312" w:eastAsia="楷体_GB2312"/>
          <w:b/>
          <w:bCs/>
        </w:rPr>
      </w:pPr>
      <w:r>
        <w:rPr>
          <w:rFonts w:hint="eastAsia" w:ascii="楷体_GB2312" w:eastAsia="楷体_GB2312"/>
          <w:b/>
          <w:bCs/>
        </w:rPr>
        <w:t>（一）主动公开</w:t>
      </w:r>
    </w:p>
    <w:p w14:paraId="5D73BBC0">
      <w:pPr>
        <w:spacing w:line="600" w:lineRule="exact"/>
        <w:jc w:val="left"/>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严格执行政务公开的各项规章制度，突出重点工作，不断加大信息公开范围，规范公开方式和程序，不断提高政务公开的质量和实效。2025年主动公开的信息共计166条。</w:t>
      </w:r>
      <w:r>
        <w:rPr>
          <w:rFonts w:hint="eastAsia" w:ascii="仿宋_GB2312" w:hAnsi="宋体" w:eastAsia="仿宋_GB2312" w:cs="仿宋_GB2312"/>
          <w:i w:val="0"/>
          <w:iCs w:val="0"/>
          <w:caps w:val="0"/>
          <w:color w:val="000000"/>
          <w:spacing w:val="0"/>
          <w:sz w:val="31"/>
          <w:szCs w:val="31"/>
          <w:shd w:val="clear" w:fill="FFFFFF"/>
          <w:lang w:val="en-US" w:eastAsia="zh-CN"/>
        </w:rPr>
        <w:t>及时更新机构职能、领导信息、“双随机、一公开”、行政执法公示、建议提案办理、部门财政预决算、</w:t>
      </w:r>
      <w:r>
        <w:rPr>
          <w:rFonts w:hint="eastAsia" w:ascii="仿宋_GB2312" w:hAnsi="宋体" w:eastAsia="仿宋_GB2312" w:cs="仿宋_GB2312"/>
          <w:i w:val="0"/>
          <w:iCs w:val="0"/>
          <w:caps w:val="0"/>
          <w:color w:val="000000"/>
          <w:spacing w:val="0"/>
          <w:sz w:val="31"/>
          <w:szCs w:val="31"/>
          <w:shd w:val="clear" w:fill="FFFFFF"/>
          <w:lang w:val="en-US" w:eastAsia="zh-CN"/>
        </w:rPr>
        <w:t>公告公示等主动公开内容。2025年共受理12345投诉件2025件，满意率97.84%。聚焦公路建设、道路运输等重点领域，严格遵循公开标准指引，主动公开政策文件、审批流程、监管结果等关键信息。</w:t>
      </w:r>
    </w:p>
    <w:p w14:paraId="2B5881A8">
      <w:pPr>
        <w:spacing w:line="600" w:lineRule="exact"/>
        <w:ind w:left="0" w:leftChars="0" w:firstLine="0" w:firstLineChars="0"/>
        <w:jc w:val="left"/>
        <w:rPr>
          <w:rFonts w:hint="eastAsia" w:ascii="楷体_GB2312" w:eastAsia="楷体_GB2312"/>
        </w:rPr>
      </w:pPr>
      <w:r>
        <w:rPr>
          <w:rFonts w:hint="eastAsia" w:ascii="仿宋_GB2312" w:hAnsi="宋体" w:eastAsia="仿宋_GB2312" w:cs="仿宋_GB2312"/>
          <w:color w:val="333333"/>
          <w:szCs w:val="32"/>
          <w:shd w:val="clear" w:color="auto" w:fill="FFFFFF"/>
        </w:rPr>
        <w:drawing>
          <wp:anchor distT="0" distB="0" distL="114300" distR="114300" simplePos="0" relativeHeight="251660288" behindDoc="0" locked="0" layoutInCell="1" allowOverlap="1">
            <wp:simplePos x="0" y="0"/>
            <wp:positionH relativeFrom="column">
              <wp:posOffset>567055</wp:posOffset>
            </wp:positionH>
            <wp:positionV relativeFrom="paragraph">
              <wp:posOffset>258445</wp:posOffset>
            </wp:positionV>
            <wp:extent cx="4719955" cy="2489835"/>
            <wp:effectExtent l="4445" t="5080" r="19050" b="1968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6E33C3A">
      <w:pPr>
        <w:spacing w:line="600" w:lineRule="exact"/>
        <w:jc w:val="left"/>
        <w:rPr>
          <w:rFonts w:hint="eastAsia" w:ascii="楷体_GB2312" w:eastAsia="楷体_GB2312"/>
        </w:rPr>
      </w:pPr>
    </w:p>
    <w:p w14:paraId="66A54EAE">
      <w:pPr>
        <w:spacing w:line="600" w:lineRule="exact"/>
        <w:jc w:val="left"/>
        <w:rPr>
          <w:rFonts w:hint="eastAsia" w:ascii="楷体_GB2312" w:eastAsia="楷体_GB2312"/>
          <w:b/>
          <w:bCs/>
        </w:rPr>
      </w:pPr>
    </w:p>
    <w:p w14:paraId="19E19DB6">
      <w:pPr>
        <w:spacing w:line="600" w:lineRule="exact"/>
        <w:jc w:val="left"/>
        <w:rPr>
          <w:rFonts w:hint="eastAsia" w:ascii="楷体_GB2312" w:eastAsia="楷体_GB2312"/>
          <w:b/>
          <w:bCs/>
        </w:rPr>
      </w:pPr>
    </w:p>
    <w:p w14:paraId="742195A6">
      <w:pPr>
        <w:spacing w:line="600" w:lineRule="exact"/>
        <w:jc w:val="left"/>
        <w:rPr>
          <w:rFonts w:hint="eastAsia" w:ascii="楷体_GB2312" w:eastAsia="楷体_GB2312"/>
          <w:b/>
          <w:bCs/>
        </w:rPr>
      </w:pPr>
    </w:p>
    <w:p w14:paraId="1B450DE0">
      <w:pPr>
        <w:spacing w:line="600" w:lineRule="exact"/>
        <w:jc w:val="left"/>
        <w:rPr>
          <w:rFonts w:hint="eastAsia" w:ascii="楷体_GB2312" w:eastAsia="楷体_GB2312"/>
          <w:b/>
          <w:bCs/>
        </w:rPr>
      </w:pPr>
    </w:p>
    <w:p w14:paraId="29D7C0EA">
      <w:pPr>
        <w:spacing w:line="600" w:lineRule="exact"/>
        <w:jc w:val="left"/>
        <w:rPr>
          <w:rFonts w:hint="eastAsia" w:ascii="楷体_GB2312" w:eastAsia="楷体_GB2312"/>
          <w:b/>
          <w:bCs/>
        </w:rPr>
      </w:pPr>
    </w:p>
    <w:p w14:paraId="7453EA8E">
      <w:pPr>
        <w:spacing w:line="600" w:lineRule="exact"/>
        <w:jc w:val="left"/>
        <w:rPr>
          <w:rFonts w:ascii="楷体_GB2312" w:eastAsia="楷体_GB2312"/>
          <w:b/>
          <w:bCs/>
        </w:rPr>
      </w:pPr>
      <w:r>
        <w:rPr>
          <w:rFonts w:hint="eastAsia" w:ascii="楷体_GB2312" w:eastAsia="楷体_GB2312"/>
          <w:b/>
          <w:bCs/>
        </w:rPr>
        <w:t>（二）依申请公开</w:t>
      </w:r>
    </w:p>
    <w:p w14:paraId="4FA89146">
      <w:pPr>
        <w:spacing w:line="600" w:lineRule="exact"/>
        <w:jc w:val="left"/>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规范政府信息依申请公开工作，根据《条例》规定，严把“受理关、办理关、答复关”，确保办理程序合法合规。2025年共收到政府信息公开申请3件，比上年度增加1件，其中无法提供3件。依申请公开政府信息未收取任何费用。未因政府信息公开被申请行政复议、提起行政诉讼。</w:t>
      </w:r>
    </w:p>
    <w:p w14:paraId="6CC32E73">
      <w:pPr>
        <w:spacing w:line="600" w:lineRule="exact"/>
        <w:jc w:val="left"/>
        <w:rPr>
          <w:rFonts w:ascii="楷体_GB2312" w:eastAsia="楷体_GB2312"/>
          <w:b/>
          <w:bCs/>
        </w:rPr>
      </w:pPr>
      <w:r>
        <w:rPr>
          <w:rFonts w:hint="eastAsia" w:ascii="楷体_GB2312" w:eastAsia="楷体_GB2312"/>
          <w:b/>
          <w:bCs/>
        </w:rPr>
        <w:t>（三）政府信息管理</w:t>
      </w:r>
    </w:p>
    <w:p w14:paraId="433A9DCE">
      <w:pPr>
        <w:spacing w:line="600" w:lineRule="exact"/>
        <w:jc w:val="left"/>
        <w:rPr>
          <w:rFonts w:hint="eastAsia" w:ascii="楷体_GB2312" w:eastAsia="楷体_GB2312"/>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全面落实信息审核发布“三审三校”制度，细化各环节工作责任，以制度管理推动政府信息公开工作标准化、规范化运行。主动加强与政府公开服务中心的工作联动，常态化开展公开信息维护更新，精准高效完成政府信息公开任务。组织信息内容监督检查，对发现的格式用语不规范、错别字、链接无效等问题建立台账、限期整改，切实提升政府信息公开质量。</w:t>
      </w:r>
    </w:p>
    <w:p w14:paraId="3901F4DC">
      <w:pPr>
        <w:spacing w:line="600" w:lineRule="exact"/>
        <w:jc w:val="left"/>
        <w:rPr>
          <w:rFonts w:ascii="楷体_GB2312" w:eastAsia="楷体_GB2312"/>
          <w:b/>
          <w:bCs/>
        </w:rPr>
      </w:pPr>
      <w:r>
        <w:rPr>
          <w:rFonts w:hint="eastAsia" w:ascii="楷体_GB2312" w:eastAsia="楷体_GB2312"/>
          <w:b/>
          <w:bCs/>
        </w:rPr>
        <w:t>（四）政府信息公开平台建设</w:t>
      </w:r>
    </w:p>
    <w:p w14:paraId="3908E4DC">
      <w:pPr>
        <w:spacing w:line="600" w:lineRule="exact"/>
        <w:jc w:val="left"/>
        <w:rPr>
          <w:rFonts w:hint="default" w:ascii="仿宋_GB2312" w:hAnsi="宋体" w:eastAsia="仿宋_GB2312" w:cs="仿宋_GB2312"/>
          <w:i w:val="0"/>
          <w:iCs w:val="0"/>
          <w:caps w:val="0"/>
          <w:color w:val="000000"/>
          <w:spacing w:val="0"/>
          <w:sz w:val="31"/>
          <w:szCs w:val="31"/>
          <w:shd w:val="clear" w:fill="FFFFFF"/>
          <w:lang w:val="en-US" w:eastAsia="zh-CN"/>
        </w:rPr>
      </w:pPr>
      <w:r>
        <w:rPr>
          <w:rFonts w:hint="default" w:ascii="仿宋_GB2312" w:hAnsi="宋体" w:eastAsia="仿宋_GB2312" w:cs="仿宋_GB2312"/>
          <w:i w:val="0"/>
          <w:iCs w:val="0"/>
          <w:caps w:val="0"/>
          <w:color w:val="000000"/>
          <w:spacing w:val="0"/>
          <w:sz w:val="31"/>
          <w:szCs w:val="31"/>
          <w:shd w:val="clear" w:fill="FFFFFF"/>
          <w:lang w:val="en-US" w:eastAsia="zh-CN"/>
        </w:rPr>
        <w:t>拓展公开渠道。在巩固政府网站主阵地基础上，积极利用</w:t>
      </w:r>
      <w:r>
        <w:rPr>
          <w:rFonts w:hint="eastAsia" w:ascii="仿宋_GB2312" w:hAnsi="宋体" w:eastAsia="仿宋_GB2312" w:cs="仿宋_GB2312"/>
          <w:i w:val="0"/>
          <w:iCs w:val="0"/>
          <w:caps w:val="0"/>
          <w:color w:val="000000"/>
          <w:spacing w:val="0"/>
          <w:sz w:val="31"/>
          <w:szCs w:val="31"/>
          <w:shd w:val="clear" w:fill="FFFFFF"/>
          <w:lang w:val="en-US" w:eastAsia="zh-CN"/>
        </w:rPr>
        <w:t>“最高青”平台</w:t>
      </w:r>
      <w:r>
        <w:rPr>
          <w:rFonts w:hint="default" w:ascii="仿宋_GB2312" w:hAnsi="宋体" w:eastAsia="仿宋_GB2312" w:cs="仿宋_GB2312"/>
          <w:i w:val="0"/>
          <w:iCs w:val="0"/>
          <w:caps w:val="0"/>
          <w:color w:val="000000"/>
          <w:spacing w:val="0"/>
          <w:sz w:val="31"/>
          <w:szCs w:val="31"/>
          <w:shd w:val="clear" w:fill="FFFFFF"/>
          <w:lang w:val="en-US" w:eastAsia="zh-CN"/>
        </w:rPr>
        <w:t>等载体，同步发布重大政策、项目建设及便民服务信息。</w:t>
      </w:r>
    </w:p>
    <w:p w14:paraId="2C7517B9">
      <w:pPr>
        <w:spacing w:line="600" w:lineRule="exact"/>
        <w:ind w:left="0" w:leftChars="0" w:firstLine="0" w:firstLineChars="0"/>
        <w:jc w:val="left"/>
        <w:rPr>
          <w:rFonts w:hint="default" w:ascii="仿宋_GB2312" w:hAnsi="宋体" w:eastAsia="仿宋_GB2312" w:cs="仿宋_GB2312"/>
          <w:i w:val="0"/>
          <w:iCs w:val="0"/>
          <w:caps w:val="0"/>
          <w:color w:val="000000"/>
          <w:spacing w:val="0"/>
          <w:sz w:val="31"/>
          <w:szCs w:val="31"/>
          <w:shd w:val="clear" w:fill="FFFFFF"/>
          <w:lang w:val="en-US" w:eastAsia="zh-CN"/>
        </w:rPr>
      </w:pPr>
      <w:r>
        <w:rPr>
          <w:rFonts w:hint="default" w:ascii="仿宋_GB2312" w:hAnsi="宋体" w:eastAsia="仿宋_GB2312" w:cs="仿宋_GB2312"/>
          <w:i w:val="0"/>
          <w:iCs w:val="0"/>
          <w:caps w:val="0"/>
          <w:color w:val="000000"/>
          <w:spacing w:val="0"/>
          <w:sz w:val="31"/>
          <w:szCs w:val="31"/>
          <w:shd w:val="clear" w:fill="FFFFFF"/>
          <w:lang w:val="en-US" w:eastAsia="zh-CN"/>
        </w:rPr>
        <w:t>依托</w:t>
      </w:r>
      <w:r>
        <w:rPr>
          <w:rFonts w:hint="eastAsia" w:ascii="仿宋_GB2312" w:hAnsi="宋体" w:eastAsia="仿宋_GB2312" w:cs="仿宋_GB2312"/>
          <w:i w:val="0"/>
          <w:iCs w:val="0"/>
          <w:caps w:val="0"/>
          <w:color w:val="000000"/>
          <w:spacing w:val="0"/>
          <w:sz w:val="31"/>
          <w:szCs w:val="31"/>
          <w:shd w:val="clear" w:fill="FFFFFF"/>
          <w:lang w:val="en-US" w:eastAsia="zh-CN"/>
        </w:rPr>
        <w:t>“政民互动平台”</w:t>
      </w:r>
      <w:r>
        <w:rPr>
          <w:rFonts w:hint="default" w:ascii="仿宋_GB2312" w:hAnsi="宋体" w:eastAsia="仿宋_GB2312" w:cs="仿宋_GB2312"/>
          <w:i w:val="0"/>
          <w:iCs w:val="0"/>
          <w:caps w:val="0"/>
          <w:color w:val="000000"/>
          <w:spacing w:val="0"/>
          <w:sz w:val="31"/>
          <w:szCs w:val="31"/>
          <w:shd w:val="clear" w:fill="FFFFFF"/>
          <w:lang w:val="en-US" w:eastAsia="zh-CN"/>
        </w:rPr>
        <w:t>，及时回应公众咨询、建议与投诉，建立反馈闭环。定期梳理分析群众关注热点，作为优化公开内容和决策的重要参考。</w:t>
      </w:r>
    </w:p>
    <w:p w14:paraId="166465BD">
      <w:pPr>
        <w:spacing w:line="600" w:lineRule="exact"/>
        <w:jc w:val="left"/>
        <w:rPr>
          <w:rFonts w:ascii="楷体_GB2312" w:eastAsia="楷体_GB2312"/>
          <w:b/>
          <w:bCs/>
        </w:rPr>
      </w:pPr>
      <w:r>
        <w:rPr>
          <w:rFonts w:hint="eastAsia" w:ascii="楷体_GB2312" w:eastAsia="楷体_GB2312"/>
          <w:b/>
          <w:bCs/>
        </w:rPr>
        <w:t>（五）监督保障</w:t>
      </w:r>
    </w:p>
    <w:p w14:paraId="3417C664">
      <w:pPr>
        <w:spacing w:line="600" w:lineRule="exact"/>
        <w:jc w:val="left"/>
        <w:rPr>
          <w:rFonts w:ascii="黑体" w:hAnsi="黑体" w:eastAsia="黑体"/>
          <w:szCs w:val="32"/>
        </w:rPr>
      </w:pPr>
      <w:r>
        <w:rPr>
          <w:rFonts w:hint="eastAsia" w:ascii="仿宋_GB2312" w:eastAsia="仿宋_GB2312"/>
          <w:lang w:val="en-US" w:eastAsia="zh-CN"/>
        </w:rPr>
        <w:t>完善政务公开监督保障的制度框架，动态优化工作专班构成，充实专业骨干力量，为信息公开工作提供坚实支撑。</w:t>
      </w:r>
      <w:bookmarkStart w:id="0" w:name="OLE_LINK1"/>
      <w:r>
        <w:rPr>
          <w:rFonts w:hint="eastAsia" w:ascii="仿宋_GB2312" w:eastAsia="仿宋_GB2312"/>
          <w:lang w:val="en-US" w:eastAsia="zh-CN"/>
        </w:rPr>
        <w:t>组织政务公开培训2次，</w:t>
      </w:r>
      <w:bookmarkEnd w:id="0"/>
      <w:r>
        <w:rPr>
          <w:rFonts w:hint="eastAsia" w:ascii="仿宋_GB2312" w:eastAsia="仿宋_GB2312"/>
          <w:lang w:val="en-US" w:eastAsia="zh-CN"/>
        </w:rPr>
        <w:t>围绕政策解读、信息发布规范、依申请公开办理等核心内容开展教学，强化实操演练与案例剖析，持续提升工作人员的专业素养与履职能力，保障政府信息公开工作优质高效推进。强化日常监督检查与信息动态监测，针对上级检查发现的问题立行立改，切实保障政府信息公开平台安全稳定运行。</w:t>
      </w:r>
    </w:p>
    <w:p w14:paraId="472178D7">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FA3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ECCC2F2">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0B8F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7BFD595">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4A49A183">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1AE823C2">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509AC197">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3358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E3CA91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224571A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461B7D5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729D37B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31C0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7B7735C">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55D0C57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B92F208">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1B72A021">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7404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95CC92E">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60E4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9851DD">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CE6D148">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24CCB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7FED6E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2B1D617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09CD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5CFEBD2">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5A33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30F6ED">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5AF6C2D">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27F5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940D391">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6EE883B3">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15</w:t>
            </w:r>
          </w:p>
        </w:tc>
      </w:tr>
      <w:tr w14:paraId="280C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AF116C6">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56548A6E">
            <w:pPr>
              <w:spacing w:line="240" w:lineRule="auto"/>
              <w:ind w:firstLine="0"/>
              <w:jc w:val="center"/>
              <w:rPr>
                <w:rFonts w:hint="default" w:ascii="黑体" w:hAnsi="黑体" w:eastAsia="黑体"/>
                <w:sz w:val="20"/>
                <w:lang w:val="en-US" w:eastAsia="zh-CN"/>
              </w:rPr>
            </w:pPr>
            <w:r>
              <w:rPr>
                <w:rFonts w:hint="eastAsia" w:ascii="黑体" w:hAnsi="黑体" w:eastAsia="黑体"/>
                <w:sz w:val="20"/>
                <w:lang w:val="en-US" w:eastAsia="zh-CN"/>
              </w:rPr>
              <w:t>13</w:t>
            </w:r>
          </w:p>
        </w:tc>
      </w:tr>
      <w:tr w14:paraId="5E4A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06DEDD1">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D21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B43DA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15E91CAE">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w:t>
            </w:r>
            <w:bookmarkStart w:id="3" w:name="_GoBack"/>
            <w:bookmarkEnd w:id="3"/>
            <w:r>
              <w:rPr>
                <w:rFonts w:hint="eastAsia" w:ascii="宋体" w:hAnsi="宋体" w:eastAsia="宋体" w:cs="宋体"/>
                <w:snapToGrid/>
                <w:color w:val="000000"/>
                <w:sz w:val="20"/>
              </w:rPr>
              <w:t>万元）</w:t>
            </w:r>
          </w:p>
        </w:tc>
      </w:tr>
      <w:tr w14:paraId="0F3F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DBDBF8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4ABC141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5D4953AA">
      <w:pPr>
        <w:spacing w:after="156" w:afterLines="50" w:line="240" w:lineRule="auto"/>
        <w:ind w:firstLine="640" w:firstLineChars="200"/>
        <w:rPr>
          <w:rFonts w:hint="eastAsia" w:ascii="黑体" w:hAnsi="黑体" w:eastAsia="黑体"/>
          <w:szCs w:val="32"/>
        </w:rPr>
      </w:pPr>
    </w:p>
    <w:p w14:paraId="49186E02">
      <w:pPr>
        <w:spacing w:after="156" w:afterLines="50" w:line="240" w:lineRule="auto"/>
        <w:ind w:firstLine="640" w:firstLineChars="200"/>
        <w:rPr>
          <w:rFonts w:hint="eastAsia" w:ascii="黑体" w:hAnsi="黑体" w:eastAsia="黑体"/>
          <w:szCs w:val="32"/>
        </w:rPr>
      </w:pPr>
    </w:p>
    <w:p w14:paraId="29B21ABE">
      <w:pPr>
        <w:spacing w:after="156" w:afterLines="50" w:line="240" w:lineRule="auto"/>
        <w:ind w:firstLine="640" w:firstLineChars="200"/>
        <w:rPr>
          <w:rFonts w:hint="eastAsia" w:ascii="黑体" w:hAnsi="黑体" w:eastAsia="黑体"/>
          <w:szCs w:val="32"/>
        </w:rPr>
      </w:pPr>
    </w:p>
    <w:p w14:paraId="3C1DAAB2">
      <w:pPr>
        <w:spacing w:after="156" w:afterLines="50" w:line="240" w:lineRule="auto"/>
        <w:ind w:firstLine="640" w:firstLineChars="200"/>
        <w:rPr>
          <w:rFonts w:hint="eastAsia" w:ascii="黑体" w:hAnsi="黑体" w:eastAsia="黑体"/>
          <w:szCs w:val="32"/>
        </w:rPr>
      </w:pPr>
    </w:p>
    <w:p w14:paraId="09AAD7C9">
      <w:pPr>
        <w:spacing w:after="156" w:afterLines="50" w:line="240" w:lineRule="auto"/>
        <w:ind w:firstLine="640" w:firstLineChars="200"/>
        <w:rPr>
          <w:rFonts w:hint="eastAsia" w:ascii="黑体" w:hAnsi="黑体" w:eastAsia="黑体"/>
          <w:szCs w:val="32"/>
        </w:rPr>
      </w:pPr>
    </w:p>
    <w:p w14:paraId="660D5A4D">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26FEE26">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1D30D0A">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3C8B98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09CE2277">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4619D71E">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65EF3E5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20D188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637A89F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7273594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5CE7995B">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5EEB30C">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AB3EE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3846D8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C52E9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7AB26E9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E83FD7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469888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B2205A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07B27034">
            <w:pPr>
              <w:widowControl/>
              <w:autoSpaceDE/>
              <w:autoSpaceDN/>
              <w:snapToGrid/>
              <w:spacing w:line="240" w:lineRule="auto"/>
              <w:ind w:firstLine="0"/>
              <w:jc w:val="left"/>
              <w:rPr>
                <w:rFonts w:ascii="宋体" w:hAnsi="宋体" w:eastAsia="宋体" w:cs="宋体"/>
                <w:snapToGrid/>
                <w:sz w:val="24"/>
                <w:szCs w:val="24"/>
              </w:rPr>
            </w:pPr>
          </w:p>
        </w:tc>
      </w:tr>
      <w:tr w14:paraId="0BBE7FF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8DF497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BBEE9BE">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244EA5">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C2C00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3CE69F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25E8204">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87AA1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08EAA0">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3</w:t>
            </w:r>
          </w:p>
        </w:tc>
      </w:tr>
      <w:tr w14:paraId="2D10D42C">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FBA9F4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E924C6C">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F3CDA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832A0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DA65A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9B4E9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EA8A2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0358C7">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r w14:paraId="0D0B54B4">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91EC47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B8A775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85596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3A0BD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B09E5C">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E377B6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AAE72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253A6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7A81D9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r w14:paraId="3DD1AE8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CDB875">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E9A352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F395B8">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B7B9F">
            <w:pPr>
              <w:widowControl/>
              <w:autoSpaceDE/>
              <w:autoSpaceDN/>
              <w:snapToGrid/>
              <w:spacing w:line="240" w:lineRule="auto"/>
              <w:ind w:left="0" w:leftChars="0" w:firstLine="0" w:firstLineChars="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1B6FBC">
            <w:pPr>
              <w:widowControl/>
              <w:autoSpaceDE/>
              <w:autoSpaceDN/>
              <w:snapToGrid/>
              <w:spacing w:line="240" w:lineRule="auto"/>
              <w:ind w:left="0" w:leftChars="0" w:firstLine="0" w:firstLineChars="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73F991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232177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077C0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6AAE06">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r w14:paraId="45E1E88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518042A">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83F686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1CFC3C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F2B9B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84B239">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AB752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BAA99B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6051E3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0CC6D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23B908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293D00F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B0D4EC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D1CD37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33F92A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27192F6">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F285B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EF292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415EE9">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31ED3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FD679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05CC8C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6A677FA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5F4694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C4E78D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21E95A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EC2994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CFFB3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6BE47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BAB86C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1E99BC">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187AD4">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E486DF8">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7921021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E41FAF">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333A262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6F3A8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BA59B2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40884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57EB0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A5CFB5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4896834">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34188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5E3D01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0FB486B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8578D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955D1C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416C8D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DD608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6FE0A9">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7EEAE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3031D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43633E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0F658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7F0BC6D">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566B80D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91C3E7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A4822C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0FD913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4A91B1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B9ADBE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711F2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29E162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C42530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93B14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30E47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30D1D9B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0C0A4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758E42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8D1EB6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C0F728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9E6B0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3BE48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8A04D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A83316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F820B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F9946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4884289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C8FB0C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C1EABF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C37E3B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AD4AC1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64920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80B77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02FEC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DCDF5B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447C2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B0B9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7BF08FB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8C74A98">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7698513">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B26B6C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F4ABCF">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82DCB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97293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0D684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33808CA">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1F33D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EBE1982">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3</w:t>
            </w:r>
          </w:p>
        </w:tc>
      </w:tr>
      <w:tr w14:paraId="267F4D2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050844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4FC17A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DAF53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D424C8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CC47A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B8E19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D3618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1D9C3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A6362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4CF22F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4B3488B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C835E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5C16C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EBAEED0">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1D4E7A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7E2D8C">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2FBF5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BC4908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5B812E">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E67B8E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189DC9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69D7FD3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C985814">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750653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A9E511D">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F547BF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AC6BC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D6134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12B5F9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40FBA3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8FB081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68113A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67986A2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15567B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E29C7D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5DD08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094E689">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3FF02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E5E4CC">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F5D85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E6858F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94EE5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487F8C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3E8AA8F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9D523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104054D">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0BB7D7E">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53B6D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AED43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60281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B2A91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5D015C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4E8659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B35584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3ACBE6B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409B9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218981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81694A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E1898B">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471BC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90ED3F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D860D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30C23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48667F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35C33BE">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1F3CDF02">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76B60D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571D30D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35904D80">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25D12DE5">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3E61D56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889098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1EFB00C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6F504344">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338F30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4FDADA3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7E66848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E8C3A12">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13664E7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5A051BC">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6EE2417">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48D2B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A83FC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CF0AE2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5FBE6C">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8506C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1207303">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458526F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238307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3EDE02C7">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035EC2B">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74DFAC">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B5E987">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EF7E43">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3EA84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0824ED9">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13F49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3A2EAA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66B0879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B597D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53CC47B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896A2D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43C374">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DD5F3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46D5E3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434FBB8">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BEA5D5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C44A71">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DF5A5FA">
            <w:pPr>
              <w:widowControl/>
              <w:autoSpaceDE/>
              <w:autoSpaceDN/>
              <w:snapToGrid/>
              <w:spacing w:line="240" w:lineRule="auto"/>
              <w:ind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r>
      <w:tr w14:paraId="0D950FD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CC0C2F8">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5148259">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819807">
            <w:pPr>
              <w:widowControl/>
              <w:autoSpaceDE/>
              <w:autoSpaceDN/>
              <w:snapToGrid/>
              <w:spacing w:line="240" w:lineRule="auto"/>
              <w:ind w:firstLine="0"/>
              <w:jc w:val="center"/>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FCC8B0">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D92260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9AAC19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2EFCDF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A0B85F">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B8D0D68">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3</w:t>
            </w:r>
          </w:p>
        </w:tc>
      </w:tr>
      <w:tr w14:paraId="5C29BEB8">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AF74F4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6149CB">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8F160D">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F15545">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A713514">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D34F376">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E328D92">
            <w:pPr>
              <w:widowControl/>
              <w:autoSpaceDE/>
              <w:autoSpaceDN/>
              <w:snapToGrid/>
              <w:spacing w:line="240" w:lineRule="auto"/>
              <w:ind w:left="0" w:leftChars="0" w:firstLine="0" w:firstLineChars="0"/>
              <w:jc w:val="center"/>
              <w:rPr>
                <w:rFonts w:ascii="宋体" w:hAnsi="宋体" w:eastAsia="宋体" w:cs="宋体"/>
                <w:snapToGrid/>
                <w:sz w:val="24"/>
                <w:szCs w:val="24"/>
              </w:rPr>
            </w:pPr>
            <w:r>
              <w:rPr>
                <w:rFonts w:hint="eastAsia" w:ascii="宋体" w:hAnsi="宋体" w:eastAsia="宋体" w:cs="宋体"/>
                <w:snapToGrid/>
                <w:sz w:val="24"/>
                <w:szCs w:val="24"/>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B0104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4EE6CAD0">
      <w:pPr>
        <w:spacing w:line="240" w:lineRule="auto"/>
        <w:ind w:firstLine="600" w:firstLineChars="200"/>
        <w:rPr>
          <w:rFonts w:ascii="黑体" w:hAnsi="黑体" w:eastAsia="黑体"/>
          <w:sz w:val="30"/>
          <w:szCs w:val="30"/>
        </w:rPr>
      </w:pPr>
    </w:p>
    <w:p w14:paraId="4D36501F">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BE21A2C">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96CC3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E9135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90C77BA">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C4F9F1F">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7D9E51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005D5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5C2D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70221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C85E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AF1CA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439D254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E8DBD8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79A636F0">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6A4F64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ADB273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DED8DE5">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EED47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B80A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4A748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80092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1EFAE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FE64B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296B8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88A4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D6F69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8EDC0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73F5708F">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8B7B9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D0B0EDB">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041B8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EA1FA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4903A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7448E69">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77D9C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17F9B6C">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A649F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02E2C8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4A10DB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DADD04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4D16E3">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E8F41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493C30">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6EB91441">
      <w:pPr>
        <w:spacing w:line="240" w:lineRule="auto"/>
        <w:ind w:firstLine="640" w:firstLineChars="200"/>
        <w:rPr>
          <w:rFonts w:ascii="黑体" w:hAnsi="黑体" w:eastAsia="黑体"/>
          <w:szCs w:val="32"/>
        </w:rPr>
      </w:pPr>
    </w:p>
    <w:p w14:paraId="6871E193">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14:paraId="4E0622C1">
      <w:pPr>
        <w:spacing w:line="56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（一）存在问题</w:t>
      </w:r>
    </w:p>
    <w:p w14:paraId="155E2509">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政务公开工作人员的专业化能力有待提升，公开内容的规范性和服务性仍需增强。</w:t>
      </w:r>
    </w:p>
    <w:p w14:paraId="41042BE1">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单位内部统筹协调能力有待加强，业务工作与公开工作结合不够紧密。</w:t>
      </w:r>
    </w:p>
    <w:p w14:paraId="3533849B">
      <w:pPr>
        <w:spacing w:line="560" w:lineRule="exact"/>
        <w:ind w:firstLine="643" w:firstLineChars="200"/>
        <w:rPr>
          <w:rFonts w:ascii="楷体_GB2312" w:hAnsi="黑体" w:eastAsia="楷体_GB2312"/>
          <w:b/>
          <w:bCs/>
          <w:sz w:val="32"/>
          <w:szCs w:val="32"/>
        </w:rPr>
      </w:pPr>
      <w:r>
        <w:rPr>
          <w:rFonts w:hint="eastAsia" w:ascii="楷体_GB2312" w:hAnsi="黑体" w:eastAsia="楷体_GB2312"/>
          <w:b/>
          <w:bCs/>
          <w:sz w:val="32"/>
          <w:szCs w:val="32"/>
        </w:rPr>
        <w:t>（二）改进情况</w:t>
      </w:r>
    </w:p>
    <w:p w14:paraId="2C0E3EE2">
      <w:pPr>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强化业务培训。借鉴先进优秀经验，结合工作实际，对标国家、省、市、县政务公开文件要求，切实提升工作队伍专业能力，夯实政务公开工作基础。</w:t>
      </w:r>
    </w:p>
    <w:p w14:paraId="2C6205F7">
      <w:pPr>
        <w:spacing w:line="56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建立常态化协调机制，明确固定联络员，召开政务公开协调会，通报情况、研判需求、部署任务，推动各业务科室主动公开、及时公开的意识与责任落实。</w:t>
      </w:r>
    </w:p>
    <w:p w14:paraId="40DCD119">
      <w:pPr>
        <w:spacing w:line="560" w:lineRule="exact"/>
        <w:ind w:firstLine="640" w:firstLineChars="200"/>
        <w:rPr>
          <w:rFonts w:ascii="黑体" w:hAnsi="黑体" w:eastAsia="黑体"/>
          <w:szCs w:val="32"/>
        </w:rPr>
      </w:pPr>
      <w:r>
        <w:rPr>
          <w:rFonts w:hint="eastAsia" w:ascii="黑体" w:hAnsi="黑体" w:eastAsia="黑体"/>
          <w:szCs w:val="32"/>
        </w:rPr>
        <w:t>六、其他需要报告的事项</w:t>
      </w:r>
    </w:p>
    <w:p w14:paraId="383B923E">
      <w:pPr>
        <w:ind w:firstLine="643" w:firstLineChars="200"/>
        <w:jc w:val="left"/>
        <w:rPr>
          <w:rFonts w:ascii="楷体_GB2312" w:hAnsi="黑体" w:eastAsia="楷体_GB2312"/>
          <w:b/>
          <w:bCs/>
          <w:sz w:val="32"/>
          <w:szCs w:val="32"/>
        </w:rPr>
      </w:pPr>
      <w:r>
        <w:rPr>
          <w:rFonts w:hint="eastAsia" w:ascii="楷体_GB2312" w:hAnsi="黑体" w:eastAsia="楷体_GB2312"/>
          <w:b/>
          <w:bCs/>
          <w:sz w:val="32"/>
          <w:szCs w:val="32"/>
        </w:rPr>
        <w:t>（一）政府信息公开信息处理费收取情况</w:t>
      </w:r>
    </w:p>
    <w:p w14:paraId="448F866E">
      <w:pPr>
        <w:spacing w:line="560" w:lineRule="exact"/>
        <w:ind w:firstLine="640" w:firstLineChars="200"/>
        <w:rPr>
          <w:rFonts w:eastAsia="仿宋_GB2312"/>
          <w:szCs w:val="32"/>
        </w:rPr>
      </w:pPr>
      <w:bookmarkStart w:id="1" w:name="OLE_LINK4"/>
      <w:bookmarkStart w:id="2" w:name="OLE_LINK5"/>
      <w:r>
        <w:rPr>
          <w:rFonts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w:t>
      </w:r>
      <w:r>
        <w:rPr>
          <w:rFonts w:hint="eastAsia" w:eastAsia="仿宋_GB2312"/>
          <w:szCs w:val="32"/>
          <w:lang w:val="en-US" w:eastAsia="zh-CN"/>
        </w:rPr>
        <w:t>5</w:t>
      </w:r>
      <w:r>
        <w:rPr>
          <w:rFonts w:eastAsia="仿宋_GB2312"/>
          <w:szCs w:val="32"/>
        </w:rPr>
        <w:t>年本机关在办理政府信息公开申请过程中未收取信息处理费。</w:t>
      </w:r>
    </w:p>
    <w:bookmarkEnd w:id="1"/>
    <w:bookmarkEnd w:id="2"/>
    <w:p w14:paraId="6A7E94F7">
      <w:pPr>
        <w:ind w:firstLine="643" w:firstLineChars="200"/>
        <w:jc w:val="left"/>
        <w:rPr>
          <w:rFonts w:hint="eastAsia" w:ascii="楷体_GB2312" w:hAnsi="黑体" w:eastAsia="楷体_GB2312"/>
          <w:b/>
          <w:bCs/>
          <w:sz w:val="32"/>
          <w:szCs w:val="32"/>
        </w:rPr>
      </w:pPr>
      <w:r>
        <w:rPr>
          <w:rFonts w:hint="eastAsia" w:ascii="楷体_GB2312" w:hAnsi="黑体" w:eastAsia="楷体_GB2312"/>
          <w:b/>
          <w:bCs/>
          <w:sz w:val="32"/>
          <w:szCs w:val="32"/>
        </w:rPr>
        <w:t>（二）落实上级年度政务公开工作要点情况</w:t>
      </w:r>
    </w:p>
    <w:p w14:paraId="059FC5DA">
      <w:pPr>
        <w:ind w:firstLine="640" w:firstLineChars="200"/>
        <w:jc w:val="left"/>
        <w:rPr>
          <w:rFonts w:hint="eastAsia" w:ascii="楷体_GB2312" w:hAnsi="黑体" w:eastAsia="楷体_GB2312"/>
          <w:sz w:val="30"/>
          <w:szCs w:val="30"/>
        </w:rPr>
      </w:pPr>
      <w:r>
        <w:rPr>
          <w:rFonts w:hint="eastAsia" w:eastAsia="仿宋_GB2312"/>
          <w:szCs w:val="32"/>
        </w:rPr>
        <w:t>严格落实国家和省市县政务公开工作要点，并根据《高青县人民政府办公室关于印发2025年高青县政务公开工作方案的通知》要求，制定了《高青县</w:t>
      </w:r>
      <w:r>
        <w:rPr>
          <w:rFonts w:hint="eastAsia" w:eastAsia="仿宋_GB2312"/>
          <w:szCs w:val="32"/>
          <w:lang w:eastAsia="zh-CN"/>
        </w:rPr>
        <w:t>交通运输</w:t>
      </w:r>
      <w:r>
        <w:rPr>
          <w:rFonts w:hint="eastAsia" w:eastAsia="仿宋_GB2312"/>
          <w:szCs w:val="32"/>
        </w:rPr>
        <w:t>局政务公开工作方案》，明确了重点任务、工作标准和完成时限。</w:t>
      </w:r>
      <w:r>
        <w:rPr>
          <w:rFonts w:hint="eastAsia" w:eastAsia="仿宋_GB2312"/>
          <w:szCs w:val="32"/>
          <w:lang w:eastAsia="zh-CN"/>
        </w:rPr>
        <w:t>主动公开方面，</w:t>
      </w:r>
      <w:r>
        <w:rPr>
          <w:rFonts w:hint="eastAsia" w:eastAsia="仿宋_GB2312"/>
          <w:szCs w:val="32"/>
        </w:rPr>
        <w:t>精准梳理公开事项清单，推动公共企事业单位信息公开标准化、规范化。全年累计发布信息10条，覆盖咨询渠道、监督电话、运营线路、收费标准、投诉制度、领导班子、乘车规则及机构职能等关键领域。</w:t>
      </w:r>
      <w:r>
        <w:rPr>
          <w:rFonts w:hint="eastAsia" w:eastAsia="仿宋_GB2312"/>
          <w:szCs w:val="32"/>
          <w:lang w:eastAsia="zh-CN"/>
        </w:rPr>
        <w:t>依申请公开方面，</w:t>
      </w:r>
      <w:r>
        <w:rPr>
          <w:rFonts w:hint="eastAsia" w:eastAsia="仿宋_GB2312"/>
          <w:szCs w:val="32"/>
        </w:rPr>
        <w:t>通过信件、电子邮箱、当面申请等多种形式受理依申请公开，健全登记、审核、办理、答复、归档工作制度，加强工作规范。做好基础信息公开，在严格遵循保密审查程序的基础上，在规定时限内做到应公开尽公开，提高信息透明度。</w:t>
      </w:r>
    </w:p>
    <w:p w14:paraId="167F3375">
      <w:pPr>
        <w:ind w:firstLine="643" w:firstLineChars="200"/>
        <w:jc w:val="left"/>
        <w:rPr>
          <w:rFonts w:ascii="楷体_GB2312" w:hAnsi="黑体" w:eastAsia="楷体_GB2312"/>
          <w:sz w:val="32"/>
          <w:szCs w:val="32"/>
        </w:rPr>
      </w:pPr>
      <w:r>
        <w:rPr>
          <w:rFonts w:hint="eastAsia" w:ascii="楷体_GB2312" w:hAnsi="黑体" w:eastAsia="楷体_GB2312"/>
          <w:b/>
          <w:bCs/>
          <w:sz w:val="32"/>
          <w:szCs w:val="32"/>
        </w:rPr>
        <w:t>（三）人大代表建议和政协委员提案办理结果公开情况</w:t>
      </w:r>
    </w:p>
    <w:p w14:paraId="74C9CCAD">
      <w:pPr>
        <w:ind w:firstLine="640" w:firstLineChars="200"/>
        <w:jc w:val="left"/>
        <w:rPr>
          <w:rFonts w:hint="eastAsia" w:ascii="楷体_GB2312" w:hAnsi="黑体" w:eastAsia="楷体_GB2312"/>
          <w:sz w:val="30"/>
          <w:szCs w:val="30"/>
        </w:rPr>
      </w:pPr>
      <w:r>
        <w:rPr>
          <w:rFonts w:hint="eastAsia" w:eastAsia="仿宋_GB2312"/>
          <w:szCs w:val="32"/>
        </w:rPr>
        <w:t>202</w:t>
      </w:r>
      <w:r>
        <w:rPr>
          <w:rFonts w:hint="eastAsia" w:eastAsia="仿宋_GB2312"/>
          <w:szCs w:val="32"/>
          <w:lang w:val="en-US" w:eastAsia="zh-CN"/>
        </w:rPr>
        <w:t>5</w:t>
      </w:r>
      <w:r>
        <w:rPr>
          <w:rFonts w:hint="eastAsia" w:eastAsia="仿宋_GB2312"/>
          <w:szCs w:val="32"/>
        </w:rPr>
        <w:t>年共承办县十八届人大</w:t>
      </w:r>
      <w:r>
        <w:rPr>
          <w:rFonts w:hint="eastAsia" w:eastAsia="仿宋_GB2312"/>
          <w:szCs w:val="32"/>
          <w:lang w:val="en-US" w:eastAsia="zh-CN"/>
        </w:rPr>
        <w:t>四</w:t>
      </w:r>
      <w:r>
        <w:rPr>
          <w:rFonts w:hint="eastAsia" w:eastAsia="仿宋_GB2312"/>
          <w:szCs w:val="32"/>
        </w:rPr>
        <w:t>次会议建议</w:t>
      </w:r>
      <w:r>
        <w:rPr>
          <w:rFonts w:hint="eastAsia" w:eastAsia="仿宋_GB2312"/>
          <w:szCs w:val="32"/>
          <w:lang w:val="en-US" w:eastAsia="zh-CN"/>
        </w:rPr>
        <w:t>10</w:t>
      </w:r>
      <w:r>
        <w:rPr>
          <w:rFonts w:hint="eastAsia" w:eastAsia="仿宋_GB2312"/>
          <w:szCs w:val="32"/>
        </w:rPr>
        <w:t>件，承办县政协十五届</w:t>
      </w:r>
      <w:r>
        <w:rPr>
          <w:rFonts w:hint="eastAsia" w:eastAsia="仿宋_GB2312"/>
          <w:szCs w:val="32"/>
          <w:lang w:val="en-US" w:eastAsia="zh-CN"/>
        </w:rPr>
        <w:t>四</w:t>
      </w:r>
      <w:r>
        <w:rPr>
          <w:rFonts w:hint="eastAsia" w:eastAsia="仿宋_GB2312"/>
          <w:szCs w:val="32"/>
        </w:rPr>
        <w:t>次会议提案</w:t>
      </w:r>
      <w:r>
        <w:rPr>
          <w:rFonts w:hint="eastAsia" w:eastAsia="仿宋_GB2312"/>
          <w:szCs w:val="32"/>
          <w:lang w:val="en-US" w:eastAsia="zh-CN"/>
        </w:rPr>
        <w:t>7</w:t>
      </w:r>
      <w:r>
        <w:rPr>
          <w:rFonts w:hint="eastAsia" w:eastAsia="仿宋_GB2312"/>
          <w:szCs w:val="32"/>
        </w:rPr>
        <w:t>件，办复率均为100%。除涉及国家秘密、工作秘密的，所有建议提案办理复文或摘要以及办理总体情况均在县政府门户网站建议提案办理专题中予以公开。</w:t>
      </w:r>
    </w:p>
    <w:p w14:paraId="2D07B72F">
      <w:pPr>
        <w:ind w:firstLine="643" w:firstLineChars="200"/>
        <w:jc w:val="left"/>
        <w:rPr>
          <w:rFonts w:ascii="楷体_GB2312" w:hAnsi="黑体" w:eastAsia="楷体_GB2312"/>
          <w:b/>
          <w:bCs/>
          <w:sz w:val="32"/>
          <w:szCs w:val="32"/>
        </w:rPr>
      </w:pPr>
      <w:r>
        <w:rPr>
          <w:rFonts w:hint="eastAsia" w:ascii="楷体_GB2312" w:hAnsi="黑体" w:eastAsia="楷体_GB2312"/>
          <w:b/>
          <w:bCs/>
          <w:sz w:val="32"/>
          <w:szCs w:val="32"/>
        </w:rPr>
        <w:t>（四）政务公开工作创新情况</w:t>
      </w:r>
    </w:p>
    <w:p w14:paraId="26F7DC63">
      <w:pPr>
        <w:ind w:firstLine="640" w:firstLineChars="200"/>
        <w:jc w:val="left"/>
        <w:rPr>
          <w:rFonts w:hint="eastAsia" w:eastAsia="仿宋_GB2312"/>
          <w:szCs w:val="32"/>
          <w:lang w:val="en-US" w:eastAsia="zh-CN"/>
        </w:rPr>
      </w:pPr>
      <w:r>
        <w:rPr>
          <w:rFonts w:hint="eastAsia" w:eastAsia="仿宋_GB2312"/>
          <w:szCs w:val="32"/>
          <w:lang w:val="en-US" w:eastAsia="zh-CN"/>
        </w:rPr>
        <w:t>2025年，</w:t>
      </w:r>
      <w:r>
        <w:rPr>
          <w:rFonts w:hint="eastAsia" w:eastAsia="仿宋_GB2312"/>
          <w:szCs w:val="32"/>
        </w:rPr>
        <w:t>我局紧扣政务服务提质增效要求，以打造“便民利民政务</w:t>
      </w:r>
      <w:r>
        <w:rPr>
          <w:rFonts w:hint="eastAsia" w:eastAsia="仿宋_GB2312"/>
          <w:szCs w:val="32"/>
          <w:lang w:eastAsia="zh-CN"/>
        </w:rPr>
        <w:t>公开</w:t>
      </w:r>
      <w:r>
        <w:rPr>
          <w:rFonts w:hint="eastAsia" w:eastAsia="仿宋_GB2312"/>
          <w:szCs w:val="32"/>
        </w:rPr>
        <w:t>”为核心目标，聚焦民生领域关键环节，持续强化信息主动公开、精准公开，优化群众诉求受理、转办、办结、反馈全流程闭环回应机制，用心用情用力解民忧、纾民困、暖民心</w:t>
      </w:r>
      <w:r>
        <w:rPr>
          <w:rFonts w:hint="eastAsia" w:eastAsia="仿宋_GB2312"/>
          <w:szCs w:val="32"/>
          <w:lang w:eastAsia="zh-CN"/>
        </w:rPr>
        <w:t>。</w:t>
      </w:r>
    </w:p>
    <w:p w14:paraId="1FE31624">
      <w:pPr>
        <w:ind w:firstLine="643" w:firstLineChars="200"/>
        <w:jc w:val="left"/>
        <w:rPr>
          <w:rFonts w:ascii="楷体_GB2312" w:hAnsi="黑体" w:eastAsia="楷体_GB2312"/>
          <w:b/>
          <w:bCs/>
          <w:sz w:val="32"/>
          <w:szCs w:val="32"/>
        </w:rPr>
      </w:pPr>
      <w:r>
        <w:rPr>
          <w:rFonts w:hint="eastAsia" w:ascii="楷体_GB2312" w:hAnsi="黑体" w:eastAsia="楷体_GB2312"/>
          <w:b/>
          <w:bCs/>
          <w:sz w:val="32"/>
          <w:szCs w:val="32"/>
        </w:rPr>
        <w:t>（五）有关数据统计说明</w:t>
      </w:r>
    </w:p>
    <w:p w14:paraId="54D1805E">
      <w:pPr>
        <w:ind w:firstLine="640" w:firstLineChars="200"/>
        <w:jc w:val="left"/>
        <w:rPr>
          <w:rFonts w:hint="eastAsia" w:eastAsia="仿宋_GB2312"/>
          <w:szCs w:val="32"/>
        </w:rPr>
      </w:pPr>
      <w:r>
        <w:rPr>
          <w:rFonts w:hint="eastAsia" w:eastAsia="仿宋_GB2312"/>
          <w:szCs w:val="32"/>
        </w:rPr>
        <w:t>1.报告中所列数据可能因四舍五入原因与数据直接相加之和存在尾数差异。</w:t>
      </w:r>
    </w:p>
    <w:p w14:paraId="67496C99">
      <w:pPr>
        <w:ind w:firstLine="640" w:firstLineChars="200"/>
        <w:jc w:val="left"/>
        <w:rPr>
          <w:rFonts w:hint="eastAsia" w:eastAsia="仿宋_GB2312"/>
          <w:szCs w:val="32"/>
        </w:rPr>
      </w:pPr>
      <w:r>
        <w:rPr>
          <w:rFonts w:hint="eastAsia" w:eastAsia="仿宋_GB2312"/>
          <w:szCs w:val="32"/>
        </w:rPr>
        <w:t>2.行政许可数量、行政处罚和行政强制数量，包括已公开和依法未公开的全部处理决定。</w:t>
      </w:r>
    </w:p>
    <w:p w14:paraId="6F2D3B6A">
      <w:pPr>
        <w:ind w:firstLine="640" w:firstLineChars="200"/>
        <w:jc w:val="left"/>
        <w:rPr>
          <w:rFonts w:hint="eastAsia" w:eastAsia="仿宋_GB2312"/>
          <w:szCs w:val="32"/>
        </w:rPr>
      </w:pPr>
      <w:r>
        <w:rPr>
          <w:rFonts w:hint="eastAsia" w:eastAsia="仿宋_GB2312"/>
          <w:szCs w:val="32"/>
        </w:rPr>
        <w:t>3.行政复议机关作为共同被告的行政诉讼案件，只计算原行为主体的案件数量，不计算行政复议机关的案件数量。</w:t>
      </w:r>
    </w:p>
    <w:p w14:paraId="5E40A39F">
      <w:pPr>
        <w:ind w:firstLine="640" w:firstLineChars="200"/>
        <w:jc w:val="left"/>
        <w:rPr>
          <w:rFonts w:ascii="楷体_GB2312" w:hAnsi="黑体" w:eastAsia="楷体_GB2312"/>
          <w:sz w:val="32"/>
          <w:szCs w:val="32"/>
        </w:rPr>
      </w:pPr>
      <w:r>
        <w:rPr>
          <w:rFonts w:hint="eastAsia" w:ascii="楷体_GB2312" w:hAnsi="黑体" w:eastAsia="楷体_GB2312"/>
          <w:sz w:val="32"/>
          <w:szCs w:val="32"/>
        </w:rPr>
        <w:t>（六）公共企事业单位信息公开工作开展情况</w:t>
      </w:r>
    </w:p>
    <w:p w14:paraId="0F3E9187">
      <w:pPr>
        <w:ind w:firstLine="640" w:firstLineChars="200"/>
        <w:jc w:val="left"/>
        <w:rPr>
          <w:rFonts w:hint="default" w:ascii="仿宋_GB2312" w:eastAsia="仿宋_GB2312"/>
          <w:lang w:val="en-US" w:eastAsia="zh-CN"/>
        </w:rPr>
      </w:pPr>
    </w:p>
    <w:p w14:paraId="59576935">
      <w:pPr>
        <w:ind w:firstLine="640" w:firstLineChars="200"/>
        <w:jc w:val="left"/>
        <w:rPr>
          <w:rFonts w:ascii="仿宋_GB2312" w:eastAsia="仿宋_GB2312"/>
        </w:rPr>
      </w:pPr>
    </w:p>
    <w:p w14:paraId="53E9D043">
      <w:pPr>
        <w:ind w:firstLine="600" w:firstLineChars="200"/>
        <w:jc w:val="left"/>
        <w:rPr>
          <w:rFonts w:ascii="楷体_GB2312" w:hAnsi="黑体" w:eastAsia="楷体_GB2312"/>
          <w:sz w:val="30"/>
          <w:szCs w:val="30"/>
        </w:rPr>
      </w:pPr>
    </w:p>
    <w:p w14:paraId="07DF0E2C">
      <w:pPr>
        <w:spacing w:line="560" w:lineRule="exact"/>
        <w:ind w:firstLine="600" w:firstLineChars="200"/>
        <w:rPr>
          <w:rFonts w:ascii="楷体_GB2312" w:hAnsi="黑体" w:eastAsia="楷体_GB2312"/>
          <w:sz w:val="30"/>
          <w:szCs w:val="30"/>
        </w:rPr>
      </w:pPr>
    </w:p>
    <w:sectPr>
      <w:footerReference r:id="rId5" w:type="default"/>
      <w:pgSz w:w="11906" w:h="16838"/>
      <w:pgMar w:top="2098" w:right="1474" w:bottom="1985"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EU-B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77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A7CE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EA7CE1">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zRhYjlmMmY5NzA1ZGQ2NTk3MDk3ZWU0NjU4OTkifQ=="/>
  </w:docVars>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55D1082"/>
    <w:rsid w:val="057247B6"/>
    <w:rsid w:val="06431B4A"/>
    <w:rsid w:val="1D680AD8"/>
    <w:rsid w:val="29F1654E"/>
    <w:rsid w:val="2A247741"/>
    <w:rsid w:val="2E6C7C3A"/>
    <w:rsid w:val="2F386B53"/>
    <w:rsid w:val="325A3905"/>
    <w:rsid w:val="342A2E98"/>
    <w:rsid w:val="37080E84"/>
    <w:rsid w:val="427E2EEB"/>
    <w:rsid w:val="546760F9"/>
    <w:rsid w:val="56DF5620"/>
    <w:rsid w:val="593A3FDC"/>
    <w:rsid w:val="5A735C31"/>
    <w:rsid w:val="5F6F7C64"/>
    <w:rsid w:val="62E90930"/>
    <w:rsid w:val="6CDA4186"/>
    <w:rsid w:val="6F4C7F6C"/>
    <w:rsid w:val="70C82511"/>
    <w:rsid w:val="7BD82E97"/>
    <w:rsid w:val="7FBE0A6D"/>
    <w:rsid w:val="CFE73C5F"/>
    <w:rsid w:val="DFFF39FF"/>
    <w:rsid w:val="EBB78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chemeClr val="tx1">
                    <a:lumMod val="75000"/>
                    <a:lumOff val="25000"/>
                  </a:schemeClr>
                </a:solidFill>
                <a:latin typeface="+mn-lt"/>
                <a:ea typeface="+mn-ea"/>
                <a:cs typeface="+mn-cs"/>
              </a:defRPr>
            </a:pPr>
            <a:r>
              <a:rPr lang="zh-CN" altLang="en-US" sz="1200"/>
              <a:t>高青县交通运输局</a:t>
            </a:r>
            <a:r>
              <a:rPr lang="en-US" altLang="zh-CN" sz="1200"/>
              <a:t>2025</a:t>
            </a:r>
            <a:r>
              <a:rPr lang="zh-CN" altLang="en-US" sz="1200"/>
              <a:t>年政府信息公开情况一览表</a:t>
            </a:r>
            <a:endParaRPr lang="zh-CN" altLang="en-US" sz="1200"/>
          </a:p>
        </c:rich>
      </c:tx>
      <c:layout>
        <c:manualLayout>
          <c:xMode val="edge"/>
          <c:yMode val="edge"/>
          <c:x val="0.149039907880987"/>
          <c:y val="0.03706024411363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政府信息分类</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r>
                      <a:t>1</a:t>
                    </a:r>
                    <a:r>
                      <a:rPr lang="en-US" altLang="zh-CN"/>
                      <a:t>1</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Times New Roman" charset="0"/>
                    <a:ea typeface="Times New Roman" charset="0"/>
                    <a:cs typeface="Times New Roman" charset="0"/>
                    <a:sym typeface="Times New Roman"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Sheet1!$A$2:$A$10</c:f>
              <c:strCache>
                <c:ptCount val="9"/>
                <c:pt idx="0">
                  <c:v>机构职能</c:v>
                </c:pt>
                <c:pt idx="1">
                  <c:v>财政信息</c:v>
                </c:pt>
                <c:pt idx="2">
                  <c:v>政府会议</c:v>
                </c:pt>
                <c:pt idx="3">
                  <c:v>双随机一公开</c:v>
                </c:pt>
                <c:pt idx="4">
                  <c:v>建议提案办理</c:v>
                </c:pt>
                <c:pt idx="5">
                  <c:v>重要部署执行</c:v>
                </c:pt>
                <c:pt idx="6">
                  <c:v>行政执法公示</c:v>
                </c:pt>
                <c:pt idx="7">
                  <c:v>交通运输</c:v>
                </c:pt>
                <c:pt idx="8">
                  <c:v>其他</c:v>
                </c:pt>
              </c:strCache>
            </c:strRef>
          </c:cat>
          <c:val>
            <c:numRef>
              <c:f>Sheet1!$B$2:$B$10</c:f>
              <c:numCache>
                <c:formatCode>General</c:formatCode>
                <c:ptCount val="9"/>
                <c:pt idx="0">
                  <c:v>7</c:v>
                </c:pt>
                <c:pt idx="1">
                  <c:v>4</c:v>
                </c:pt>
                <c:pt idx="2">
                  <c:v>4</c:v>
                </c:pt>
                <c:pt idx="3">
                  <c:v>6</c:v>
                </c:pt>
                <c:pt idx="4">
                  <c:v>17</c:v>
                </c:pt>
                <c:pt idx="5">
                  <c:v>12</c:v>
                </c:pt>
                <c:pt idx="6">
                  <c:v>35</c:v>
                </c:pt>
                <c:pt idx="7">
                  <c:v>41</c:v>
                </c:pt>
                <c:pt idx="8">
                  <c:v>40</c:v>
                </c:pt>
              </c:numCache>
            </c:numRef>
          </c:val>
        </c:ser>
        <c:dLbls>
          <c:showLegendKey val="0"/>
          <c:showVal val="1"/>
          <c:showCatName val="0"/>
          <c:showSerName val="0"/>
          <c:showPercent val="0"/>
          <c:showBubbleSize val="0"/>
        </c:dLbls>
        <c:gapWidth val="246"/>
        <c:overlap val="-28"/>
        <c:axId val="235605376"/>
        <c:axId val="235609472"/>
      </c:barChart>
      <c:catAx>
        <c:axId val="235605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50" b="1" i="0" u="none" strike="noStrike" kern="1200" baseline="0">
                <a:solidFill>
                  <a:schemeClr val="tx1">
                    <a:lumMod val="65000"/>
                    <a:lumOff val="35000"/>
                  </a:schemeClr>
                </a:solidFill>
                <a:latin typeface="+mn-lt"/>
                <a:ea typeface="+mn-ea"/>
                <a:cs typeface="+mn-cs"/>
              </a:defRPr>
            </a:pPr>
          </a:p>
        </c:txPr>
        <c:crossAx val="235609472"/>
        <c:crosses val="autoZero"/>
        <c:auto val="1"/>
        <c:lblAlgn val="ctr"/>
        <c:lblOffset val="100"/>
        <c:noMultiLvlLbl val="0"/>
      </c:catAx>
      <c:valAx>
        <c:axId val="235609472"/>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1000" b="1" i="0" u="none" strike="noStrike" kern="1200" baseline="0">
                <a:solidFill>
                  <a:schemeClr val="tx1">
                    <a:lumMod val="65000"/>
                    <a:lumOff val="35000"/>
                  </a:schemeClr>
                </a:solidFill>
                <a:latin typeface="Times New Roman" charset="0"/>
                <a:ea typeface="Times New Roman" charset="0"/>
                <a:cs typeface="Times New Roman" charset="0"/>
                <a:sym typeface="Times New Roman" charset="0"/>
              </a:defRPr>
            </a:pPr>
          </a:p>
        </c:txPr>
        <c:crossAx val="235605376"/>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0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6870a2-694d-4ca3-a9de-17ab74e66c1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556</Words>
  <Characters>625</Characters>
  <Lines>15</Lines>
  <Paragraphs>4</Paragraphs>
  <TotalTime>270</TotalTime>
  <ScaleCrop>false</ScaleCrop>
  <LinksUpToDate>false</LinksUpToDate>
  <CharactersWithSpaces>625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2022-01-03T01:04:00Z</dcterms:created>
  <dc:creator>lb</dc:creator>
  <cp:lastModifiedBy>user</cp:lastModifiedBy>
  <dcterms:modified xsi:type="dcterms:W3CDTF">2026-01-28T16:37:03Z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2052-12.1.2.23578</vt:lpwstr>
  </property>
  <property fmtid="{D5CDD505-2E9C-101B-9397-08002B2CF9AE}" pid="4" name="ICV">
    <vt:lpwstr>B1FDB714B3A74D5DB947A7A33CC354CB_12</vt:lpwstr>
  </property>
</Properties>
</file>