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r>
        <w:rPr>
          <w:rFonts w:hint="eastAsia" w:ascii="宋体" w:hAnsi="宋体" w:cs="宋体"/>
          <w:b/>
          <w:sz w:val="44"/>
          <w:szCs w:val="44"/>
        </w:rPr>
        <w:t>高青县教育和体育局</w:t>
      </w:r>
    </w:p>
    <w:p>
      <w:pPr>
        <w:jc w:val="center"/>
        <w:rPr>
          <w:rFonts w:hint="eastAsia" w:ascii="宋体" w:hAnsi="宋体" w:cs="宋体"/>
          <w:b/>
          <w:sz w:val="44"/>
          <w:szCs w:val="44"/>
        </w:rPr>
      </w:pPr>
      <w:r>
        <w:rPr>
          <w:rFonts w:hint="eastAsia" w:ascii="宋体" w:hAnsi="宋体" w:cs="宋体"/>
          <w:b/>
          <w:sz w:val="44"/>
          <w:szCs w:val="44"/>
        </w:rPr>
        <w:t>2019年政府信息公开工作年度报告</w:t>
      </w:r>
    </w:p>
    <w:p>
      <w:pPr>
        <w:jc w:val="center"/>
        <w:rPr>
          <w:rFonts w:ascii="宋体" w:hAnsi="宋体" w:cs="宋体"/>
          <w:b/>
          <w:sz w:val="44"/>
          <w:szCs w:val="44"/>
        </w:rPr>
      </w:pP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本报告根据《中华人民共和国政府信息公开条例》（</w:t>
      </w:r>
      <w:r>
        <w:rPr>
          <w:rFonts w:hint="eastAsia" w:ascii="Times New Roman" w:hAnsi="Times New Roman" w:eastAsia="仿宋_GB2312"/>
          <w:sz w:val="32"/>
          <w:szCs w:val="32"/>
        </w:rPr>
        <w:t>国务院令第</w:t>
      </w:r>
      <w:r>
        <w:rPr>
          <w:rFonts w:ascii="Times New Roman" w:hAnsi="Times New Roman" w:eastAsia="仿宋_GB2312"/>
          <w:sz w:val="32"/>
          <w:szCs w:val="32"/>
        </w:rPr>
        <w:t>711</w:t>
      </w:r>
      <w:r>
        <w:rPr>
          <w:rFonts w:hint="eastAsia" w:ascii="Times New Roman" w:hAnsi="Times New Roman" w:eastAsia="仿宋_GB2312"/>
          <w:sz w:val="32"/>
          <w:szCs w:val="32"/>
        </w:rPr>
        <w:t>号，以下简称《</w:t>
      </w:r>
      <w:r>
        <w:rPr>
          <w:rFonts w:hint="eastAsia" w:ascii="仿宋_GB2312" w:hAnsi="仿宋" w:eastAsia="仿宋_GB2312" w:cs="仿宋"/>
          <w:sz w:val="32"/>
          <w:szCs w:val="32"/>
        </w:rPr>
        <w:t>条例》）要求，由高青县教育和体育局办公室综合本单位政府信息公开工作情况编制。</w:t>
      </w:r>
    </w:p>
    <w:p>
      <w:pPr>
        <w:spacing w:line="560" w:lineRule="exact"/>
        <w:ind w:firstLine="640" w:firstLineChars="200"/>
        <w:rPr>
          <w:rFonts w:ascii="黑体" w:hAnsi="黑体" w:eastAsia="黑体"/>
          <w:kern w:val="22"/>
          <w:sz w:val="32"/>
          <w:szCs w:val="32"/>
        </w:rPr>
      </w:pPr>
      <w:r>
        <w:rPr>
          <w:rFonts w:hint="eastAsia" w:ascii="仿宋_GB2312" w:hAnsi="仿宋" w:eastAsia="仿宋_GB2312" w:cs="仿宋"/>
          <w:sz w:val="32"/>
          <w:szCs w:val="32"/>
        </w:rPr>
        <w:t>报告全文由总体情况、主动公开政府信息情况、收到和处理政府信息公开申请情况、政府信息公开行政复议行政诉讼情况、存在的主要问题及改进情况、其他需要报告的事项6个部分组成。</w:t>
      </w:r>
    </w:p>
    <w:p>
      <w:pPr>
        <w:pStyle w:val="8"/>
        <w:widowControl/>
        <w:spacing w:after="0" w:line="560" w:lineRule="exact"/>
        <w:ind w:firstLine="420"/>
        <w:jc w:val="both"/>
        <w:rPr>
          <w:rFonts w:ascii="仿宋" w:hAnsi="仿宋" w:eastAsia="仿宋" w:cs="仿宋"/>
          <w:sz w:val="32"/>
          <w:szCs w:val="32"/>
        </w:rPr>
      </w:pPr>
      <w:r>
        <w:rPr>
          <w:rFonts w:hint="eastAsia" w:ascii="仿宋_GB2312" w:hAnsi="仿宋" w:eastAsia="仿宋_GB2312" w:cs="仿宋"/>
          <w:sz w:val="32"/>
          <w:szCs w:val="32"/>
        </w:rPr>
        <w:t>报告中所列数据统计期限自2019年1月1日始，至2019年12月31日止。报告电子版可在高青县人民政府门户网站（www.gaoqing.gov.cn）查阅和下载。</w:t>
      </w:r>
      <w:r>
        <w:rPr>
          <w:rFonts w:hint="eastAsia" w:ascii="仿宋" w:hAnsi="仿宋" w:eastAsia="仿宋" w:cs="仿宋"/>
          <w:sz w:val="32"/>
          <w:szCs w:val="32"/>
        </w:rPr>
        <w:t>如对报告内容有疑问，请与高青县教育和体育局办公室联系（地址：高青县城青城路65号；邮编：256300；电话：0533-6973600；传真：6973592）。</w:t>
      </w:r>
    </w:p>
    <w:p>
      <w:pPr>
        <w:spacing w:line="560" w:lineRule="exact"/>
        <w:ind w:firstLine="640" w:firstLineChars="200"/>
        <w:rPr>
          <w:rFonts w:hint="eastAsia" w:ascii="黑体" w:hAnsi="黑体" w:eastAsia="黑体"/>
          <w:kern w:val="22"/>
          <w:sz w:val="32"/>
          <w:szCs w:val="32"/>
        </w:rPr>
      </w:pPr>
      <w:r>
        <w:rPr>
          <w:rFonts w:hint="eastAsia" w:ascii="黑体" w:hAnsi="黑体" w:eastAsia="黑体"/>
          <w:kern w:val="22"/>
          <w:sz w:val="32"/>
          <w:szCs w:val="32"/>
        </w:rPr>
        <w:t>一、总体情况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我局始终高度重视政务信息公开工作，</w:t>
      </w:r>
      <w:r>
        <w:rPr>
          <w:rFonts w:hint="eastAsia" w:ascii="Times New Roman" w:hAnsi="Times New Roman" w:eastAsia="仿宋_GB2312"/>
          <w:kern w:val="22"/>
          <w:sz w:val="32"/>
          <w:szCs w:val="32"/>
        </w:rPr>
        <w:t>2019年，</w:t>
      </w:r>
      <w:r>
        <w:rPr>
          <w:rFonts w:hint="eastAsia" w:ascii="仿宋" w:hAnsi="仿宋" w:eastAsia="仿宋" w:cs="仿宋"/>
          <w:sz w:val="32"/>
          <w:szCs w:val="32"/>
        </w:rPr>
        <w:t>高青县教育和体育局</w:t>
      </w:r>
      <w:r>
        <w:rPr>
          <w:rFonts w:hint="eastAsia" w:ascii="Times New Roman" w:hAnsi="Times New Roman" w:eastAsia="仿宋_GB2312"/>
          <w:kern w:val="22"/>
          <w:sz w:val="32"/>
          <w:szCs w:val="32"/>
        </w:rPr>
        <w:t>深入贯彻新修订的《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w:t>
      </w:r>
      <w:r>
        <w:rPr>
          <w:rFonts w:hint="eastAsia" w:ascii="仿宋" w:hAnsi="仿宋" w:eastAsia="仿宋" w:cs="仿宋"/>
          <w:sz w:val="32"/>
          <w:szCs w:val="32"/>
        </w:rPr>
        <w:t>按照县政府的深入部署，加强组织领导，健全组织机制，认真贯彻各项文件要求，紧紧围绕县委、县政府中心工作及群众关注关切，深化重点领域信息公开，完善政务公开举措，</w:t>
      </w:r>
      <w:r>
        <w:rPr>
          <w:rFonts w:hint="eastAsia" w:ascii="Times New Roman" w:hAnsi="Times New Roman" w:eastAsia="仿宋_GB2312"/>
          <w:kern w:val="22"/>
          <w:sz w:val="32"/>
          <w:szCs w:val="32"/>
        </w:rPr>
        <w:t>持续做好信息发布、解读回应、政民互动、平台建设，着力推动行政权力全过程公开、公共服务全流程公开、社会关切全方位回应，</w:t>
      </w:r>
      <w:r>
        <w:rPr>
          <w:rFonts w:hint="eastAsia" w:ascii="仿宋" w:hAnsi="仿宋" w:eastAsia="仿宋" w:cs="仿宋"/>
          <w:sz w:val="32"/>
          <w:szCs w:val="32"/>
        </w:rPr>
        <w:t>及时准确地发布教育政策文件、通知公告、教育教学动态等政务信息。确保教体系统各项政务公开工作科学、规范、有序开展，全面推动全县教体事业科学有效的进展。</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楷体_GB2312" w:hAnsi="Times New Roman" w:eastAsia="楷体_GB2312"/>
          <w:kern w:val="22"/>
          <w:sz w:val="32"/>
          <w:szCs w:val="32"/>
        </w:rPr>
        <w:t>（一）政府信息公开体制机制建设情况</w:t>
      </w:r>
    </w:p>
    <w:p>
      <w:pPr>
        <w:pStyle w:val="8"/>
        <w:widowControl/>
        <w:spacing w:after="0" w:line="560" w:lineRule="exact"/>
        <w:ind w:firstLine="420"/>
        <w:jc w:val="both"/>
        <w:rPr>
          <w:rFonts w:ascii="仿宋" w:hAnsi="仿宋" w:eastAsia="仿宋" w:cs="仿宋"/>
          <w:sz w:val="32"/>
          <w:szCs w:val="32"/>
        </w:rPr>
      </w:pPr>
      <w:r>
        <w:rPr>
          <w:rFonts w:hint="eastAsia" w:ascii="Times New Roman" w:hAnsi="Times New Roman" w:eastAsia="仿宋_GB2312"/>
          <w:b/>
          <w:kern w:val="22"/>
          <w:sz w:val="32"/>
          <w:szCs w:val="32"/>
        </w:rPr>
        <w:t>一是强化部署推动。</w:t>
      </w:r>
      <w:r>
        <w:rPr>
          <w:rFonts w:hint="eastAsia" w:ascii="仿宋" w:hAnsi="仿宋" w:eastAsia="仿宋" w:cs="仿宋"/>
          <w:sz w:val="32"/>
          <w:szCs w:val="32"/>
        </w:rPr>
        <w:t>县教体局高度重视政务公开工作，建立局机关信息公开工作领导小组，强化政务公开工作领导，成立了以局长为组长，分管副局长为副组长，各科室责任人为成员的政府信息领导小组，具体工作由局办公室牵头，各科室根据职能和工作情况做好相关的辅助工作，形成了齐抓共管、奋力向前的工作作风，为高效开展政务公开工作做了重大保障。</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楷体_GB2312" w:hAnsi="Times New Roman" w:eastAsia="楷体_GB2312"/>
          <w:kern w:val="22"/>
          <w:sz w:val="32"/>
          <w:szCs w:val="32"/>
        </w:rPr>
        <w:t>（二）主动公开政府信息情况</w:t>
      </w:r>
    </w:p>
    <w:p>
      <w:pPr>
        <w:pStyle w:val="8"/>
        <w:widowControl/>
        <w:spacing w:after="0" w:line="560" w:lineRule="exact"/>
        <w:ind w:firstLine="420"/>
        <w:jc w:val="both"/>
        <w:rPr>
          <w:rFonts w:hint="eastAsia" w:ascii="仿宋" w:hAnsi="仿宋" w:eastAsia="仿宋" w:cs="仿宋"/>
          <w:sz w:val="32"/>
          <w:szCs w:val="32"/>
        </w:rPr>
      </w:pPr>
      <w:r>
        <w:rPr>
          <w:rFonts w:hint="eastAsia" w:ascii="仿宋_GB2312" w:eastAsia="仿宋_GB2312"/>
          <w:b/>
          <w:sz w:val="32"/>
          <w:szCs w:val="32"/>
        </w:rPr>
        <w:t>人大代表建议和政协委员提案办理结果公开方面</w:t>
      </w:r>
      <w:r>
        <w:rPr>
          <w:rFonts w:hint="eastAsia" w:ascii="仿宋_GB2312" w:eastAsia="仿宋_GB2312"/>
          <w:sz w:val="32"/>
          <w:szCs w:val="32"/>
        </w:rPr>
        <w:t>：按照《高青县人民政府办公室关于做好2019年度政府系统建议提案办理工作的通知》（高政办字〔2019〕14号）要求，在县政府网站“建议提案办理”栏目主动公开人大代表建议和政协委员提案办理情况。</w:t>
      </w:r>
      <w:r>
        <w:rPr>
          <w:rFonts w:hint="eastAsia" w:ascii="仿宋" w:hAnsi="仿宋" w:eastAsia="仿宋" w:cs="仿宋"/>
          <w:sz w:val="32"/>
          <w:szCs w:val="32"/>
        </w:rPr>
        <w:t>2019年主动公开县政府承办的3件县人大代表建议、4件县政协委员提案的整体办理情况，对涉及公共利益、公众权益、社会关切及需要社会广泛知晓的建议和提案办理复文全文予以公开。</w:t>
      </w:r>
    </w:p>
    <w:p>
      <w:pPr>
        <w:pStyle w:val="8"/>
        <w:widowControl/>
        <w:spacing w:after="0" w:line="560" w:lineRule="exact"/>
        <w:ind w:firstLine="420"/>
        <w:jc w:val="both"/>
        <w:rPr>
          <w:rFonts w:hint="eastAsia" w:ascii="仿宋" w:hAnsi="仿宋" w:eastAsia="仿宋" w:cs="仿宋"/>
          <w:sz w:val="32"/>
          <w:szCs w:val="32"/>
          <w:lang w:eastAsia="zh-CN"/>
        </w:rPr>
      </w:pPr>
      <w:r>
        <w:rPr>
          <w:rFonts w:hint="eastAsia" w:ascii="仿宋_GB2312" w:eastAsia="仿宋_GB2312"/>
          <w:b/>
          <w:sz w:val="32"/>
          <w:szCs w:val="32"/>
        </w:rPr>
        <w:t>教育信息公开情况：</w:t>
      </w:r>
      <w:r>
        <w:rPr>
          <w:rFonts w:hint="eastAsia" w:ascii="仿宋" w:hAnsi="仿宋" w:eastAsia="仿宋" w:cs="仿宋"/>
          <w:sz w:val="32"/>
          <w:szCs w:val="32"/>
          <w:lang w:eastAsia="zh-CN"/>
        </w:rPr>
        <w:t>学前教育方面，公开高青县公办幼儿园名录、高青县幼儿园评估结果、高青县幼儿园布局建设规划等信息；义务教育方面，及时公开</w:t>
      </w:r>
      <w:r>
        <w:rPr>
          <w:rFonts w:hint="eastAsia" w:ascii="仿宋" w:hAnsi="仿宋" w:eastAsia="仿宋" w:cs="仿宋"/>
          <w:sz w:val="32"/>
          <w:szCs w:val="32"/>
          <w:lang w:val="en-US" w:eastAsia="zh-CN"/>
        </w:rPr>
        <w:t>2019年度高青县义务教育段学校招生程序、招生范围、咨询方式、报名条件、招生结果等信息。</w:t>
      </w:r>
      <w:bookmarkStart w:id="0" w:name="_GoBack"/>
      <w:bookmarkEnd w:id="0"/>
    </w:p>
    <w:p>
      <w:pPr>
        <w:pStyle w:val="8"/>
        <w:widowControl/>
        <w:spacing w:after="0" w:line="560" w:lineRule="exact"/>
        <w:ind w:firstLine="420"/>
        <w:jc w:val="both"/>
        <w:rPr>
          <w:rFonts w:hint="eastAsia" w:ascii="仿宋" w:hAnsi="仿宋" w:eastAsia="仿宋" w:cs="仿宋"/>
          <w:sz w:val="32"/>
          <w:szCs w:val="32"/>
        </w:rPr>
      </w:pPr>
      <w:r>
        <w:rPr>
          <w:rFonts w:hint="eastAsia" w:ascii="仿宋" w:hAnsi="仿宋" w:eastAsia="仿宋" w:cs="仿宋"/>
          <w:sz w:val="32"/>
          <w:szCs w:val="32"/>
        </w:rPr>
        <w:t>（三）依申请公开情况</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仿宋_GB2312" w:hAnsi="仿宋" w:eastAsia="仿宋_GB2312" w:cs="仿宋_GB2312"/>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w:t>
      </w:r>
      <w:r>
        <w:rPr>
          <w:rFonts w:ascii="仿宋_GB2312" w:hAnsi="仿宋" w:eastAsia="仿宋_GB2312" w:cs="仿宋_GB2312"/>
          <w:sz w:val="32"/>
          <w:szCs w:val="32"/>
        </w:rPr>
        <w:t>对于较为复杂的申请件，主动与申请人沟通，了解群众需求，避免因误解引起行政复议或</w:t>
      </w:r>
      <w:r>
        <w:rPr>
          <w:rFonts w:hint="eastAsia" w:ascii="仿宋_GB2312" w:hAnsi="仿宋" w:eastAsia="仿宋_GB2312" w:cs="仿宋_GB2312"/>
          <w:sz w:val="32"/>
          <w:szCs w:val="32"/>
        </w:rPr>
        <w:t>行政</w:t>
      </w:r>
      <w:r>
        <w:rPr>
          <w:rFonts w:ascii="仿宋_GB2312" w:hAnsi="仿宋" w:eastAsia="仿宋_GB2312" w:cs="仿宋_GB2312"/>
          <w:sz w:val="32"/>
          <w:szCs w:val="32"/>
        </w:rPr>
        <w:t>诉讼</w:t>
      </w:r>
      <w:r>
        <w:rPr>
          <w:rFonts w:hint="eastAsia" w:ascii="仿宋_GB2312" w:hAnsi="仿宋" w:eastAsia="仿宋_GB2312" w:cs="仿宋_GB2312"/>
          <w:sz w:val="32"/>
          <w:szCs w:val="32"/>
        </w:rPr>
        <w:t>。</w:t>
      </w:r>
    </w:p>
    <w:p>
      <w:pPr>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w:t>
      </w:r>
      <w:r>
        <w:rPr>
          <w:rFonts w:hint="eastAsia" w:ascii="Times New Roman" w:hAnsi="Times New Roman" w:eastAsia="仿宋_GB2312"/>
          <w:b/>
          <w:kern w:val="0"/>
          <w:sz w:val="32"/>
          <w:szCs w:val="32"/>
        </w:rPr>
        <w:t>收到和处理政府信息公开申请情况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2019年度，我局各级各部门各单位共收到政府信息公开申请1件，结转下年度继续办理0件，上年结转政府信息公开申请0件。</w:t>
      </w:r>
    </w:p>
    <w:p>
      <w:pPr>
        <w:spacing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rPr>
        <w:t>予以公开的办件有1件。</w:t>
      </w:r>
    </w:p>
    <w:p>
      <w:pPr>
        <w:spacing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rPr>
        <w:t>部分公开的有0件。</w:t>
      </w:r>
    </w:p>
    <w:p>
      <w:pPr>
        <w:spacing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rPr>
        <w:t>不予公开的有0件。</w:t>
      </w:r>
    </w:p>
    <w:p>
      <w:pPr>
        <w:spacing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rPr>
        <w:t>无法提供的办件有0件。</w:t>
      </w:r>
    </w:p>
    <w:p>
      <w:pPr>
        <w:pStyle w:val="8"/>
        <w:widowControl/>
        <w:tabs>
          <w:tab w:val="left" w:pos="3763"/>
        </w:tabs>
        <w:spacing w:after="0" w:line="560" w:lineRule="exact"/>
        <w:ind w:firstLine="643" w:firstLineChars="200"/>
        <w:jc w:val="both"/>
        <w:rPr>
          <w:rFonts w:ascii="楷体_GB2312" w:hAnsi="Times New Roman" w:eastAsia="楷体_GB2312"/>
          <w:kern w:val="22"/>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w:t>
      </w:r>
      <w:r>
        <w:rPr>
          <w:rFonts w:hint="eastAsia" w:ascii="Times New Roman" w:hAnsi="Times New Roman" w:eastAsia="仿宋_GB2312"/>
          <w:b/>
          <w:sz w:val="32"/>
          <w:szCs w:val="32"/>
        </w:rPr>
        <w:t>收费及减免情况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本年度，高青县教育和体育局在政府信息公开申请办理过程中，未收取任何费用。</w:t>
      </w:r>
    </w:p>
    <w:p>
      <w:pPr>
        <w:pStyle w:val="8"/>
        <w:widowControl/>
        <w:spacing w:after="0" w:line="560" w:lineRule="exact"/>
        <w:ind w:firstLine="643" w:firstLineChars="200"/>
        <w:jc w:val="both"/>
        <w:rPr>
          <w:rFonts w:ascii="Times New Roman" w:hAnsi="Times New Roman" w:eastAsia="仿宋_GB2312"/>
          <w:b/>
          <w:sz w:val="32"/>
          <w:szCs w:val="32"/>
        </w:rPr>
      </w:pPr>
      <w:r>
        <w:rPr>
          <w:rFonts w:hint="eastAsia" w:ascii="Times New Roman" w:hAnsi="Times New Roman" w:eastAsia="仿宋_GB2312"/>
          <w:b/>
          <w:sz w:val="32"/>
          <w:szCs w:val="32"/>
        </w:rPr>
        <w:t>3.政府信息公开行政复议、行政诉讼情况</w:t>
      </w:r>
    </w:p>
    <w:p>
      <w:pPr>
        <w:pStyle w:val="8"/>
        <w:widowControl/>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2019年，本单位因政府信息公开被申请行政复议0件，因政府信息公开被提起行政诉讼0件。</w:t>
      </w:r>
    </w:p>
    <w:p>
      <w:pPr>
        <w:pStyle w:val="8"/>
        <w:widowControl/>
        <w:spacing w:after="0" w:line="560" w:lineRule="exact"/>
        <w:ind w:firstLine="320" w:firstLineChars="100"/>
        <w:jc w:val="both"/>
        <w:rPr>
          <w:rFonts w:ascii="楷体_GB2312" w:hAnsi="Times New Roman" w:eastAsia="楷体_GB2312"/>
          <w:kern w:val="22"/>
          <w:sz w:val="32"/>
          <w:szCs w:val="32"/>
        </w:rPr>
      </w:pPr>
      <w:r>
        <w:rPr>
          <w:rFonts w:hint="eastAsia" w:ascii="楷体_GB2312" w:hAnsi="Times New Roman" w:eastAsia="楷体_GB2312"/>
          <w:kern w:val="22"/>
          <w:sz w:val="32"/>
          <w:szCs w:val="32"/>
        </w:rPr>
        <w:t>（四）政府信息管理情况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一是加强政府信息规范管理，</w:t>
      </w:r>
      <w:r>
        <w:rPr>
          <w:rFonts w:hint="eastAsia" w:ascii="仿宋" w:hAnsi="仿宋" w:eastAsia="仿宋" w:cs="仿宋"/>
          <w:sz w:val="32"/>
          <w:szCs w:val="32"/>
        </w:rPr>
        <w:t>高效利用信息公开渠道，充分发挥各学校的校园信息平台及时准确公布有关校务、党务情况，及时把收费、评先奖优等信息及时告知师生和家长作用，便于群众查询了解本部门的政务信息，系统发力，发挥好学校在信息公开和政策宣传方面的优势。接收社会各界人士的监督，提高工作的透明度和公信力。</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二是加强政府信息公开培训，召开了1次培训会，</w:t>
      </w:r>
      <w:r>
        <w:rPr>
          <w:rFonts w:hint="eastAsia" w:ascii="仿宋" w:hAnsi="仿宋" w:eastAsia="仿宋" w:cs="仿宋"/>
          <w:sz w:val="32"/>
          <w:szCs w:val="32"/>
        </w:rPr>
        <w:t>进一步加大培训力度，积极开展对标赶超活动，对标先进，查</w:t>
      </w:r>
      <w:r>
        <w:rPr>
          <w:rFonts w:hint="eastAsia" w:ascii="Times New Roman" w:hAnsi="Times New Roman" w:eastAsia="仿宋_GB2312"/>
          <w:kern w:val="22"/>
          <w:sz w:val="32"/>
          <w:szCs w:val="32"/>
        </w:rPr>
        <w:t>找差距不足，制定赶超措施，提升政务公开水平，为推动全市政务公开整体工作贡献一份力量。</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楷体_GB2312" w:hAnsi="Times New Roman" w:eastAsia="楷体_GB2312"/>
          <w:kern w:val="22"/>
          <w:sz w:val="32"/>
          <w:szCs w:val="32"/>
        </w:rPr>
        <w:t>（五）政府信息公开平台、机构建设和人员情况</w:t>
      </w:r>
    </w:p>
    <w:p>
      <w:pPr>
        <w:pStyle w:val="8"/>
        <w:widowControl/>
        <w:spacing w:after="0" w:line="560" w:lineRule="exact"/>
        <w:ind w:firstLine="643" w:firstLineChars="200"/>
        <w:jc w:val="both"/>
        <w:rPr>
          <w:rFonts w:ascii="Times New Roman" w:hAnsi="Times New Roman" w:eastAsia="仿宋_GB2312"/>
          <w:kern w:val="22"/>
          <w:sz w:val="32"/>
          <w:szCs w:val="32"/>
        </w:rPr>
      </w:pPr>
      <w:r>
        <w:rPr>
          <w:rFonts w:hint="eastAsia" w:ascii="Times New Roman" w:hAnsi="Times New Roman" w:eastAsia="仿宋_GB2312"/>
          <w:b/>
          <w:kern w:val="22"/>
          <w:sz w:val="32"/>
          <w:szCs w:val="32"/>
        </w:rPr>
        <w:t>一是加强平台建设。</w:t>
      </w:r>
      <w:r>
        <w:rPr>
          <w:rFonts w:hint="eastAsia" w:ascii="仿宋" w:hAnsi="仿宋" w:eastAsia="仿宋" w:cs="仿宋"/>
          <w:sz w:val="32"/>
          <w:szCs w:val="32"/>
        </w:rPr>
        <w:t>强化平台建设，推动有效发展。高效利用信息公开渠道，充分发挥各学校的校园信息平台及时准确公布有关校务、党务情况，及时把收费、评先奖优等信息及时告知师生和家长作用，便于群众查询了解本部门的政务信息，系统发力，发挥好学校在信息公开和政策宣传方面的优势。接收社会各界人士的监督，提高工作的透明度和公信力。</w:t>
      </w:r>
    </w:p>
    <w:p>
      <w:pPr>
        <w:pStyle w:val="8"/>
        <w:widowControl/>
        <w:spacing w:after="0" w:line="560" w:lineRule="exact"/>
        <w:ind w:firstLine="420"/>
        <w:jc w:val="both"/>
        <w:rPr>
          <w:rFonts w:ascii="仿宋" w:hAnsi="仿宋" w:eastAsia="仿宋" w:cs="仿宋"/>
          <w:sz w:val="32"/>
          <w:szCs w:val="32"/>
        </w:rPr>
      </w:pPr>
      <w:r>
        <w:rPr>
          <w:rFonts w:hint="eastAsia" w:ascii="Times New Roman" w:hAnsi="Times New Roman" w:eastAsia="仿宋_GB2312"/>
          <w:b/>
          <w:kern w:val="22"/>
          <w:sz w:val="32"/>
          <w:szCs w:val="32"/>
        </w:rPr>
        <w:t>二是强化机构建设。</w:t>
      </w:r>
      <w:r>
        <w:rPr>
          <w:rFonts w:hint="eastAsia" w:ascii="仿宋" w:hAnsi="仿宋" w:eastAsia="仿宋" w:cs="仿宋"/>
          <w:sz w:val="32"/>
          <w:szCs w:val="32"/>
        </w:rPr>
        <w:t>建立局机关信息公开工作领导小组，强化政务公开工作领导，成立了以局长为组长，分管副局长为副组长，各科室责任人为成员的政府信息领导小组，具体工作由局办公室牵头，各科室根据职能和工作情况做好相关的辅助工作，形成了齐抓共管、奋力向前的工作作风，为高效开展政务公开工作做了重大保障。</w:t>
      </w:r>
    </w:p>
    <w:p>
      <w:pPr>
        <w:pStyle w:val="8"/>
        <w:widowControl/>
        <w:spacing w:after="0" w:line="560" w:lineRule="exact"/>
        <w:ind w:firstLine="420"/>
        <w:jc w:val="both"/>
        <w:rPr>
          <w:rFonts w:ascii="仿宋" w:hAnsi="仿宋" w:eastAsia="仿宋" w:cs="仿宋"/>
          <w:sz w:val="32"/>
          <w:szCs w:val="32"/>
        </w:rPr>
      </w:pPr>
      <w:r>
        <w:rPr>
          <w:rFonts w:hint="eastAsia" w:ascii="Times New Roman" w:hAnsi="Times New Roman" w:eastAsia="仿宋_GB2312"/>
          <w:b/>
          <w:kern w:val="22"/>
          <w:sz w:val="32"/>
          <w:szCs w:val="32"/>
        </w:rPr>
        <w:t>二是健全工作制度。</w:t>
      </w:r>
      <w:r>
        <w:rPr>
          <w:rFonts w:hint="eastAsia" w:ascii="仿宋" w:hAnsi="仿宋" w:eastAsia="仿宋" w:cs="仿宋"/>
          <w:sz w:val="32"/>
          <w:szCs w:val="32"/>
        </w:rPr>
        <w:t>完善工作流程。根据《政府信息公开条例》和上级有关规定，结合我县教育实际，不断健全教育信息主动公开工作机制和信息发布协调机制，明确职责、程序、公开原则、公开内容和公开方式，保证发布的教育信息准确一致，强化政策解读，切实推动教育信息公开工作的规范化、制度化；落实保密机制，不断加强保密宣传教育，夯实保密工作的人员基础、体制基础和技术基础，本年度未发生发布的教育信息有泄密行为。</w:t>
      </w:r>
    </w:p>
    <w:p>
      <w:pPr>
        <w:pStyle w:val="8"/>
        <w:widowControl/>
        <w:spacing w:after="0" w:line="560" w:lineRule="exact"/>
        <w:ind w:firstLine="420"/>
        <w:jc w:val="both"/>
        <w:rPr>
          <w:rFonts w:ascii="楷体_GB2312" w:hAnsi="Times New Roman" w:eastAsia="楷体_GB2312"/>
          <w:kern w:val="22"/>
          <w:sz w:val="32"/>
          <w:szCs w:val="32"/>
        </w:rPr>
      </w:pPr>
      <w:r>
        <w:rPr>
          <w:rFonts w:hint="eastAsia" w:ascii="楷体_GB2312" w:hAnsi="Times New Roman" w:eastAsia="楷体_GB2312"/>
          <w:kern w:val="22"/>
          <w:sz w:val="32"/>
          <w:szCs w:val="32"/>
        </w:rPr>
        <w:t>（六）监督保障情况</w:t>
      </w:r>
    </w:p>
    <w:p>
      <w:pPr>
        <w:pStyle w:val="8"/>
        <w:widowControl/>
        <w:spacing w:after="0" w:line="560" w:lineRule="exact"/>
        <w:ind w:firstLine="643" w:firstLineChars="200"/>
        <w:jc w:val="both"/>
        <w:rPr>
          <w:rFonts w:ascii="仿宋" w:hAnsi="仿宋" w:eastAsia="仿宋" w:cs="仿宋"/>
          <w:sz w:val="32"/>
          <w:szCs w:val="32"/>
        </w:rPr>
      </w:pPr>
      <w:r>
        <w:rPr>
          <w:rFonts w:hint="eastAsia" w:ascii="Times New Roman" w:hAnsi="Times New Roman" w:eastAsia="仿宋_GB2312"/>
          <w:b/>
          <w:kern w:val="22"/>
          <w:sz w:val="32"/>
          <w:szCs w:val="32"/>
        </w:rPr>
        <w:t>一是加强工作考核。</w:t>
      </w:r>
      <w:r>
        <w:rPr>
          <w:rFonts w:hint="eastAsia" w:ascii="仿宋" w:hAnsi="仿宋" w:eastAsia="仿宋" w:cs="仿宋"/>
          <w:sz w:val="32"/>
          <w:szCs w:val="32"/>
        </w:rPr>
        <w:t>强化随机巡查，定期检查已经公开的内容，按照督查结果及时补充公开目录完善公开内容。每季度定期对相关单位的政务公开情况进行汇总通报，对工作滞后、整改不到位的单位，确保工作有成效。</w:t>
      </w:r>
    </w:p>
    <w:p>
      <w:pPr>
        <w:spacing w:line="560" w:lineRule="exact"/>
        <w:ind w:firstLine="643" w:firstLineChars="200"/>
        <w:rPr>
          <w:rFonts w:ascii="仿宋" w:hAnsi="仿宋" w:eastAsia="仿宋" w:cs="仿宋"/>
          <w:sz w:val="32"/>
          <w:szCs w:val="32"/>
        </w:rPr>
      </w:pPr>
      <w:r>
        <w:rPr>
          <w:rFonts w:hint="eastAsia" w:ascii="Times New Roman" w:hAnsi="Times New Roman" w:eastAsia="仿宋_GB2312"/>
          <w:b/>
          <w:kern w:val="22"/>
          <w:sz w:val="32"/>
          <w:szCs w:val="32"/>
        </w:rPr>
        <w:t>二是强化责任追究。</w:t>
      </w:r>
      <w:r>
        <w:rPr>
          <w:rFonts w:hint="eastAsia" w:ascii="仿宋" w:hAnsi="仿宋" w:eastAsia="仿宋" w:cs="仿宋"/>
          <w:sz w:val="32"/>
          <w:szCs w:val="32"/>
        </w:rPr>
        <w:t>强化自查自纠。机关各科室、各学校严格开展对本单位政府信息公开网站（栏目）的自查自纠整改提升工作。对信息内容有保障的栏目，做到及时更新信息内容，严格强化责任追究意识。</w:t>
      </w:r>
    </w:p>
    <w:p>
      <w:pPr>
        <w:pStyle w:val="8"/>
        <w:widowControl/>
        <w:spacing w:after="0" w:line="560" w:lineRule="exact"/>
        <w:ind w:firstLine="640" w:firstLineChars="200"/>
        <w:jc w:val="both"/>
        <w:rPr>
          <w:rFonts w:ascii="黑体" w:hAnsi="黑体" w:eastAsia="黑体" w:cs="仿宋"/>
          <w:sz w:val="32"/>
          <w:szCs w:val="32"/>
        </w:rPr>
      </w:pPr>
    </w:p>
    <w:p>
      <w:pPr>
        <w:pStyle w:val="8"/>
        <w:widowControl/>
        <w:spacing w:after="0" w:line="560" w:lineRule="exact"/>
        <w:ind w:firstLine="640" w:firstLineChars="200"/>
        <w:jc w:val="both"/>
        <w:rPr>
          <w:rFonts w:ascii="黑体" w:hAnsi="黑体" w:eastAsia="黑体"/>
          <w:b/>
          <w:sz w:val="32"/>
          <w:szCs w:val="32"/>
        </w:rPr>
      </w:pPr>
      <w:r>
        <w:rPr>
          <w:rFonts w:hint="eastAsia" w:ascii="黑体" w:hAnsi="黑体" w:eastAsia="黑体" w:cs="仿宋"/>
          <w:sz w:val="32"/>
          <w:szCs w:val="32"/>
        </w:rPr>
        <w:t>二、</w:t>
      </w:r>
      <w:r>
        <w:rPr>
          <w:rFonts w:hint="eastAsia" w:ascii="黑体" w:hAnsi="黑体" w:eastAsia="黑体"/>
          <w:b/>
          <w:sz w:val="32"/>
          <w:szCs w:val="32"/>
        </w:rPr>
        <w:t>主动公开政府信息情况</w:t>
      </w: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31" w:type="dxa"/>
            <w:gridSpan w:val="4"/>
            <w:vAlign w:val="center"/>
          </w:tcPr>
          <w:p>
            <w:pPr>
              <w:jc w:val="center"/>
              <w:rPr>
                <w:kern w:val="0"/>
                <w:sz w:val="24"/>
              </w:rPr>
            </w:pPr>
            <w:r>
              <w:rPr>
                <w:rFonts w:hint="eastAsia"/>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本年新制作数量</w:t>
            </w:r>
          </w:p>
        </w:tc>
        <w:tc>
          <w:tcPr>
            <w:tcW w:w="2030" w:type="dxa"/>
            <w:vAlign w:val="center"/>
          </w:tcPr>
          <w:p>
            <w:pPr>
              <w:jc w:val="center"/>
              <w:rPr>
                <w:kern w:val="0"/>
                <w:sz w:val="24"/>
              </w:rPr>
            </w:pPr>
            <w:r>
              <w:rPr>
                <w:rFonts w:hint="eastAsia"/>
                <w:kern w:val="0"/>
                <w:sz w:val="24"/>
              </w:rPr>
              <w:t>本年新</w:t>
            </w:r>
          </w:p>
          <w:p>
            <w:pPr>
              <w:jc w:val="center"/>
              <w:rPr>
                <w:kern w:val="0"/>
                <w:sz w:val="24"/>
              </w:rPr>
            </w:pPr>
            <w:r>
              <w:rPr>
                <w:rFonts w:hint="eastAsia"/>
                <w:kern w:val="0"/>
                <w:sz w:val="24"/>
              </w:rPr>
              <w:t>公开数量</w:t>
            </w:r>
          </w:p>
        </w:tc>
        <w:tc>
          <w:tcPr>
            <w:tcW w:w="2222" w:type="dxa"/>
            <w:vAlign w:val="center"/>
          </w:tcPr>
          <w:p>
            <w:pPr>
              <w:jc w:val="center"/>
              <w:rPr>
                <w:kern w:val="0"/>
                <w:sz w:val="24"/>
              </w:rPr>
            </w:pPr>
            <w:r>
              <w:rPr>
                <w:rFonts w:hint="eastAsia"/>
                <w:kern w:val="0"/>
                <w:sz w:val="24"/>
              </w:rPr>
              <w:t>对外公开</w:t>
            </w:r>
          </w:p>
          <w:p>
            <w:pPr>
              <w:jc w:val="center"/>
              <w:rPr>
                <w:kern w:val="0"/>
                <w:sz w:val="24"/>
              </w:rPr>
            </w:pPr>
            <w:r>
              <w:rPr>
                <w:rFonts w:hint="eastAsia"/>
                <w:kern w:val="0"/>
                <w:sz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vAlign w:val="center"/>
          </w:tcPr>
          <w:p>
            <w:pPr>
              <w:rPr>
                <w:kern w:val="0"/>
                <w:sz w:val="24"/>
              </w:rPr>
            </w:pPr>
            <w:r>
              <w:rPr>
                <w:rFonts w:hint="eastAsia"/>
                <w:kern w:val="0"/>
                <w:sz w:val="24"/>
              </w:rPr>
              <w:t>规章</w:t>
            </w:r>
          </w:p>
        </w:tc>
        <w:tc>
          <w:tcPr>
            <w:tcW w:w="1985" w:type="dxa"/>
            <w:vAlign w:val="center"/>
          </w:tcPr>
          <w:p>
            <w:pPr>
              <w:jc w:val="center"/>
              <w:rPr>
                <w:kern w:val="0"/>
                <w:sz w:val="24"/>
              </w:rPr>
            </w:pPr>
            <w:r>
              <w:rPr>
                <w:rFonts w:hint="eastAsia"/>
                <w:kern w:val="0"/>
                <w:sz w:val="24"/>
              </w:rPr>
              <w:t>0</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rPr>
                <w:kern w:val="0"/>
                <w:sz w:val="24"/>
              </w:rPr>
            </w:pPr>
            <w:r>
              <w:rPr>
                <w:rFonts w:hint="eastAsia"/>
                <w:kern w:val="0"/>
                <w:sz w:val="24"/>
              </w:rPr>
              <w:t>规范性文件</w:t>
            </w:r>
          </w:p>
        </w:tc>
        <w:tc>
          <w:tcPr>
            <w:tcW w:w="1985" w:type="dxa"/>
            <w:vAlign w:val="center"/>
          </w:tcPr>
          <w:p>
            <w:pPr>
              <w:jc w:val="center"/>
              <w:rPr>
                <w:kern w:val="0"/>
                <w:sz w:val="24"/>
              </w:rPr>
            </w:pPr>
            <w:r>
              <w:rPr>
                <w:rFonts w:hint="eastAsia"/>
                <w:kern w:val="0"/>
                <w:sz w:val="24"/>
              </w:rPr>
              <w:t>0</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31" w:type="dxa"/>
            <w:gridSpan w:val="4"/>
            <w:vAlign w:val="center"/>
          </w:tcPr>
          <w:p>
            <w:pPr>
              <w:jc w:val="center"/>
              <w:rPr>
                <w:kern w:val="0"/>
                <w:sz w:val="24"/>
              </w:rPr>
            </w:pPr>
            <w:r>
              <w:rPr>
                <w:rFonts w:hint="eastAsia"/>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94" w:type="dxa"/>
            <w:vAlign w:val="center"/>
          </w:tcPr>
          <w:p>
            <w:pPr>
              <w:rPr>
                <w:kern w:val="0"/>
                <w:sz w:val="24"/>
              </w:rPr>
            </w:pPr>
            <w:r>
              <w:rPr>
                <w:rFonts w:hint="eastAsia"/>
                <w:kern w:val="0"/>
                <w:sz w:val="24"/>
              </w:rPr>
              <w:t>行政许可</w:t>
            </w:r>
          </w:p>
        </w:tc>
        <w:tc>
          <w:tcPr>
            <w:tcW w:w="1985" w:type="dxa"/>
            <w:vAlign w:val="center"/>
          </w:tcPr>
          <w:p>
            <w:pPr>
              <w:jc w:val="center"/>
              <w:rPr>
                <w:kern w:val="0"/>
                <w:sz w:val="24"/>
              </w:rPr>
            </w:pPr>
            <w:r>
              <w:rPr>
                <w:rFonts w:hint="eastAsia"/>
                <w:kern w:val="0"/>
                <w:sz w:val="24"/>
              </w:rPr>
              <w:t>6</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94" w:type="dxa"/>
            <w:vAlign w:val="center"/>
          </w:tcPr>
          <w:p>
            <w:pPr>
              <w:rPr>
                <w:kern w:val="0"/>
                <w:sz w:val="24"/>
              </w:rPr>
            </w:pPr>
            <w:r>
              <w:rPr>
                <w:rFonts w:hint="eastAsia"/>
                <w:kern w:val="0"/>
                <w:sz w:val="24"/>
              </w:rPr>
              <w:t>其他对外管理服务事项</w:t>
            </w:r>
          </w:p>
        </w:tc>
        <w:tc>
          <w:tcPr>
            <w:tcW w:w="1985" w:type="dxa"/>
            <w:vAlign w:val="center"/>
          </w:tcPr>
          <w:p>
            <w:pPr>
              <w:jc w:val="center"/>
              <w:rPr>
                <w:kern w:val="0"/>
                <w:sz w:val="24"/>
              </w:rPr>
            </w:pPr>
            <w:r>
              <w:rPr>
                <w:rFonts w:hint="eastAsia"/>
                <w:kern w:val="0"/>
                <w:sz w:val="24"/>
              </w:rPr>
              <w:t>58</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31" w:type="dxa"/>
            <w:gridSpan w:val="4"/>
            <w:vAlign w:val="center"/>
          </w:tcPr>
          <w:p>
            <w:pPr>
              <w:jc w:val="center"/>
              <w:rPr>
                <w:kern w:val="0"/>
                <w:sz w:val="24"/>
              </w:rPr>
            </w:pPr>
            <w:r>
              <w:rPr>
                <w:rFonts w:hint="eastAsia"/>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行政处罚</w:t>
            </w:r>
          </w:p>
        </w:tc>
        <w:tc>
          <w:tcPr>
            <w:tcW w:w="1985" w:type="dxa"/>
            <w:vAlign w:val="center"/>
          </w:tcPr>
          <w:p>
            <w:pPr>
              <w:jc w:val="center"/>
              <w:rPr>
                <w:kern w:val="0"/>
                <w:sz w:val="24"/>
              </w:rPr>
            </w:pPr>
            <w:r>
              <w:rPr>
                <w:rFonts w:hint="eastAsia"/>
                <w:kern w:val="0"/>
                <w:sz w:val="24"/>
              </w:rPr>
              <w:t>37</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行政强制</w:t>
            </w:r>
          </w:p>
        </w:tc>
        <w:tc>
          <w:tcPr>
            <w:tcW w:w="1985" w:type="dxa"/>
            <w:vAlign w:val="center"/>
          </w:tcPr>
          <w:p>
            <w:pPr>
              <w:jc w:val="center"/>
              <w:rPr>
                <w:kern w:val="0"/>
                <w:sz w:val="24"/>
              </w:rPr>
            </w:pPr>
            <w:r>
              <w:rPr>
                <w:rFonts w:hint="eastAsia"/>
                <w:kern w:val="0"/>
                <w:sz w:val="24"/>
              </w:rPr>
              <w:t>2</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1" w:type="dxa"/>
            <w:gridSpan w:val="4"/>
            <w:vAlign w:val="center"/>
          </w:tcPr>
          <w:p>
            <w:pPr>
              <w:jc w:val="center"/>
              <w:rPr>
                <w:kern w:val="0"/>
                <w:sz w:val="24"/>
              </w:rPr>
            </w:pPr>
            <w:r>
              <w:rPr>
                <w:rFonts w:hint="eastAsia"/>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4252" w:type="dxa"/>
            <w:gridSpan w:val="2"/>
            <w:vAlign w:val="center"/>
          </w:tcPr>
          <w:p>
            <w:pPr>
              <w:jc w:val="center"/>
              <w:rPr>
                <w:kern w:val="0"/>
                <w:sz w:val="24"/>
              </w:rPr>
            </w:pPr>
            <w:r>
              <w:rPr>
                <w:rFonts w:hint="eastAsia"/>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rPr>
                <w:kern w:val="0"/>
                <w:sz w:val="24"/>
              </w:rPr>
            </w:pPr>
            <w:r>
              <w:rPr>
                <w:rFonts w:hint="eastAsia"/>
                <w:kern w:val="0"/>
                <w:sz w:val="24"/>
              </w:rPr>
              <w:t>行政事业性收费</w:t>
            </w:r>
          </w:p>
        </w:tc>
        <w:tc>
          <w:tcPr>
            <w:tcW w:w="1985" w:type="dxa"/>
            <w:vAlign w:val="center"/>
          </w:tcPr>
          <w:p>
            <w:pPr>
              <w:jc w:val="center"/>
              <w:rPr>
                <w:kern w:val="0"/>
                <w:sz w:val="24"/>
              </w:rPr>
            </w:pPr>
            <w:r>
              <w:rPr>
                <w:rFonts w:hint="eastAsia"/>
                <w:kern w:val="0"/>
                <w:sz w:val="24"/>
              </w:rPr>
              <w:t>3</w:t>
            </w:r>
          </w:p>
        </w:tc>
        <w:tc>
          <w:tcPr>
            <w:tcW w:w="4252" w:type="dxa"/>
            <w:gridSpan w:val="2"/>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31" w:type="dxa"/>
            <w:gridSpan w:val="4"/>
            <w:vAlign w:val="center"/>
          </w:tcPr>
          <w:p>
            <w:pPr>
              <w:jc w:val="center"/>
              <w:rPr>
                <w:kern w:val="0"/>
                <w:sz w:val="24"/>
              </w:rPr>
            </w:pPr>
            <w:r>
              <w:rPr>
                <w:rFonts w:hint="eastAsia"/>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采购项目数量</w:t>
            </w:r>
          </w:p>
        </w:tc>
        <w:tc>
          <w:tcPr>
            <w:tcW w:w="4252" w:type="dxa"/>
            <w:gridSpan w:val="2"/>
            <w:vAlign w:val="center"/>
          </w:tcPr>
          <w:p>
            <w:pPr>
              <w:jc w:val="center"/>
              <w:rPr>
                <w:kern w:val="0"/>
                <w:sz w:val="24"/>
              </w:rPr>
            </w:pPr>
            <w:r>
              <w:rPr>
                <w:rFonts w:hint="eastAsia"/>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kern w:val="0"/>
                <w:sz w:val="24"/>
              </w:rPr>
            </w:pPr>
            <w:r>
              <w:rPr>
                <w:rFonts w:hint="eastAsia"/>
                <w:kern w:val="0"/>
                <w:sz w:val="24"/>
              </w:rPr>
              <w:t>政府集中采购</w:t>
            </w:r>
          </w:p>
        </w:tc>
        <w:tc>
          <w:tcPr>
            <w:tcW w:w="1985" w:type="dxa"/>
            <w:vAlign w:val="center"/>
          </w:tcPr>
          <w:p>
            <w:pPr>
              <w:jc w:val="center"/>
              <w:rPr>
                <w:kern w:val="0"/>
                <w:sz w:val="24"/>
              </w:rPr>
            </w:pPr>
            <w:r>
              <w:rPr>
                <w:rFonts w:hint="eastAsia"/>
                <w:kern w:val="0"/>
                <w:sz w:val="24"/>
              </w:rPr>
              <w:t>230</w:t>
            </w:r>
          </w:p>
        </w:tc>
        <w:tc>
          <w:tcPr>
            <w:tcW w:w="4252" w:type="dxa"/>
            <w:gridSpan w:val="2"/>
            <w:vAlign w:val="center"/>
          </w:tcPr>
          <w:p>
            <w:pPr>
              <w:jc w:val="center"/>
              <w:rPr>
                <w:kern w:val="0"/>
                <w:sz w:val="24"/>
              </w:rPr>
            </w:pPr>
            <w:r>
              <w:rPr>
                <w:rFonts w:hint="eastAsia"/>
                <w:kern w:val="0"/>
                <w:sz w:val="24"/>
              </w:rPr>
              <w:t>1317.23万</w:t>
            </w:r>
            <w:r>
              <w:rPr>
                <w:kern w:val="0"/>
                <w:sz w:val="24"/>
              </w:rPr>
              <w:t>元</w:t>
            </w:r>
          </w:p>
        </w:tc>
      </w:tr>
    </w:tbl>
    <w:p>
      <w:pPr>
        <w:pStyle w:val="8"/>
        <w:widowControl/>
        <w:spacing w:after="0"/>
        <w:ind w:firstLine="640" w:firstLineChars="200"/>
        <w:jc w:val="both"/>
        <w:rPr>
          <w:rFonts w:hint="eastAsia" w:ascii="黑体" w:hAnsi="黑体" w:eastAsia="黑体" w:cs="仿宋"/>
          <w:sz w:val="32"/>
          <w:szCs w:val="32"/>
        </w:rPr>
      </w:pPr>
    </w:p>
    <w:p>
      <w:pPr>
        <w:pStyle w:val="8"/>
        <w:widowControl/>
        <w:spacing w:after="0"/>
        <w:ind w:firstLine="640" w:firstLineChars="200"/>
        <w:jc w:val="both"/>
        <w:rPr>
          <w:rFonts w:hint="eastAsia" w:ascii="黑体" w:hAnsi="黑体" w:eastAsia="黑体" w:cs="仿宋"/>
          <w:sz w:val="32"/>
          <w:szCs w:val="32"/>
        </w:rPr>
      </w:pPr>
    </w:p>
    <w:p>
      <w:pPr>
        <w:pStyle w:val="8"/>
        <w:widowControl/>
        <w:spacing w:after="0"/>
        <w:ind w:firstLine="640" w:firstLineChars="200"/>
        <w:jc w:val="both"/>
        <w:rPr>
          <w:rFonts w:hint="eastAsia" w:ascii="黑体" w:hAnsi="黑体" w:eastAsia="黑体" w:cs="仿宋"/>
          <w:sz w:val="32"/>
          <w:szCs w:val="32"/>
        </w:rPr>
      </w:pPr>
    </w:p>
    <w:p>
      <w:pPr>
        <w:pStyle w:val="8"/>
        <w:widowControl/>
        <w:spacing w:after="0"/>
        <w:ind w:firstLine="640" w:firstLineChars="200"/>
        <w:jc w:val="both"/>
        <w:rPr>
          <w:rFonts w:ascii="黑体" w:hAnsi="黑体" w:eastAsia="黑体" w:cs="仿宋"/>
          <w:sz w:val="32"/>
          <w:szCs w:val="32"/>
        </w:rPr>
      </w:pPr>
    </w:p>
    <w:p>
      <w:pPr>
        <w:pStyle w:val="8"/>
        <w:widowControl/>
        <w:spacing w:after="0"/>
        <w:jc w:val="both"/>
        <w:rPr>
          <w:rFonts w:ascii="黑体" w:hAnsi="黑体" w:eastAsia="黑体" w:cs="仿宋"/>
          <w:sz w:val="32"/>
          <w:szCs w:val="32"/>
        </w:rPr>
      </w:pPr>
    </w:p>
    <w:p>
      <w:pPr>
        <w:pStyle w:val="8"/>
        <w:widowControl/>
        <w:spacing w:after="0"/>
        <w:jc w:val="both"/>
        <w:rPr>
          <w:rFonts w:ascii="黑体" w:hAnsi="黑体" w:eastAsia="黑体" w:cs="仿宋"/>
          <w:sz w:val="32"/>
          <w:szCs w:val="32"/>
        </w:rPr>
      </w:pPr>
    </w:p>
    <w:p>
      <w:pPr>
        <w:pStyle w:val="8"/>
        <w:widowControl/>
        <w:spacing w:after="0"/>
        <w:jc w:val="both"/>
        <w:rPr>
          <w:rFonts w:ascii="仿宋_GB2312" w:hAnsi="仿宋" w:eastAsia="仿宋_GB2312" w:cs="仿宋"/>
          <w:sz w:val="32"/>
          <w:szCs w:val="32"/>
        </w:rPr>
      </w:pPr>
      <w:r>
        <w:rPr>
          <w:rFonts w:hint="eastAsia" w:ascii="黑体" w:hAnsi="黑体" w:eastAsia="黑体" w:cs="仿宋"/>
          <w:sz w:val="32"/>
          <w:szCs w:val="32"/>
        </w:rPr>
        <w:t>三、</w:t>
      </w:r>
      <w:r>
        <w:rPr>
          <w:rFonts w:hint="eastAsia" w:ascii="黑体" w:hAnsi="黑体" w:eastAsia="黑体"/>
          <w:b/>
          <w:sz w:val="32"/>
          <w:szCs w:val="32"/>
        </w:rPr>
        <w:t>收到和处理政府信息公开申请情况</w:t>
      </w:r>
    </w:p>
    <w:tbl>
      <w:tblPr>
        <w:tblStyle w:val="1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kern w:val="0"/>
                <w:sz w:val="20"/>
              </w:rPr>
            </w:pPr>
            <w:r>
              <w:rPr>
                <w:rFonts w:hint="eastAsia"/>
                <w:kern w:val="0"/>
                <w:sz w:val="20"/>
              </w:rPr>
              <w:t>（本列数据的勾稽关系为：第一项加第二项之和，等于第三项加第四项之和）</w:t>
            </w:r>
          </w:p>
        </w:tc>
        <w:tc>
          <w:tcPr>
            <w:tcW w:w="4961" w:type="dxa"/>
            <w:gridSpan w:val="7"/>
            <w:vAlign w:val="center"/>
          </w:tcPr>
          <w:p>
            <w:pPr>
              <w:jc w:val="center"/>
              <w:rPr>
                <w:kern w:val="0"/>
                <w:sz w:val="20"/>
                <w:szCs w:val="21"/>
              </w:rPr>
            </w:pPr>
            <w:r>
              <w:rPr>
                <w:rFonts w:hint="eastAsia"/>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kern w:val="0"/>
                <w:sz w:val="20"/>
              </w:rPr>
            </w:pPr>
          </w:p>
        </w:tc>
        <w:tc>
          <w:tcPr>
            <w:tcW w:w="567" w:type="dxa"/>
            <w:vMerge w:val="restart"/>
            <w:vAlign w:val="center"/>
          </w:tcPr>
          <w:p>
            <w:pPr>
              <w:jc w:val="center"/>
              <w:rPr>
                <w:kern w:val="0"/>
                <w:sz w:val="18"/>
                <w:szCs w:val="18"/>
              </w:rPr>
            </w:pPr>
            <w:r>
              <w:rPr>
                <w:rFonts w:hint="eastAsia"/>
                <w:kern w:val="0"/>
                <w:sz w:val="20"/>
                <w:szCs w:val="21"/>
              </w:rPr>
              <w:t>自然人</w:t>
            </w:r>
          </w:p>
        </w:tc>
        <w:tc>
          <w:tcPr>
            <w:tcW w:w="3544" w:type="dxa"/>
            <w:gridSpan w:val="5"/>
            <w:vAlign w:val="center"/>
          </w:tcPr>
          <w:p>
            <w:pPr>
              <w:jc w:val="center"/>
              <w:rPr>
                <w:kern w:val="0"/>
                <w:sz w:val="20"/>
                <w:szCs w:val="21"/>
              </w:rPr>
            </w:pPr>
            <w:r>
              <w:rPr>
                <w:rFonts w:hint="eastAsia"/>
                <w:kern w:val="0"/>
                <w:sz w:val="20"/>
                <w:szCs w:val="21"/>
              </w:rPr>
              <w:t>法人或其他组织</w:t>
            </w:r>
          </w:p>
        </w:tc>
        <w:tc>
          <w:tcPr>
            <w:tcW w:w="850" w:type="dxa"/>
            <w:vMerge w:val="restart"/>
            <w:vAlign w:val="center"/>
          </w:tcPr>
          <w:p>
            <w:pP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kern w:val="0"/>
                <w:sz w:val="20"/>
              </w:rPr>
            </w:pPr>
          </w:p>
        </w:tc>
        <w:tc>
          <w:tcPr>
            <w:tcW w:w="567" w:type="dxa"/>
            <w:vMerge w:val="continue"/>
          </w:tcPr>
          <w:p>
            <w:pPr>
              <w:rPr>
                <w:kern w:val="0"/>
                <w:sz w:val="18"/>
                <w:szCs w:val="18"/>
              </w:rPr>
            </w:pPr>
          </w:p>
        </w:tc>
        <w:tc>
          <w:tcPr>
            <w:tcW w:w="709" w:type="dxa"/>
            <w:vAlign w:val="center"/>
          </w:tcPr>
          <w:p>
            <w:pPr>
              <w:rPr>
                <w:kern w:val="0"/>
                <w:sz w:val="20"/>
                <w:szCs w:val="21"/>
              </w:rPr>
            </w:pPr>
            <w:r>
              <w:rPr>
                <w:rFonts w:hint="eastAsia"/>
                <w:kern w:val="0"/>
                <w:sz w:val="20"/>
                <w:szCs w:val="21"/>
              </w:rPr>
              <w:t>商业企业</w:t>
            </w:r>
          </w:p>
        </w:tc>
        <w:tc>
          <w:tcPr>
            <w:tcW w:w="708" w:type="dxa"/>
            <w:vAlign w:val="center"/>
          </w:tcPr>
          <w:p>
            <w:pPr>
              <w:rPr>
                <w:kern w:val="0"/>
                <w:sz w:val="20"/>
                <w:szCs w:val="21"/>
              </w:rPr>
            </w:pPr>
            <w:r>
              <w:rPr>
                <w:rFonts w:hint="eastAsia"/>
                <w:kern w:val="0"/>
                <w:sz w:val="20"/>
                <w:szCs w:val="21"/>
              </w:rPr>
              <w:t>科研机构</w:t>
            </w:r>
          </w:p>
        </w:tc>
        <w:tc>
          <w:tcPr>
            <w:tcW w:w="709" w:type="dxa"/>
            <w:vAlign w:val="center"/>
          </w:tcPr>
          <w:p>
            <w:pPr>
              <w:rPr>
                <w:kern w:val="0"/>
                <w:sz w:val="20"/>
                <w:szCs w:val="21"/>
              </w:rPr>
            </w:pPr>
            <w:r>
              <w:rPr>
                <w:rFonts w:hint="eastAsia"/>
                <w:kern w:val="0"/>
                <w:sz w:val="20"/>
                <w:szCs w:val="21"/>
              </w:rPr>
              <w:t>社会公益组织</w:t>
            </w:r>
          </w:p>
        </w:tc>
        <w:tc>
          <w:tcPr>
            <w:tcW w:w="709" w:type="dxa"/>
            <w:vAlign w:val="center"/>
          </w:tcPr>
          <w:p>
            <w:pPr>
              <w:rPr>
                <w:kern w:val="0"/>
                <w:sz w:val="20"/>
                <w:szCs w:val="21"/>
              </w:rPr>
            </w:pPr>
            <w:r>
              <w:rPr>
                <w:rFonts w:hint="eastAsia"/>
                <w:kern w:val="0"/>
                <w:sz w:val="20"/>
                <w:szCs w:val="21"/>
              </w:rPr>
              <w:t>法律服务机构</w:t>
            </w:r>
          </w:p>
        </w:tc>
        <w:tc>
          <w:tcPr>
            <w:tcW w:w="709" w:type="dxa"/>
            <w:vAlign w:val="center"/>
          </w:tcPr>
          <w:p>
            <w:pPr>
              <w:rPr>
                <w:kern w:val="0"/>
                <w:sz w:val="20"/>
                <w:szCs w:val="21"/>
              </w:rPr>
            </w:pPr>
            <w:r>
              <w:rPr>
                <w:rFonts w:hint="eastAsia"/>
                <w:kern w:val="0"/>
                <w:sz w:val="20"/>
                <w:szCs w:val="21"/>
              </w:rPr>
              <w:t>其他</w:t>
            </w:r>
          </w:p>
        </w:tc>
        <w:tc>
          <w:tcPr>
            <w:tcW w:w="85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kern w:val="0"/>
                <w:sz w:val="20"/>
              </w:rPr>
            </w:pPr>
            <w:r>
              <w:rPr>
                <w:rFonts w:hint="eastAsia"/>
                <w:kern w:val="0"/>
                <w:sz w:val="20"/>
              </w:rPr>
              <w:t>一、本年新收政府信息公开申请数量</w:t>
            </w:r>
          </w:p>
        </w:tc>
        <w:tc>
          <w:tcPr>
            <w:tcW w:w="567" w:type="dxa"/>
          </w:tcPr>
          <w:p>
            <w:pPr>
              <w:rPr>
                <w:kern w:val="0"/>
                <w:sz w:val="20"/>
              </w:rPr>
            </w:pPr>
            <w:r>
              <w:rPr>
                <w:rFonts w:hint="eastAsia"/>
                <w:kern w:val="0"/>
                <w:sz w:val="20"/>
              </w:rPr>
              <w:t>1</w:t>
            </w:r>
          </w:p>
        </w:tc>
        <w:tc>
          <w:tcPr>
            <w:tcW w:w="709" w:type="dxa"/>
            <w:vAlign w:val="center"/>
          </w:tcPr>
          <w:p>
            <w:pPr>
              <w:rPr>
                <w:kern w:val="0"/>
                <w:sz w:val="20"/>
                <w:szCs w:val="21"/>
              </w:rPr>
            </w:pPr>
          </w:p>
        </w:tc>
        <w:tc>
          <w:tcPr>
            <w:tcW w:w="708"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850" w:type="dxa"/>
            <w:vAlign w:val="center"/>
          </w:tcPr>
          <w:p>
            <w:pPr>
              <w:rPr>
                <w:kern w:val="0"/>
                <w:sz w:val="20"/>
                <w:szCs w:val="21"/>
              </w:rPr>
            </w:pPr>
            <w:r>
              <w:rPr>
                <w:rFonts w:hint="eastAsia"/>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kern w:val="0"/>
                <w:sz w:val="20"/>
              </w:rPr>
            </w:pPr>
            <w:r>
              <w:rPr>
                <w:rFonts w:hint="eastAsia"/>
                <w:kern w:val="0"/>
                <w:sz w:val="20"/>
              </w:rPr>
              <w:t>二、上年结转政府信息公开申请数量</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kern w:val="0"/>
                <w:sz w:val="20"/>
              </w:rPr>
            </w:pPr>
            <w:r>
              <w:rPr>
                <w:rFonts w:hint="eastAsia"/>
                <w:kern w:val="0"/>
                <w:sz w:val="20"/>
              </w:rPr>
              <w:t>三、本年度办理结果</w:t>
            </w: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（一）予以公开</w:t>
            </w:r>
          </w:p>
        </w:tc>
        <w:tc>
          <w:tcPr>
            <w:tcW w:w="567" w:type="dxa"/>
          </w:tcPr>
          <w:p>
            <w:pPr>
              <w:rPr>
                <w:b/>
                <w:kern w:val="0"/>
                <w:sz w:val="36"/>
                <w:szCs w:val="36"/>
              </w:rPr>
            </w:pPr>
            <w:r>
              <w:rPr>
                <w:rFonts w:hint="eastAsia"/>
                <w:kern w:val="0"/>
                <w:sz w:val="20"/>
              </w:rPr>
              <w:t>1</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b/>
                <w:kern w:val="0"/>
                <w:sz w:val="36"/>
                <w:szCs w:val="36"/>
              </w:rPr>
            </w:pPr>
            <w:r>
              <w:rPr>
                <w:rFonts w:hint="eastAsia"/>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（二）部分公开（区分处理的，只计这一情形，不计其他情形）</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kern w:val="0"/>
                <w:sz w:val="20"/>
              </w:rPr>
            </w:pPr>
          </w:p>
        </w:tc>
        <w:tc>
          <w:tcPr>
            <w:tcW w:w="1560" w:type="dxa"/>
            <w:vMerge w:val="restart"/>
            <w:vAlign w:val="center"/>
          </w:tcPr>
          <w:p>
            <w:pPr>
              <w:rPr>
                <w:rFonts w:asciiTheme="minorEastAsia" w:hAnsiTheme="minorEastAsia"/>
                <w:kern w:val="0"/>
                <w:sz w:val="18"/>
                <w:szCs w:val="18"/>
              </w:rPr>
            </w:pPr>
            <w:r>
              <w:rPr>
                <w:rFonts w:hint="eastAsia" w:asciiTheme="minorEastAsia" w:hAnsiTheme="minorEastAsia"/>
                <w:kern w:val="0"/>
                <w:sz w:val="18"/>
                <w:szCs w:val="18"/>
              </w:rPr>
              <w:t>（三）不予公开</w:t>
            </w:r>
          </w:p>
        </w:tc>
        <w:tc>
          <w:tcPr>
            <w:tcW w:w="2693" w:type="dxa"/>
          </w:tcPr>
          <w:p>
            <w:pPr>
              <w:rPr>
                <w:rFonts w:asciiTheme="minorEastAsia" w:hAnsiTheme="minorEastAsia"/>
                <w:kern w:val="0"/>
                <w:sz w:val="18"/>
                <w:szCs w:val="18"/>
              </w:rPr>
            </w:pPr>
            <w:r>
              <w:rPr>
                <w:rFonts w:asciiTheme="minorEastAsia" w:hAnsiTheme="minorEastAsia"/>
                <w:kern w:val="0"/>
                <w:sz w:val="18"/>
                <w:szCs w:val="18"/>
              </w:rPr>
              <w:t>1</w:t>
            </w:r>
            <w:r>
              <w:rPr>
                <w:rFonts w:hint="eastAsia" w:asciiTheme="minorEastAsia" w:hAnsiTheme="minorEastAsia"/>
                <w:kern w:val="0"/>
                <w:sz w:val="18"/>
                <w:szCs w:val="18"/>
              </w:rPr>
              <w:t>．属于国家秘密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kern w:val="0"/>
                <w:sz w:val="20"/>
              </w:rPr>
            </w:pPr>
          </w:p>
        </w:tc>
        <w:tc>
          <w:tcPr>
            <w:tcW w:w="1560" w:type="dxa"/>
            <w:vMerge w:val="continue"/>
            <w:vAlign w:val="center"/>
          </w:tcPr>
          <w:p>
            <w:pPr>
              <w:rPr>
                <w:rFonts w:asciiTheme="minorEastAsia" w:hAnsiTheme="minorEastAsia"/>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2．其他法律行政法规禁止公开</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3．危及“三安全一稳定”</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4．保护第三方合法权益</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5．属于三类内部事务信息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6．属于四类过程性信息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7．属于行政执法案卷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8．属于行政查询事项</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（四）无法提供</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1．本机关不掌握相关政府信息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8</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2．没有现成信息需要另行制作</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3．补正后申请内容仍不明确</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（五）</w:t>
            </w:r>
            <w:r>
              <w:rPr>
                <w:rFonts w:hint="eastAsia" w:asciiTheme="minorEastAsia" w:hAnsiTheme="minorEastAsia"/>
                <w:kern w:val="0"/>
                <w:sz w:val="18"/>
                <w:szCs w:val="18"/>
              </w:rPr>
              <w:t>不予处理</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1．信访举报投诉类申请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2．重复申请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asciiTheme="minorEastAsia" w:hAnsiTheme="minorEastAsia"/>
                <w:kern w:val="0"/>
                <w:sz w:val="18"/>
                <w:szCs w:val="18"/>
              </w:rPr>
              <w:t>3</w:t>
            </w:r>
            <w:r>
              <w:rPr>
                <w:rFonts w:hint="eastAsia" w:asciiTheme="minorEastAsia" w:hAnsiTheme="minorEastAsia"/>
                <w:kern w:val="0"/>
                <w:sz w:val="18"/>
                <w:szCs w:val="18"/>
              </w:rPr>
              <w:t>．要求提供公开出版物</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4．无正当理由大量反复申请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ind w:left="180" w:hanging="180" w:hangingChars="100"/>
              <w:rPr>
                <w:rFonts w:asciiTheme="minorEastAsia" w:hAnsiTheme="minorEastAsia"/>
                <w:kern w:val="0"/>
                <w:sz w:val="18"/>
                <w:szCs w:val="18"/>
              </w:rPr>
            </w:pPr>
            <w:r>
              <w:rPr>
                <w:rFonts w:hint="eastAsia" w:asciiTheme="minorEastAsia" w:hAnsiTheme="minorEastAsia"/>
                <w:kern w:val="0"/>
                <w:sz w:val="18"/>
                <w:szCs w:val="18"/>
              </w:rPr>
              <w:t>5．要求行政机关确认或重新出具已获取信息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vMerge w:val="continue"/>
          </w:tcPr>
          <w:p>
            <w:pPr>
              <w:rPr>
                <w:kern w:val="0"/>
                <w:sz w:val="20"/>
              </w:rPr>
            </w:pPr>
          </w:p>
        </w:tc>
        <w:tc>
          <w:tcPr>
            <w:tcW w:w="4253" w:type="dxa"/>
            <w:gridSpan w:val="2"/>
            <w:vAlign w:val="center"/>
          </w:tcPr>
          <w:p>
            <w:pPr>
              <w:rPr>
                <w:kern w:val="0"/>
                <w:sz w:val="18"/>
                <w:szCs w:val="18"/>
              </w:rPr>
            </w:pPr>
            <w:r>
              <w:rPr>
                <w:rFonts w:hint="eastAsia"/>
                <w:kern w:val="0"/>
                <w:sz w:val="18"/>
                <w:szCs w:val="18"/>
              </w:rPr>
              <w:t>（六）其他处理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4253" w:type="dxa"/>
            <w:gridSpan w:val="2"/>
            <w:vAlign w:val="center"/>
          </w:tcPr>
          <w:p>
            <w:pPr>
              <w:rPr>
                <w:kern w:val="0"/>
                <w:sz w:val="18"/>
                <w:szCs w:val="18"/>
              </w:rPr>
            </w:pPr>
            <w:r>
              <w:rPr>
                <w:rFonts w:hint="eastAsia"/>
                <w:kern w:val="0"/>
                <w:sz w:val="18"/>
                <w:szCs w:val="18"/>
              </w:rPr>
              <w:t>（七）总计</w:t>
            </w:r>
          </w:p>
        </w:tc>
        <w:tc>
          <w:tcPr>
            <w:tcW w:w="567" w:type="dxa"/>
          </w:tcPr>
          <w:p>
            <w:pPr>
              <w:rPr>
                <w:kern w:val="0"/>
                <w:sz w:val="20"/>
              </w:rPr>
            </w:pPr>
            <w:r>
              <w:rPr>
                <w:rFonts w:hint="eastAsia"/>
                <w:kern w:val="0"/>
                <w:sz w:val="20"/>
              </w:rPr>
              <w:t>1</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kern w:val="0"/>
                <w:sz w:val="20"/>
              </w:rPr>
            </w:pPr>
            <w:r>
              <w:rPr>
                <w:rFonts w:hint="eastAsia"/>
                <w:kern w:val="0"/>
                <w:sz w:val="20"/>
              </w:rPr>
              <w:t>四、结转下年度继续办理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bl>
    <w:p>
      <w:pPr>
        <w:pStyle w:val="8"/>
        <w:widowControl/>
        <w:spacing w:after="0"/>
        <w:ind w:firstLine="640" w:firstLineChars="200"/>
        <w:rPr>
          <w:rFonts w:ascii="仿宋_GB2312" w:hAnsi="仿宋" w:eastAsia="仿宋_GB2312" w:cs="仿宋"/>
          <w:sz w:val="32"/>
          <w:szCs w:val="32"/>
        </w:rPr>
      </w:pPr>
    </w:p>
    <w:p>
      <w:pPr>
        <w:pStyle w:val="8"/>
        <w:widowControl/>
        <w:spacing w:after="0"/>
        <w:ind w:firstLine="640" w:firstLineChars="200"/>
        <w:rPr>
          <w:rFonts w:hint="eastAsia" w:ascii="黑体" w:hAnsi="黑体" w:eastAsia="黑体" w:cs="仿宋"/>
          <w:sz w:val="32"/>
          <w:szCs w:val="32"/>
        </w:rPr>
      </w:pPr>
    </w:p>
    <w:p>
      <w:pPr>
        <w:pStyle w:val="8"/>
        <w:widowControl/>
        <w:spacing w:after="0"/>
        <w:ind w:firstLine="640" w:firstLineChars="200"/>
        <w:rPr>
          <w:rFonts w:ascii="黑体" w:hAnsi="黑体" w:eastAsia="黑体"/>
          <w:sz w:val="32"/>
          <w:szCs w:val="32"/>
        </w:rPr>
      </w:pPr>
      <w:r>
        <w:rPr>
          <w:rFonts w:hint="eastAsia" w:ascii="黑体" w:hAnsi="黑体" w:eastAsia="黑体" w:cs="仿宋"/>
          <w:sz w:val="32"/>
          <w:szCs w:val="32"/>
        </w:rPr>
        <w:t>四、</w:t>
      </w:r>
      <w:r>
        <w:rPr>
          <w:rFonts w:hint="eastAsia" w:ascii="黑体" w:hAnsi="黑体" w:eastAsia="黑体"/>
          <w:sz w:val="32"/>
          <w:szCs w:val="32"/>
        </w:rPr>
        <w:t>政府信息公开行政复议、行政诉讼情况</w:t>
      </w:r>
    </w:p>
    <w:tbl>
      <w:tblPr>
        <w:tblStyle w:val="10"/>
        <w:tblW w:w="1031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3402" w:type="dxa"/>
            <w:gridSpan w:val="5"/>
            <w:vAlign w:val="center"/>
          </w:tcPr>
          <w:p>
            <w:pPr>
              <w:jc w:val="center"/>
              <w:rPr>
                <w:kern w:val="0"/>
                <w:sz w:val="20"/>
                <w:szCs w:val="21"/>
              </w:rPr>
            </w:pPr>
            <w:r>
              <w:rPr>
                <w:rFonts w:hint="eastAsia"/>
                <w:kern w:val="0"/>
                <w:sz w:val="20"/>
                <w:szCs w:val="21"/>
              </w:rPr>
              <w:t>行政复议</w:t>
            </w:r>
          </w:p>
        </w:tc>
        <w:tc>
          <w:tcPr>
            <w:tcW w:w="6917" w:type="dxa"/>
            <w:gridSpan w:val="10"/>
            <w:vAlign w:val="center"/>
          </w:tcPr>
          <w:p>
            <w:pPr>
              <w:jc w:val="center"/>
              <w:rPr>
                <w:kern w:val="0"/>
                <w:sz w:val="20"/>
                <w:szCs w:val="21"/>
              </w:rPr>
            </w:pPr>
            <w:r>
              <w:rPr>
                <w:rFonts w:hint="eastAsia"/>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kern w:val="0"/>
                <w:sz w:val="20"/>
                <w:szCs w:val="21"/>
              </w:rPr>
            </w:pPr>
            <w:r>
              <w:rPr>
                <w:rFonts w:hint="eastAsia"/>
                <w:kern w:val="0"/>
                <w:sz w:val="20"/>
                <w:szCs w:val="21"/>
              </w:rPr>
              <w:t>结果维持</w:t>
            </w:r>
          </w:p>
        </w:tc>
        <w:tc>
          <w:tcPr>
            <w:tcW w:w="708" w:type="dxa"/>
            <w:vMerge w:val="restart"/>
            <w:vAlign w:val="center"/>
          </w:tcPr>
          <w:p>
            <w:pPr>
              <w:jc w:val="center"/>
              <w:rPr>
                <w:kern w:val="0"/>
                <w:sz w:val="20"/>
                <w:szCs w:val="21"/>
              </w:rPr>
            </w:pPr>
            <w:r>
              <w:rPr>
                <w:rFonts w:hint="eastAsia"/>
                <w:kern w:val="0"/>
                <w:sz w:val="20"/>
                <w:szCs w:val="21"/>
              </w:rPr>
              <w:t>结果纠正</w:t>
            </w:r>
          </w:p>
        </w:tc>
        <w:tc>
          <w:tcPr>
            <w:tcW w:w="709" w:type="dxa"/>
            <w:vMerge w:val="restart"/>
            <w:vAlign w:val="center"/>
          </w:tcPr>
          <w:p>
            <w:pPr>
              <w:jc w:val="center"/>
              <w:rPr>
                <w:kern w:val="0"/>
                <w:sz w:val="20"/>
                <w:szCs w:val="21"/>
              </w:rPr>
            </w:pPr>
            <w:r>
              <w:rPr>
                <w:rFonts w:hint="eastAsia"/>
                <w:kern w:val="0"/>
                <w:sz w:val="20"/>
                <w:szCs w:val="21"/>
              </w:rPr>
              <w:t>其他结果</w:t>
            </w:r>
          </w:p>
        </w:tc>
        <w:tc>
          <w:tcPr>
            <w:tcW w:w="682" w:type="dxa"/>
            <w:vMerge w:val="restart"/>
            <w:vAlign w:val="center"/>
          </w:tcPr>
          <w:p>
            <w:pPr>
              <w:jc w:val="center"/>
              <w:rPr>
                <w:kern w:val="0"/>
                <w:sz w:val="20"/>
                <w:szCs w:val="21"/>
              </w:rPr>
            </w:pPr>
            <w:r>
              <w:rPr>
                <w:rFonts w:hint="eastAsia"/>
                <w:kern w:val="0"/>
                <w:sz w:val="20"/>
                <w:szCs w:val="21"/>
              </w:rPr>
              <w:t>尚未审结</w:t>
            </w:r>
          </w:p>
        </w:tc>
        <w:tc>
          <w:tcPr>
            <w:tcW w:w="594" w:type="dxa"/>
            <w:vMerge w:val="restart"/>
            <w:vAlign w:val="center"/>
          </w:tcPr>
          <w:p>
            <w:pPr>
              <w:jc w:val="center"/>
              <w:rPr>
                <w:kern w:val="0"/>
                <w:sz w:val="20"/>
                <w:szCs w:val="21"/>
              </w:rPr>
            </w:pPr>
            <w:r>
              <w:rPr>
                <w:rFonts w:hint="eastAsia"/>
                <w:kern w:val="0"/>
                <w:sz w:val="20"/>
                <w:szCs w:val="21"/>
              </w:rPr>
              <w:t>总计</w:t>
            </w:r>
          </w:p>
        </w:tc>
        <w:tc>
          <w:tcPr>
            <w:tcW w:w="3402" w:type="dxa"/>
            <w:gridSpan w:val="5"/>
            <w:vAlign w:val="center"/>
          </w:tcPr>
          <w:p>
            <w:pPr>
              <w:jc w:val="center"/>
              <w:rPr>
                <w:kern w:val="0"/>
                <w:sz w:val="20"/>
                <w:szCs w:val="21"/>
              </w:rPr>
            </w:pPr>
            <w:r>
              <w:rPr>
                <w:rFonts w:hint="eastAsia"/>
                <w:kern w:val="0"/>
                <w:sz w:val="20"/>
                <w:szCs w:val="21"/>
              </w:rPr>
              <w:t>未经复议直接起诉</w:t>
            </w:r>
          </w:p>
        </w:tc>
        <w:tc>
          <w:tcPr>
            <w:tcW w:w="3515" w:type="dxa"/>
            <w:gridSpan w:val="5"/>
            <w:vAlign w:val="center"/>
          </w:tcPr>
          <w:p>
            <w:pPr>
              <w:jc w:val="center"/>
              <w:rPr>
                <w:kern w:val="0"/>
                <w:sz w:val="20"/>
                <w:szCs w:val="21"/>
              </w:rPr>
            </w:pPr>
            <w:r>
              <w:rPr>
                <w:rFonts w:hint="eastAsia"/>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kern w:val="0"/>
                <w:sz w:val="18"/>
                <w:szCs w:val="18"/>
              </w:rPr>
            </w:pPr>
          </w:p>
        </w:tc>
        <w:tc>
          <w:tcPr>
            <w:tcW w:w="708" w:type="dxa"/>
            <w:vMerge w:val="continue"/>
            <w:vAlign w:val="center"/>
          </w:tcPr>
          <w:p>
            <w:pPr>
              <w:jc w:val="center"/>
              <w:rPr>
                <w:kern w:val="0"/>
                <w:sz w:val="18"/>
                <w:szCs w:val="18"/>
              </w:rPr>
            </w:pPr>
          </w:p>
        </w:tc>
        <w:tc>
          <w:tcPr>
            <w:tcW w:w="709" w:type="dxa"/>
            <w:vMerge w:val="continue"/>
            <w:vAlign w:val="center"/>
          </w:tcPr>
          <w:p>
            <w:pPr>
              <w:jc w:val="center"/>
              <w:rPr>
                <w:kern w:val="0"/>
                <w:sz w:val="18"/>
                <w:szCs w:val="18"/>
              </w:rPr>
            </w:pPr>
          </w:p>
        </w:tc>
        <w:tc>
          <w:tcPr>
            <w:tcW w:w="682" w:type="dxa"/>
            <w:vMerge w:val="continue"/>
            <w:vAlign w:val="center"/>
          </w:tcPr>
          <w:p>
            <w:pPr>
              <w:jc w:val="center"/>
              <w:rPr>
                <w:kern w:val="0"/>
                <w:sz w:val="20"/>
                <w:szCs w:val="21"/>
              </w:rPr>
            </w:pPr>
          </w:p>
        </w:tc>
        <w:tc>
          <w:tcPr>
            <w:tcW w:w="594" w:type="dxa"/>
            <w:vMerge w:val="continue"/>
            <w:vAlign w:val="center"/>
          </w:tcPr>
          <w:p>
            <w:pPr>
              <w:jc w:val="center"/>
              <w:rPr>
                <w:kern w:val="0"/>
                <w:sz w:val="20"/>
                <w:szCs w:val="21"/>
              </w:rPr>
            </w:pPr>
          </w:p>
        </w:tc>
        <w:tc>
          <w:tcPr>
            <w:tcW w:w="709" w:type="dxa"/>
            <w:vAlign w:val="center"/>
          </w:tcPr>
          <w:p>
            <w:pPr>
              <w:jc w:val="center"/>
              <w:rPr>
                <w:kern w:val="0"/>
                <w:sz w:val="20"/>
                <w:szCs w:val="21"/>
              </w:rPr>
            </w:pPr>
            <w:r>
              <w:rPr>
                <w:rFonts w:hint="eastAsia"/>
                <w:kern w:val="0"/>
                <w:sz w:val="20"/>
                <w:szCs w:val="21"/>
              </w:rPr>
              <w:t>结果维持</w:t>
            </w:r>
          </w:p>
        </w:tc>
        <w:tc>
          <w:tcPr>
            <w:tcW w:w="709" w:type="dxa"/>
            <w:vAlign w:val="center"/>
          </w:tcPr>
          <w:p>
            <w:pPr>
              <w:jc w:val="center"/>
              <w:rPr>
                <w:kern w:val="0"/>
                <w:sz w:val="20"/>
                <w:szCs w:val="21"/>
              </w:rPr>
            </w:pPr>
            <w:r>
              <w:rPr>
                <w:rFonts w:hint="eastAsia"/>
                <w:kern w:val="0"/>
                <w:sz w:val="20"/>
                <w:szCs w:val="21"/>
              </w:rPr>
              <w:t>结果纠正</w:t>
            </w:r>
          </w:p>
        </w:tc>
        <w:tc>
          <w:tcPr>
            <w:tcW w:w="709" w:type="dxa"/>
            <w:vAlign w:val="center"/>
          </w:tcPr>
          <w:p>
            <w:pPr>
              <w:jc w:val="center"/>
              <w:rPr>
                <w:kern w:val="0"/>
                <w:sz w:val="20"/>
                <w:szCs w:val="21"/>
              </w:rPr>
            </w:pPr>
            <w:r>
              <w:rPr>
                <w:rFonts w:hint="eastAsia"/>
                <w:kern w:val="0"/>
                <w:sz w:val="20"/>
                <w:szCs w:val="21"/>
              </w:rPr>
              <w:t>其他结果</w:t>
            </w:r>
          </w:p>
        </w:tc>
        <w:tc>
          <w:tcPr>
            <w:tcW w:w="708" w:type="dxa"/>
            <w:vAlign w:val="center"/>
          </w:tcPr>
          <w:p>
            <w:pPr>
              <w:jc w:val="center"/>
              <w:rPr>
                <w:kern w:val="0"/>
                <w:sz w:val="20"/>
                <w:szCs w:val="21"/>
              </w:rPr>
            </w:pPr>
            <w:r>
              <w:rPr>
                <w:rFonts w:hint="eastAsia"/>
                <w:kern w:val="0"/>
                <w:sz w:val="20"/>
                <w:szCs w:val="21"/>
              </w:rPr>
              <w:t>尚未审结</w:t>
            </w:r>
          </w:p>
        </w:tc>
        <w:tc>
          <w:tcPr>
            <w:tcW w:w="567" w:type="dxa"/>
            <w:vAlign w:val="center"/>
          </w:tcPr>
          <w:p>
            <w:pPr>
              <w:jc w:val="center"/>
              <w:rPr>
                <w:kern w:val="0"/>
                <w:sz w:val="20"/>
                <w:szCs w:val="21"/>
              </w:rPr>
            </w:pPr>
            <w:r>
              <w:rPr>
                <w:rFonts w:hint="eastAsia"/>
                <w:kern w:val="0"/>
                <w:sz w:val="20"/>
                <w:szCs w:val="21"/>
              </w:rPr>
              <w:t>总计</w:t>
            </w:r>
          </w:p>
        </w:tc>
        <w:tc>
          <w:tcPr>
            <w:tcW w:w="851" w:type="dxa"/>
            <w:vAlign w:val="center"/>
          </w:tcPr>
          <w:p>
            <w:pPr>
              <w:jc w:val="center"/>
              <w:rPr>
                <w:kern w:val="0"/>
                <w:sz w:val="20"/>
                <w:szCs w:val="21"/>
              </w:rPr>
            </w:pPr>
            <w:r>
              <w:rPr>
                <w:rFonts w:hint="eastAsia"/>
                <w:kern w:val="0"/>
                <w:sz w:val="20"/>
                <w:szCs w:val="21"/>
              </w:rPr>
              <w:t>结果维持</w:t>
            </w:r>
          </w:p>
        </w:tc>
        <w:tc>
          <w:tcPr>
            <w:tcW w:w="650" w:type="dxa"/>
            <w:vAlign w:val="center"/>
          </w:tcPr>
          <w:p>
            <w:pPr>
              <w:jc w:val="center"/>
              <w:rPr>
                <w:kern w:val="0"/>
                <w:sz w:val="20"/>
                <w:szCs w:val="21"/>
              </w:rPr>
            </w:pPr>
            <w:r>
              <w:rPr>
                <w:rFonts w:hint="eastAsia"/>
                <w:kern w:val="0"/>
                <w:sz w:val="20"/>
                <w:szCs w:val="21"/>
              </w:rPr>
              <w:t>结果纠正</w:t>
            </w:r>
          </w:p>
        </w:tc>
        <w:tc>
          <w:tcPr>
            <w:tcW w:w="767" w:type="dxa"/>
            <w:vAlign w:val="center"/>
          </w:tcPr>
          <w:p>
            <w:pPr>
              <w:jc w:val="center"/>
              <w:rPr>
                <w:kern w:val="0"/>
                <w:sz w:val="20"/>
                <w:szCs w:val="21"/>
              </w:rPr>
            </w:pPr>
            <w:r>
              <w:rPr>
                <w:rFonts w:hint="eastAsia"/>
                <w:kern w:val="0"/>
                <w:sz w:val="20"/>
                <w:szCs w:val="21"/>
              </w:rPr>
              <w:t>其他结果</w:t>
            </w:r>
          </w:p>
        </w:tc>
        <w:tc>
          <w:tcPr>
            <w:tcW w:w="709" w:type="dxa"/>
            <w:vAlign w:val="center"/>
          </w:tcPr>
          <w:p>
            <w:pPr>
              <w:jc w:val="center"/>
              <w:rPr>
                <w:kern w:val="0"/>
                <w:sz w:val="20"/>
                <w:szCs w:val="21"/>
              </w:rPr>
            </w:pPr>
            <w:r>
              <w:rPr>
                <w:rFonts w:hint="eastAsia"/>
                <w:kern w:val="0"/>
                <w:sz w:val="20"/>
                <w:szCs w:val="21"/>
              </w:rPr>
              <w:t>尚未审结</w:t>
            </w:r>
          </w:p>
        </w:tc>
        <w:tc>
          <w:tcPr>
            <w:tcW w:w="538" w:type="dxa"/>
            <w:vAlign w:val="center"/>
          </w:tcPr>
          <w:p>
            <w:pPr>
              <w:jc w:val="cente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kern w:val="0"/>
                <w:sz w:val="24"/>
              </w:rPr>
            </w:pPr>
            <w:r>
              <w:rPr>
                <w:rFonts w:hint="eastAsia"/>
                <w:kern w:val="0"/>
                <w:sz w:val="24"/>
              </w:rPr>
              <w:t>0</w:t>
            </w:r>
          </w:p>
        </w:tc>
        <w:tc>
          <w:tcPr>
            <w:tcW w:w="708"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682" w:type="dxa"/>
            <w:vAlign w:val="center"/>
          </w:tcPr>
          <w:p>
            <w:pPr>
              <w:rPr>
                <w:kern w:val="0"/>
                <w:sz w:val="24"/>
              </w:rPr>
            </w:pPr>
            <w:r>
              <w:rPr>
                <w:rFonts w:hint="eastAsia"/>
                <w:kern w:val="0"/>
                <w:sz w:val="24"/>
              </w:rPr>
              <w:t>0</w:t>
            </w:r>
          </w:p>
        </w:tc>
        <w:tc>
          <w:tcPr>
            <w:tcW w:w="594"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708" w:type="dxa"/>
            <w:vAlign w:val="center"/>
          </w:tcPr>
          <w:p>
            <w:pPr>
              <w:rPr>
                <w:kern w:val="0"/>
                <w:sz w:val="24"/>
              </w:rPr>
            </w:pPr>
            <w:r>
              <w:rPr>
                <w:rFonts w:hint="eastAsia"/>
                <w:kern w:val="0"/>
                <w:sz w:val="24"/>
              </w:rPr>
              <w:t>0</w:t>
            </w:r>
          </w:p>
        </w:tc>
        <w:tc>
          <w:tcPr>
            <w:tcW w:w="567" w:type="dxa"/>
            <w:vAlign w:val="center"/>
          </w:tcPr>
          <w:p>
            <w:pPr>
              <w:rPr>
                <w:kern w:val="0"/>
                <w:sz w:val="24"/>
              </w:rPr>
            </w:pPr>
            <w:r>
              <w:rPr>
                <w:rFonts w:hint="eastAsia"/>
                <w:kern w:val="0"/>
                <w:sz w:val="24"/>
              </w:rPr>
              <w:t>0</w:t>
            </w:r>
          </w:p>
        </w:tc>
        <w:tc>
          <w:tcPr>
            <w:tcW w:w="851" w:type="dxa"/>
            <w:vAlign w:val="center"/>
          </w:tcPr>
          <w:p>
            <w:pPr>
              <w:rPr>
                <w:kern w:val="0"/>
                <w:sz w:val="24"/>
              </w:rPr>
            </w:pPr>
            <w:r>
              <w:rPr>
                <w:rFonts w:hint="eastAsia"/>
                <w:kern w:val="0"/>
                <w:sz w:val="24"/>
              </w:rPr>
              <w:t>0</w:t>
            </w:r>
          </w:p>
        </w:tc>
        <w:tc>
          <w:tcPr>
            <w:tcW w:w="650" w:type="dxa"/>
            <w:vAlign w:val="center"/>
          </w:tcPr>
          <w:p>
            <w:pPr>
              <w:rPr>
                <w:kern w:val="0"/>
                <w:sz w:val="24"/>
              </w:rPr>
            </w:pPr>
            <w:r>
              <w:rPr>
                <w:rFonts w:hint="eastAsia"/>
                <w:kern w:val="0"/>
                <w:sz w:val="24"/>
              </w:rPr>
              <w:t>0</w:t>
            </w:r>
          </w:p>
        </w:tc>
        <w:tc>
          <w:tcPr>
            <w:tcW w:w="767"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538" w:type="dxa"/>
            <w:vAlign w:val="center"/>
          </w:tcPr>
          <w:p>
            <w:pPr>
              <w:rPr>
                <w:kern w:val="0"/>
                <w:sz w:val="24"/>
              </w:rPr>
            </w:pPr>
            <w:r>
              <w:rPr>
                <w:rFonts w:hint="eastAsia"/>
                <w:kern w:val="0"/>
                <w:sz w:val="24"/>
              </w:rPr>
              <w:t>0</w:t>
            </w:r>
          </w:p>
        </w:tc>
      </w:tr>
    </w:tbl>
    <w:p>
      <w:pPr>
        <w:pStyle w:val="8"/>
        <w:widowControl/>
        <w:spacing w:after="0" w:line="560" w:lineRule="exact"/>
        <w:ind w:firstLine="640" w:firstLineChars="200"/>
        <w:jc w:val="both"/>
        <w:rPr>
          <w:rFonts w:ascii="黑体" w:hAnsi="黑体" w:eastAsia="黑体"/>
          <w:sz w:val="32"/>
          <w:szCs w:val="32"/>
        </w:rPr>
      </w:pPr>
      <w:r>
        <w:rPr>
          <w:rFonts w:hint="eastAsia" w:ascii="黑体" w:hAnsi="黑体" w:eastAsia="黑体" w:cs="仿宋"/>
          <w:sz w:val="32"/>
          <w:szCs w:val="32"/>
        </w:rPr>
        <w:t>五、</w:t>
      </w:r>
      <w:r>
        <w:rPr>
          <w:rFonts w:hint="eastAsia" w:ascii="黑体" w:hAnsi="黑体" w:eastAsia="黑体"/>
          <w:sz w:val="32"/>
          <w:szCs w:val="32"/>
        </w:rPr>
        <w:t>存在的主要问题及改进情况</w:t>
      </w:r>
    </w:p>
    <w:p>
      <w:pPr>
        <w:pStyle w:val="8"/>
        <w:widowControl/>
        <w:spacing w:after="0" w:line="5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（一）存在问题</w:t>
      </w:r>
    </w:p>
    <w:p>
      <w:pPr>
        <w:pStyle w:val="8"/>
        <w:widowControl/>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2019年，我局政府信息公开工作进展顺利，公开力度加大，但是也还存在着一些薄弱环节：一是主动公开政府信息意识不强，缺乏工作积极性和主动性；二是政策解读工作机制还需完善；三是信息公开的内容有待充实，需要进一步深化，更新的速度需要进一步加快。</w:t>
      </w:r>
    </w:p>
    <w:p>
      <w:pPr>
        <w:pStyle w:val="8"/>
        <w:widowControl/>
        <w:spacing w:after="0" w:line="5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（二）改进措施</w:t>
      </w:r>
    </w:p>
    <w:p>
      <w:pPr>
        <w:pStyle w:val="8"/>
        <w:widowControl/>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2020年，我局将加强以下工作，全力推动全县教育信息公开工作深入开展，为建设服务型机关和办好人民满意的教育继续努力。</w:t>
      </w:r>
    </w:p>
    <w:p>
      <w:pPr>
        <w:pStyle w:val="8"/>
        <w:widowControl/>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是持续完善政府信息公开内容体系，创新公开形式，健全体制机制，加强政务公开机构建设，及时、规范地做好政府信息公开；进一步加强重点领域信息公开的权威性、时效性，确保政府信息公开及时、准确、规范，切实提升政府信息公开工作水平，竭力提高群众对我局政府信息公开工作的满意度。</w:t>
      </w:r>
    </w:p>
    <w:p>
      <w:pPr>
        <w:pStyle w:val="8"/>
        <w:widowControl/>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二是全面强化宣传教育体育事业，充分利用网站、电视台、报纸等相关媒介，加大公开信息宣传的力度。做到主动公开，实现资源共享，达到更好的服务大众的目的。</w:t>
      </w:r>
    </w:p>
    <w:p>
      <w:pPr>
        <w:pStyle w:val="8"/>
        <w:widowControl/>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三是持续增强公开意识，加强对《条例》和有关文件的学习，准确恰当的理解政务公开的重要性，按照以公开为原则，不公开为例外的总体要求，提高政务公开意识，确保教育信息的公开实效。</w:t>
      </w:r>
    </w:p>
    <w:p>
      <w:pPr>
        <w:pStyle w:val="8"/>
        <w:widowControl/>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576" w:firstLineChars="180"/>
        <w:rPr>
          <w:rFonts w:ascii="仿宋_GB2312" w:eastAsia="仿宋_GB2312"/>
          <w:sz w:val="32"/>
          <w:szCs w:val="32"/>
        </w:rPr>
      </w:pPr>
      <w:r>
        <w:rPr>
          <w:rFonts w:hint="eastAsia" w:ascii="仿宋_GB2312" w:eastAsia="仿宋_GB2312"/>
          <w:sz w:val="32"/>
          <w:szCs w:val="32"/>
        </w:rPr>
        <w:t>无。</w:t>
      </w:r>
    </w:p>
    <w:p>
      <w:pPr>
        <w:pStyle w:val="8"/>
        <w:widowControl/>
        <w:spacing w:after="0" w:line="560" w:lineRule="exact"/>
        <w:jc w:val="both"/>
        <w:rPr>
          <w:rFonts w:ascii="仿宋_GB2312" w:hAnsi="仿宋" w:eastAsia="仿宋_GB2312" w:cs="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70707"/>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0725E"/>
    <w:rsid w:val="00010331"/>
    <w:rsid w:val="00024E42"/>
    <w:rsid w:val="000345B4"/>
    <w:rsid w:val="00035216"/>
    <w:rsid w:val="00051D91"/>
    <w:rsid w:val="00061B07"/>
    <w:rsid w:val="0006501F"/>
    <w:rsid w:val="00065C69"/>
    <w:rsid w:val="000672CE"/>
    <w:rsid w:val="00093F81"/>
    <w:rsid w:val="00094B75"/>
    <w:rsid w:val="000A057B"/>
    <w:rsid w:val="000B000A"/>
    <w:rsid w:val="000C43E2"/>
    <w:rsid w:val="000D1696"/>
    <w:rsid w:val="000D2527"/>
    <w:rsid w:val="000D3D1E"/>
    <w:rsid w:val="000D502C"/>
    <w:rsid w:val="000E3958"/>
    <w:rsid w:val="000F383D"/>
    <w:rsid w:val="000F7B6C"/>
    <w:rsid w:val="00101212"/>
    <w:rsid w:val="00104B97"/>
    <w:rsid w:val="00115736"/>
    <w:rsid w:val="001205A9"/>
    <w:rsid w:val="001215E4"/>
    <w:rsid w:val="001328B3"/>
    <w:rsid w:val="00136EBD"/>
    <w:rsid w:val="0015335B"/>
    <w:rsid w:val="001551B9"/>
    <w:rsid w:val="00156800"/>
    <w:rsid w:val="00156AFE"/>
    <w:rsid w:val="0015752F"/>
    <w:rsid w:val="00164C2C"/>
    <w:rsid w:val="00165287"/>
    <w:rsid w:val="00177AFC"/>
    <w:rsid w:val="00187E46"/>
    <w:rsid w:val="0019292B"/>
    <w:rsid w:val="00192EAC"/>
    <w:rsid w:val="00195276"/>
    <w:rsid w:val="00195C7C"/>
    <w:rsid w:val="001A052A"/>
    <w:rsid w:val="001A4452"/>
    <w:rsid w:val="001B463C"/>
    <w:rsid w:val="001C2DCD"/>
    <w:rsid w:val="001C6CB8"/>
    <w:rsid w:val="001D01BA"/>
    <w:rsid w:val="001E0DE0"/>
    <w:rsid w:val="001E256B"/>
    <w:rsid w:val="001E3D4C"/>
    <w:rsid w:val="001E7B38"/>
    <w:rsid w:val="001F1D4F"/>
    <w:rsid w:val="001F3CA4"/>
    <w:rsid w:val="001F3D15"/>
    <w:rsid w:val="001F53D4"/>
    <w:rsid w:val="00203EC3"/>
    <w:rsid w:val="00213531"/>
    <w:rsid w:val="00213CFE"/>
    <w:rsid w:val="00216B90"/>
    <w:rsid w:val="00221CC4"/>
    <w:rsid w:val="00227902"/>
    <w:rsid w:val="00234602"/>
    <w:rsid w:val="00244E3E"/>
    <w:rsid w:val="00263708"/>
    <w:rsid w:val="00263B33"/>
    <w:rsid w:val="002834ED"/>
    <w:rsid w:val="00286C8A"/>
    <w:rsid w:val="002A647C"/>
    <w:rsid w:val="002B625C"/>
    <w:rsid w:val="002C58DB"/>
    <w:rsid w:val="002D6EBB"/>
    <w:rsid w:val="002D74A7"/>
    <w:rsid w:val="002D7DB8"/>
    <w:rsid w:val="002E5D54"/>
    <w:rsid w:val="002F23E9"/>
    <w:rsid w:val="0030230A"/>
    <w:rsid w:val="0031159C"/>
    <w:rsid w:val="00326584"/>
    <w:rsid w:val="0033231B"/>
    <w:rsid w:val="003441BE"/>
    <w:rsid w:val="00346C4D"/>
    <w:rsid w:val="00361762"/>
    <w:rsid w:val="00363DDF"/>
    <w:rsid w:val="00370E69"/>
    <w:rsid w:val="00375878"/>
    <w:rsid w:val="00380933"/>
    <w:rsid w:val="0039205B"/>
    <w:rsid w:val="003938A3"/>
    <w:rsid w:val="003A230F"/>
    <w:rsid w:val="003A3153"/>
    <w:rsid w:val="003A473F"/>
    <w:rsid w:val="003A57D1"/>
    <w:rsid w:val="003B4B73"/>
    <w:rsid w:val="003C27DE"/>
    <w:rsid w:val="003C3846"/>
    <w:rsid w:val="003E2D20"/>
    <w:rsid w:val="003F52B2"/>
    <w:rsid w:val="003F6FE9"/>
    <w:rsid w:val="00406346"/>
    <w:rsid w:val="004076B3"/>
    <w:rsid w:val="004109E8"/>
    <w:rsid w:val="00410A4A"/>
    <w:rsid w:val="0041443C"/>
    <w:rsid w:val="004155DE"/>
    <w:rsid w:val="00436EA0"/>
    <w:rsid w:val="004373DC"/>
    <w:rsid w:val="004449B9"/>
    <w:rsid w:val="004479E3"/>
    <w:rsid w:val="00450790"/>
    <w:rsid w:val="004518C4"/>
    <w:rsid w:val="0045219A"/>
    <w:rsid w:val="0045733C"/>
    <w:rsid w:val="00462BD1"/>
    <w:rsid w:val="00464149"/>
    <w:rsid w:val="00470E57"/>
    <w:rsid w:val="00473B69"/>
    <w:rsid w:val="0048058E"/>
    <w:rsid w:val="0048124A"/>
    <w:rsid w:val="00481D4A"/>
    <w:rsid w:val="004A2D10"/>
    <w:rsid w:val="004C0559"/>
    <w:rsid w:val="004D3C26"/>
    <w:rsid w:val="004D460A"/>
    <w:rsid w:val="004D50F5"/>
    <w:rsid w:val="004E0762"/>
    <w:rsid w:val="004E1E7F"/>
    <w:rsid w:val="004E30D9"/>
    <w:rsid w:val="004F0C56"/>
    <w:rsid w:val="004F62DB"/>
    <w:rsid w:val="004F721C"/>
    <w:rsid w:val="00505A1E"/>
    <w:rsid w:val="005064BA"/>
    <w:rsid w:val="00513C7F"/>
    <w:rsid w:val="00513D53"/>
    <w:rsid w:val="00514EF2"/>
    <w:rsid w:val="0051560E"/>
    <w:rsid w:val="005171BD"/>
    <w:rsid w:val="00530324"/>
    <w:rsid w:val="005354E1"/>
    <w:rsid w:val="005405CC"/>
    <w:rsid w:val="005419F2"/>
    <w:rsid w:val="00546499"/>
    <w:rsid w:val="0054791A"/>
    <w:rsid w:val="00555BD0"/>
    <w:rsid w:val="0058712D"/>
    <w:rsid w:val="00592243"/>
    <w:rsid w:val="005930D6"/>
    <w:rsid w:val="005B51C5"/>
    <w:rsid w:val="005B76E3"/>
    <w:rsid w:val="005C1AEC"/>
    <w:rsid w:val="005C79C4"/>
    <w:rsid w:val="005F2577"/>
    <w:rsid w:val="005F3E26"/>
    <w:rsid w:val="00605185"/>
    <w:rsid w:val="0062262B"/>
    <w:rsid w:val="00622752"/>
    <w:rsid w:val="006373B2"/>
    <w:rsid w:val="00637DD1"/>
    <w:rsid w:val="00637F0D"/>
    <w:rsid w:val="006457E7"/>
    <w:rsid w:val="00650011"/>
    <w:rsid w:val="00653E08"/>
    <w:rsid w:val="006642C7"/>
    <w:rsid w:val="0066520B"/>
    <w:rsid w:val="00673AB3"/>
    <w:rsid w:val="006854F7"/>
    <w:rsid w:val="006933BA"/>
    <w:rsid w:val="006A2AE9"/>
    <w:rsid w:val="006B416F"/>
    <w:rsid w:val="006B7628"/>
    <w:rsid w:val="006C119E"/>
    <w:rsid w:val="006C3A06"/>
    <w:rsid w:val="006D763F"/>
    <w:rsid w:val="006E0DFF"/>
    <w:rsid w:val="006F1821"/>
    <w:rsid w:val="006F1CA4"/>
    <w:rsid w:val="006F1D2B"/>
    <w:rsid w:val="006F770B"/>
    <w:rsid w:val="00712FC4"/>
    <w:rsid w:val="0071441F"/>
    <w:rsid w:val="00732FAD"/>
    <w:rsid w:val="0073505F"/>
    <w:rsid w:val="0073526E"/>
    <w:rsid w:val="007522A8"/>
    <w:rsid w:val="0075482D"/>
    <w:rsid w:val="00760D74"/>
    <w:rsid w:val="00761DD7"/>
    <w:rsid w:val="00762FB6"/>
    <w:rsid w:val="00766CAF"/>
    <w:rsid w:val="00773F1C"/>
    <w:rsid w:val="00776A6F"/>
    <w:rsid w:val="007A2408"/>
    <w:rsid w:val="007C3766"/>
    <w:rsid w:val="007D53E3"/>
    <w:rsid w:val="007D5E52"/>
    <w:rsid w:val="007E10E9"/>
    <w:rsid w:val="007F701A"/>
    <w:rsid w:val="008031F8"/>
    <w:rsid w:val="00806C7A"/>
    <w:rsid w:val="008074D5"/>
    <w:rsid w:val="00807FE9"/>
    <w:rsid w:val="008224B6"/>
    <w:rsid w:val="008226FB"/>
    <w:rsid w:val="00826BE4"/>
    <w:rsid w:val="00831B01"/>
    <w:rsid w:val="00841764"/>
    <w:rsid w:val="00843B00"/>
    <w:rsid w:val="00845A36"/>
    <w:rsid w:val="00850679"/>
    <w:rsid w:val="008560C3"/>
    <w:rsid w:val="00890E5B"/>
    <w:rsid w:val="008A1F1B"/>
    <w:rsid w:val="008A69B9"/>
    <w:rsid w:val="008A7057"/>
    <w:rsid w:val="008B1273"/>
    <w:rsid w:val="008C3881"/>
    <w:rsid w:val="008C7119"/>
    <w:rsid w:val="008D04B4"/>
    <w:rsid w:val="008D26C7"/>
    <w:rsid w:val="008D492B"/>
    <w:rsid w:val="008D51E4"/>
    <w:rsid w:val="008D6E8E"/>
    <w:rsid w:val="008E739D"/>
    <w:rsid w:val="008E74CC"/>
    <w:rsid w:val="008E7927"/>
    <w:rsid w:val="008F15A5"/>
    <w:rsid w:val="008F7A5A"/>
    <w:rsid w:val="00904CA4"/>
    <w:rsid w:val="009102B2"/>
    <w:rsid w:val="0091387B"/>
    <w:rsid w:val="009160F6"/>
    <w:rsid w:val="009231FA"/>
    <w:rsid w:val="009413F6"/>
    <w:rsid w:val="009573F0"/>
    <w:rsid w:val="00961F0F"/>
    <w:rsid w:val="00973EB1"/>
    <w:rsid w:val="00976755"/>
    <w:rsid w:val="00981209"/>
    <w:rsid w:val="00996BFB"/>
    <w:rsid w:val="00997735"/>
    <w:rsid w:val="009A72A5"/>
    <w:rsid w:val="009B314C"/>
    <w:rsid w:val="009B6A99"/>
    <w:rsid w:val="009C1854"/>
    <w:rsid w:val="009C7FFB"/>
    <w:rsid w:val="009D23D6"/>
    <w:rsid w:val="009D399F"/>
    <w:rsid w:val="009D4EF4"/>
    <w:rsid w:val="009E6762"/>
    <w:rsid w:val="009F78F1"/>
    <w:rsid w:val="009F7AC8"/>
    <w:rsid w:val="00A00FA5"/>
    <w:rsid w:val="00A17F65"/>
    <w:rsid w:val="00A254D8"/>
    <w:rsid w:val="00A313A7"/>
    <w:rsid w:val="00A43397"/>
    <w:rsid w:val="00A4468D"/>
    <w:rsid w:val="00A77CA1"/>
    <w:rsid w:val="00A81B6C"/>
    <w:rsid w:val="00A9180A"/>
    <w:rsid w:val="00AA1919"/>
    <w:rsid w:val="00AA2CFC"/>
    <w:rsid w:val="00AB176E"/>
    <w:rsid w:val="00AB4557"/>
    <w:rsid w:val="00AE0624"/>
    <w:rsid w:val="00AE06D9"/>
    <w:rsid w:val="00AE4342"/>
    <w:rsid w:val="00AF0A0B"/>
    <w:rsid w:val="00AF6913"/>
    <w:rsid w:val="00B03267"/>
    <w:rsid w:val="00B11FB3"/>
    <w:rsid w:val="00B20805"/>
    <w:rsid w:val="00B23B66"/>
    <w:rsid w:val="00B25577"/>
    <w:rsid w:val="00B400F3"/>
    <w:rsid w:val="00B4577F"/>
    <w:rsid w:val="00B52341"/>
    <w:rsid w:val="00B53A4F"/>
    <w:rsid w:val="00B65017"/>
    <w:rsid w:val="00B731B9"/>
    <w:rsid w:val="00B76FE3"/>
    <w:rsid w:val="00BA1897"/>
    <w:rsid w:val="00BA3E56"/>
    <w:rsid w:val="00BB08FE"/>
    <w:rsid w:val="00BD2243"/>
    <w:rsid w:val="00BD7155"/>
    <w:rsid w:val="00BE00D7"/>
    <w:rsid w:val="00BE0203"/>
    <w:rsid w:val="00BE509B"/>
    <w:rsid w:val="00BE618C"/>
    <w:rsid w:val="00BE6B75"/>
    <w:rsid w:val="00C00A2D"/>
    <w:rsid w:val="00C02A79"/>
    <w:rsid w:val="00C048E7"/>
    <w:rsid w:val="00C0791E"/>
    <w:rsid w:val="00C2096B"/>
    <w:rsid w:val="00C24168"/>
    <w:rsid w:val="00C27137"/>
    <w:rsid w:val="00C32825"/>
    <w:rsid w:val="00C34FCB"/>
    <w:rsid w:val="00C35E2F"/>
    <w:rsid w:val="00C45260"/>
    <w:rsid w:val="00C6017A"/>
    <w:rsid w:val="00C727B3"/>
    <w:rsid w:val="00C76D2E"/>
    <w:rsid w:val="00C81116"/>
    <w:rsid w:val="00C91587"/>
    <w:rsid w:val="00C95677"/>
    <w:rsid w:val="00CA1054"/>
    <w:rsid w:val="00CA1A71"/>
    <w:rsid w:val="00CA1FCF"/>
    <w:rsid w:val="00CA3057"/>
    <w:rsid w:val="00CB1438"/>
    <w:rsid w:val="00CB2E2A"/>
    <w:rsid w:val="00CB7F25"/>
    <w:rsid w:val="00CC1793"/>
    <w:rsid w:val="00CC518B"/>
    <w:rsid w:val="00CD0B3F"/>
    <w:rsid w:val="00CE03CA"/>
    <w:rsid w:val="00CE2166"/>
    <w:rsid w:val="00D017A8"/>
    <w:rsid w:val="00D22310"/>
    <w:rsid w:val="00D23448"/>
    <w:rsid w:val="00D24292"/>
    <w:rsid w:val="00D33970"/>
    <w:rsid w:val="00D40D23"/>
    <w:rsid w:val="00D45D0C"/>
    <w:rsid w:val="00D54B8B"/>
    <w:rsid w:val="00D62C9A"/>
    <w:rsid w:val="00D6313B"/>
    <w:rsid w:val="00D63AE0"/>
    <w:rsid w:val="00D744EE"/>
    <w:rsid w:val="00D75309"/>
    <w:rsid w:val="00D75948"/>
    <w:rsid w:val="00D77BF0"/>
    <w:rsid w:val="00DA48B9"/>
    <w:rsid w:val="00DB58B6"/>
    <w:rsid w:val="00DC10F2"/>
    <w:rsid w:val="00DC7B85"/>
    <w:rsid w:val="00DD059C"/>
    <w:rsid w:val="00DD3FEE"/>
    <w:rsid w:val="00DD499D"/>
    <w:rsid w:val="00DE1483"/>
    <w:rsid w:val="00DE5064"/>
    <w:rsid w:val="00DE7F16"/>
    <w:rsid w:val="00DF2952"/>
    <w:rsid w:val="00DF3350"/>
    <w:rsid w:val="00E00C8D"/>
    <w:rsid w:val="00E06EF1"/>
    <w:rsid w:val="00E12972"/>
    <w:rsid w:val="00E151D4"/>
    <w:rsid w:val="00E21966"/>
    <w:rsid w:val="00E322B9"/>
    <w:rsid w:val="00E43625"/>
    <w:rsid w:val="00E5216B"/>
    <w:rsid w:val="00E653F7"/>
    <w:rsid w:val="00E66665"/>
    <w:rsid w:val="00E66F54"/>
    <w:rsid w:val="00EA387C"/>
    <w:rsid w:val="00EB5170"/>
    <w:rsid w:val="00EC0864"/>
    <w:rsid w:val="00ED48D7"/>
    <w:rsid w:val="00ED6409"/>
    <w:rsid w:val="00EE2917"/>
    <w:rsid w:val="00EE6BCA"/>
    <w:rsid w:val="00EE7323"/>
    <w:rsid w:val="00EE7AD5"/>
    <w:rsid w:val="00F151FB"/>
    <w:rsid w:val="00F2143F"/>
    <w:rsid w:val="00F26C6E"/>
    <w:rsid w:val="00F40E98"/>
    <w:rsid w:val="00F43D52"/>
    <w:rsid w:val="00F462FC"/>
    <w:rsid w:val="00F537A3"/>
    <w:rsid w:val="00F65EEC"/>
    <w:rsid w:val="00F75B1D"/>
    <w:rsid w:val="00F84453"/>
    <w:rsid w:val="00F939D0"/>
    <w:rsid w:val="00FA50B3"/>
    <w:rsid w:val="00FB073B"/>
    <w:rsid w:val="00FB5EF6"/>
    <w:rsid w:val="00FC101F"/>
    <w:rsid w:val="00FC2F58"/>
    <w:rsid w:val="00FC4EF6"/>
    <w:rsid w:val="00FC53FA"/>
    <w:rsid w:val="00FD2FA1"/>
    <w:rsid w:val="00FD4423"/>
    <w:rsid w:val="00FD4664"/>
    <w:rsid w:val="00FD78B7"/>
    <w:rsid w:val="00FE0A2A"/>
    <w:rsid w:val="00FE0F1E"/>
    <w:rsid w:val="00FE729E"/>
    <w:rsid w:val="00FF041C"/>
    <w:rsid w:val="010E7041"/>
    <w:rsid w:val="031E4BA3"/>
    <w:rsid w:val="03F43834"/>
    <w:rsid w:val="0A8C065C"/>
    <w:rsid w:val="0B154EF5"/>
    <w:rsid w:val="0DDB1BC3"/>
    <w:rsid w:val="128444F4"/>
    <w:rsid w:val="12AA5D01"/>
    <w:rsid w:val="12BC39AB"/>
    <w:rsid w:val="144B615F"/>
    <w:rsid w:val="15624761"/>
    <w:rsid w:val="18445F49"/>
    <w:rsid w:val="18977E3C"/>
    <w:rsid w:val="1C7A2871"/>
    <w:rsid w:val="1D6C594E"/>
    <w:rsid w:val="1DD22E6F"/>
    <w:rsid w:val="1EAA67E1"/>
    <w:rsid w:val="1EAB4B2C"/>
    <w:rsid w:val="1F60396D"/>
    <w:rsid w:val="216976B5"/>
    <w:rsid w:val="21CF1B1E"/>
    <w:rsid w:val="22AC0A7A"/>
    <w:rsid w:val="233D0FF7"/>
    <w:rsid w:val="254C1E18"/>
    <w:rsid w:val="267313D2"/>
    <w:rsid w:val="26F47C66"/>
    <w:rsid w:val="29C11011"/>
    <w:rsid w:val="2B1323ED"/>
    <w:rsid w:val="2B4E002A"/>
    <w:rsid w:val="2C3E3CE9"/>
    <w:rsid w:val="2F517555"/>
    <w:rsid w:val="2F730A1D"/>
    <w:rsid w:val="2FAA5454"/>
    <w:rsid w:val="2FF37562"/>
    <w:rsid w:val="319F3B1B"/>
    <w:rsid w:val="31BB64C7"/>
    <w:rsid w:val="31DB134C"/>
    <w:rsid w:val="326C54E8"/>
    <w:rsid w:val="33ED489F"/>
    <w:rsid w:val="34B806C4"/>
    <w:rsid w:val="34CC69C9"/>
    <w:rsid w:val="350C2A25"/>
    <w:rsid w:val="35C73826"/>
    <w:rsid w:val="36B92472"/>
    <w:rsid w:val="37C94B5C"/>
    <w:rsid w:val="39654AB1"/>
    <w:rsid w:val="3EDC6826"/>
    <w:rsid w:val="3F9236F8"/>
    <w:rsid w:val="40731B67"/>
    <w:rsid w:val="43A7369D"/>
    <w:rsid w:val="446734A1"/>
    <w:rsid w:val="47EC137A"/>
    <w:rsid w:val="47F806E5"/>
    <w:rsid w:val="48821B7B"/>
    <w:rsid w:val="489F0EC7"/>
    <w:rsid w:val="48EE729D"/>
    <w:rsid w:val="4A9D66AA"/>
    <w:rsid w:val="4C7919AB"/>
    <w:rsid w:val="4D1E4BD2"/>
    <w:rsid w:val="4E647B5B"/>
    <w:rsid w:val="505F4597"/>
    <w:rsid w:val="50EB0B96"/>
    <w:rsid w:val="5145010E"/>
    <w:rsid w:val="5212302F"/>
    <w:rsid w:val="54024F9C"/>
    <w:rsid w:val="564A4416"/>
    <w:rsid w:val="567F3337"/>
    <w:rsid w:val="580A5F13"/>
    <w:rsid w:val="591C34DE"/>
    <w:rsid w:val="59EF6870"/>
    <w:rsid w:val="5ADD0BE5"/>
    <w:rsid w:val="5B247C68"/>
    <w:rsid w:val="5FEF729D"/>
    <w:rsid w:val="601050DC"/>
    <w:rsid w:val="605E4973"/>
    <w:rsid w:val="60FB2030"/>
    <w:rsid w:val="60FF590D"/>
    <w:rsid w:val="615D3245"/>
    <w:rsid w:val="62E83638"/>
    <w:rsid w:val="63F320FD"/>
    <w:rsid w:val="6895395B"/>
    <w:rsid w:val="692E0601"/>
    <w:rsid w:val="69CF1236"/>
    <w:rsid w:val="6A5F60EF"/>
    <w:rsid w:val="6C0A7613"/>
    <w:rsid w:val="6DE52CAD"/>
    <w:rsid w:val="6EE32138"/>
    <w:rsid w:val="6EE618F3"/>
    <w:rsid w:val="6F0F41C7"/>
    <w:rsid w:val="709E3E7B"/>
    <w:rsid w:val="735B18A4"/>
    <w:rsid w:val="73873A84"/>
    <w:rsid w:val="738E67AE"/>
    <w:rsid w:val="75044463"/>
    <w:rsid w:val="76262CED"/>
    <w:rsid w:val="765914B0"/>
    <w:rsid w:val="78A43053"/>
    <w:rsid w:val="78AA203D"/>
    <w:rsid w:val="7A64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rFonts w:ascii="??" w:hAnsi="??" w:cs="??"/>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rPr>
      <w:rFonts w:ascii="Times New Roman" w:hAnsi="Times New Roman" w:eastAsia="仿宋_GB2312" w:cs="仿宋_GB2312"/>
      <w:bCs/>
      <w:sz w:val="32"/>
      <w:szCs w:val="32"/>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17"/>
    <w:qFormat/>
    <w:uiPriority w:val="99"/>
    <w:pPr>
      <w:snapToGrid w:val="0"/>
      <w:jc w:val="left"/>
    </w:pPr>
    <w:rPr>
      <w:sz w:val="18"/>
      <w:szCs w:val="18"/>
    </w:rPr>
  </w:style>
  <w:style w:type="paragraph" w:styleId="8">
    <w:name w:val="Normal (Web)"/>
    <w:basedOn w:val="1"/>
    <w:qFormat/>
    <w:uiPriority w:val="0"/>
    <w:pPr>
      <w:spacing w:after="150"/>
      <w:jc w:val="left"/>
    </w:pPr>
    <w:rPr>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character" w:customStyle="1" w:styleId="14">
    <w:name w:val="标题 3 Char"/>
    <w:basedOn w:val="11"/>
    <w:link w:val="2"/>
    <w:qFormat/>
    <w:uiPriority w:val="99"/>
    <w:rPr>
      <w:rFonts w:ascii="??" w:hAnsi="??" w:eastAsia="宋体" w:cs="??"/>
      <w:b/>
      <w:bCs/>
      <w:sz w:val="32"/>
      <w:szCs w:val="32"/>
    </w:rPr>
  </w:style>
  <w:style w:type="paragraph" w:customStyle="1" w:styleId="15">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批注框文本 Char"/>
    <w:basedOn w:val="11"/>
    <w:link w:val="4"/>
    <w:semiHidden/>
    <w:qFormat/>
    <w:uiPriority w:val="99"/>
    <w:rPr>
      <w:rFonts w:ascii="Calibri" w:hAnsi="Calibri" w:eastAsia="宋体" w:cs="Times New Roman"/>
      <w:sz w:val="18"/>
      <w:szCs w:val="18"/>
    </w:rPr>
  </w:style>
  <w:style w:type="character" w:customStyle="1" w:styleId="17">
    <w:name w:val="脚注文本 Char"/>
    <w:basedOn w:val="11"/>
    <w:link w:val="7"/>
    <w:qFormat/>
    <w:uiPriority w:val="99"/>
    <w:rPr>
      <w:rFonts w:ascii="Calibri" w:hAnsi="Calibri" w:eastAsia="宋体" w:cs="Times New Roman"/>
      <w:sz w:val="18"/>
      <w:szCs w:val="18"/>
    </w:rPr>
  </w:style>
  <w:style w:type="character" w:customStyle="1" w:styleId="18">
    <w:name w:val="正文文本 Char"/>
    <w:basedOn w:val="11"/>
    <w:link w:val="3"/>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837CE-9FE2-4B96-9E6F-5DA3B7CC93C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657</Words>
  <Characters>3751</Characters>
  <Lines>31</Lines>
  <Paragraphs>8</Paragraphs>
  <TotalTime>16</TotalTime>
  <ScaleCrop>false</ScaleCrop>
  <LinksUpToDate>false</LinksUpToDate>
  <CharactersWithSpaces>4400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黑甜乡и</cp:lastModifiedBy>
  <cp:lastPrinted>2020-06-05T08:04:00Z</cp:lastPrinted>
  <dcterms:modified xsi:type="dcterms:W3CDTF">2021-05-20T03:43:57Z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AA7BB60853E546E590681319D4F0922A</vt:lpwstr>
  </property>
</Properties>
</file>